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21"/>
          <w:szCs w:val="21"/>
          <w:b w:val="1"/>
          <w:bCs w:val="1"/>
          <w:color w:val="auto"/>
        </w:rPr>
        <w:t>ANNUAL REPORT PURSUANT TO SECTION 13 OR 15(d) OF THE SECURITIES EXCHANGE ACT OF 1934</w:t>
      </w:r>
    </w:p>
    <w:p>
      <w:pPr>
        <w:spacing w:after="0" w:line="25"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December 31, 2014</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Or</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7"/>
        </w:trPr>
        <w:tc>
          <w:tcPr>
            <w:tcW w:w="3700" w:type="dxa"/>
            <w:vAlign w:val="bottom"/>
            <w:gridSpan w:val="3"/>
          </w:tcPr>
          <w:p>
            <w:pPr>
              <w:ind w:left="440"/>
              <w:spacing w:after="0"/>
              <w:rPr>
                <w:sz w:val="20"/>
                <w:szCs w:val="20"/>
                <w:color w:val="auto"/>
              </w:rPr>
            </w:pPr>
            <w:r>
              <w:rPr>
                <w:rFonts w:ascii="Arial" w:cs="Arial" w:eastAsia="Arial" w:hAnsi="Arial"/>
                <w:sz w:val="22"/>
                <w:szCs w:val="22"/>
                <w:b w:val="1"/>
                <w:bCs w:val="1"/>
                <w:color w:val="auto"/>
              </w:rPr>
              <w:t>For the transition period from</w:t>
            </w:r>
          </w:p>
        </w:tc>
        <w:tc>
          <w:tcPr>
            <w:tcW w:w="3720" w:type="dxa"/>
            <w:vAlign w:val="bottom"/>
          </w:tcPr>
          <w:p>
            <w:pPr>
              <w:ind w:left="180"/>
              <w:spacing w:after="0"/>
              <w:rPr>
                <w:sz w:val="20"/>
                <w:szCs w:val="20"/>
                <w:color w:val="auto"/>
              </w:rPr>
            </w:pPr>
            <w:r>
              <w:rPr>
                <w:rFonts w:ascii="Arial" w:cs="Arial" w:eastAsia="Arial" w:hAnsi="Arial"/>
                <w:sz w:val="22"/>
                <w:szCs w:val="22"/>
                <w:b w:val="1"/>
                <w:bCs w:val="1"/>
                <w:color w:val="auto"/>
              </w:rPr>
              <w:t>to</w:t>
            </w:r>
          </w:p>
        </w:tc>
        <w:tc>
          <w:tcPr>
            <w:tcW w:w="2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6"/>
        </w:trPr>
        <w:tc>
          <w:tcPr>
            <w:tcW w:w="2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720" w:type="dxa"/>
            <w:vAlign w:val="bottom"/>
          </w:tcPr>
          <w:p>
            <w:pPr>
              <w:jc w:val="center"/>
              <w:ind w:left="208"/>
              <w:spacing w:after="0"/>
              <w:rPr>
                <w:sz w:val="20"/>
                <w:szCs w:val="20"/>
                <w:color w:val="auto"/>
              </w:rPr>
            </w:pPr>
            <w:r>
              <w:rPr>
                <w:rFonts w:ascii="Arial" w:cs="Arial" w:eastAsia="Arial" w:hAnsi="Arial"/>
                <w:sz w:val="22"/>
                <w:szCs w:val="22"/>
                <w:b w:val="1"/>
                <w:bCs w:val="1"/>
                <w:color w:val="auto"/>
                <w:w w:val="88"/>
              </w:rPr>
              <w:t>Commission file number: 001-34180</w:t>
            </w:r>
          </w:p>
        </w:tc>
        <w:tc>
          <w:tcPr>
            <w:tcW w:w="26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23"/>
        </w:trPr>
        <w:tc>
          <w:tcPr>
            <w:tcW w:w="2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20" w:type="dxa"/>
            <w:vAlign w:val="bottom"/>
          </w:tcPr>
          <w:p>
            <w:pPr>
              <w:jc w:val="center"/>
              <w:ind w:left="208"/>
              <w:spacing w:after="0"/>
              <w:rPr>
                <w:sz w:val="20"/>
                <w:szCs w:val="20"/>
                <w:color w:val="auto"/>
              </w:rPr>
            </w:pPr>
            <w:r>
              <w:rPr>
                <w:rFonts w:ascii="Arial" w:cs="Arial" w:eastAsia="Arial" w:hAnsi="Arial"/>
                <w:sz w:val="18"/>
                <w:szCs w:val="18"/>
                <w:color w:val="auto"/>
                <w:w w:val="89"/>
              </w:rPr>
              <w:t>______________________________________</w:t>
            </w:r>
          </w:p>
        </w:tc>
        <w:tc>
          <w:tcPr>
            <w:tcW w:w="26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89"/>
        </w:trPr>
        <w:tc>
          <w:tcPr>
            <w:tcW w:w="2100" w:type="dxa"/>
            <w:vAlign w:val="bottom"/>
          </w:tcPr>
          <w:p>
            <w:pPr>
              <w:spacing w:after="0"/>
              <w:rPr>
                <w:sz w:val="24"/>
                <w:szCs w:val="24"/>
                <w:color w:val="auto"/>
              </w:rPr>
            </w:pPr>
          </w:p>
        </w:tc>
        <w:tc>
          <w:tcPr>
            <w:tcW w:w="8840" w:type="dxa"/>
            <w:vAlign w:val="bottom"/>
            <w:gridSpan w:val="5"/>
          </w:tcPr>
          <w:p>
            <w:pPr>
              <w:jc w:val="center"/>
              <w:ind w:right="1600"/>
              <w:spacing w:after="0"/>
              <w:rPr>
                <w:sz w:val="20"/>
                <w:szCs w:val="20"/>
                <w:color w:val="auto"/>
              </w:rPr>
            </w:pPr>
            <w:r>
              <w:rPr>
                <w:rFonts w:ascii="Arial" w:cs="Arial" w:eastAsia="Arial" w:hAnsi="Arial"/>
                <w:sz w:val="40"/>
                <w:szCs w:val="40"/>
                <w:b w:val="1"/>
                <w:bCs w:val="1"/>
                <w:color w:val="auto"/>
              </w:rPr>
              <w:t>FLUIDIGM CORPORATION</w:t>
            </w:r>
          </w:p>
        </w:tc>
      </w:tr>
      <w:tr>
        <w:trPr>
          <w:trHeight w:val="234"/>
        </w:trPr>
        <w:tc>
          <w:tcPr>
            <w:tcW w:w="2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40" w:type="dxa"/>
            <w:vAlign w:val="bottom"/>
            <w:gridSpan w:val="3"/>
          </w:tcPr>
          <w:p>
            <w:pPr>
              <w:jc w:val="center"/>
              <w:ind w:right="32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378"/>
        </w:trPr>
        <w:tc>
          <w:tcPr>
            <w:tcW w:w="2100" w:type="dxa"/>
            <w:vAlign w:val="bottom"/>
          </w:tcPr>
          <w:p>
            <w:pPr>
              <w:spacing w:after="0"/>
              <w:rPr>
                <w:sz w:val="24"/>
                <w:szCs w:val="24"/>
                <w:color w:val="auto"/>
              </w:rPr>
            </w:pPr>
          </w:p>
        </w:tc>
        <w:tc>
          <w:tcPr>
            <w:tcW w:w="160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3"/>
              </w:rPr>
              <w:t>Delaware</w:t>
            </w:r>
          </w:p>
        </w:tc>
        <w:tc>
          <w:tcPr>
            <w:tcW w:w="37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77-0513190</w:t>
            </w:r>
          </w:p>
        </w:tc>
        <w:tc>
          <w:tcPr>
            <w:tcW w:w="840" w:type="dxa"/>
            <w:vAlign w:val="bottom"/>
          </w:tcPr>
          <w:p>
            <w:pPr>
              <w:spacing w:after="0"/>
              <w:rPr>
                <w:sz w:val="24"/>
                <w:szCs w:val="24"/>
                <w:color w:val="auto"/>
              </w:rPr>
            </w:pPr>
          </w:p>
        </w:tc>
      </w:tr>
      <w:tr>
        <w:trPr>
          <w:trHeight w:val="180"/>
        </w:trPr>
        <w:tc>
          <w:tcPr>
            <w:tcW w:w="3700" w:type="dxa"/>
            <w:vAlign w:val="bottom"/>
            <w:gridSpan w:val="3"/>
          </w:tcPr>
          <w:p>
            <w:pPr>
              <w:jc w:val="center"/>
              <w:ind w:left="1713"/>
              <w:spacing w:after="0"/>
              <w:rPr>
                <w:sz w:val="20"/>
                <w:szCs w:val="20"/>
                <w:color w:val="auto"/>
              </w:rPr>
            </w:pPr>
            <w:r>
              <w:rPr>
                <w:rFonts w:ascii="Arial" w:cs="Arial" w:eastAsia="Arial" w:hAnsi="Arial"/>
                <w:sz w:val="14"/>
                <w:szCs w:val="14"/>
                <w:b w:val="1"/>
                <w:bCs w:val="1"/>
                <w:color w:val="auto"/>
                <w:w w:val="92"/>
              </w:rPr>
              <w:t>(State or other jurisdiction of</w:t>
            </w:r>
          </w:p>
        </w:tc>
        <w:tc>
          <w:tcPr>
            <w:tcW w:w="3720" w:type="dxa"/>
            <w:vAlign w:val="bottom"/>
          </w:tcPr>
          <w:p>
            <w:pPr>
              <w:spacing w:after="0"/>
              <w:rPr>
                <w:sz w:val="15"/>
                <w:szCs w:val="15"/>
                <w:color w:val="auto"/>
              </w:rPr>
            </w:pPr>
          </w:p>
        </w:tc>
        <w:tc>
          <w:tcPr>
            <w:tcW w:w="35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700" w:type="dxa"/>
            <w:vAlign w:val="bottom"/>
            <w:gridSpan w:val="3"/>
          </w:tcPr>
          <w:p>
            <w:pPr>
              <w:jc w:val="center"/>
              <w:ind w:left="1713"/>
              <w:spacing w:after="0"/>
              <w:rPr>
                <w:sz w:val="20"/>
                <w:szCs w:val="20"/>
                <w:color w:val="auto"/>
              </w:rPr>
            </w:pPr>
            <w:r>
              <w:rPr>
                <w:rFonts w:ascii="Arial" w:cs="Arial" w:eastAsia="Arial" w:hAnsi="Arial"/>
                <w:sz w:val="14"/>
                <w:szCs w:val="14"/>
                <w:b w:val="1"/>
                <w:bCs w:val="1"/>
                <w:color w:val="auto"/>
                <w:w w:val="93"/>
              </w:rPr>
              <w:t>incorporation or organization)</w:t>
            </w:r>
          </w:p>
        </w:tc>
        <w:tc>
          <w:tcPr>
            <w:tcW w:w="3720" w:type="dxa"/>
            <w:vAlign w:val="bottom"/>
          </w:tcPr>
          <w:p>
            <w:pPr>
              <w:spacing w:after="0"/>
              <w:rPr>
                <w:sz w:val="16"/>
                <w:szCs w:val="16"/>
                <w:color w:val="auto"/>
              </w:rPr>
            </w:pPr>
          </w:p>
        </w:tc>
        <w:tc>
          <w:tcPr>
            <w:tcW w:w="35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6"/>
              </w:rPr>
              <w:t>Identification Number)</w:t>
            </w:r>
          </w:p>
        </w:tc>
      </w:tr>
      <w:tr>
        <w:trPr>
          <w:trHeight w:val="237"/>
        </w:trPr>
        <w:tc>
          <w:tcPr>
            <w:tcW w:w="2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20" w:type="dxa"/>
            <w:vAlign w:val="bottom"/>
          </w:tcPr>
          <w:p>
            <w:pPr>
              <w:jc w:val="center"/>
              <w:ind w:left="208"/>
              <w:spacing w:after="0"/>
              <w:rPr>
                <w:sz w:val="20"/>
                <w:szCs w:val="20"/>
                <w:color w:val="auto"/>
              </w:rPr>
            </w:pPr>
            <w:r>
              <w:rPr>
                <w:rFonts w:ascii="Arial" w:cs="Arial" w:eastAsia="Arial" w:hAnsi="Arial"/>
                <w:sz w:val="18"/>
                <w:szCs w:val="18"/>
                <w:b w:val="1"/>
                <w:bCs w:val="1"/>
                <w:color w:val="auto"/>
                <w:w w:val="89"/>
              </w:rPr>
              <w:t>7000 Shoreline Court, Suite 100</w:t>
            </w:r>
          </w:p>
        </w:tc>
        <w:tc>
          <w:tcPr>
            <w:tcW w:w="26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2"/>
        </w:trPr>
        <w:tc>
          <w:tcPr>
            <w:tcW w:w="2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20" w:type="dxa"/>
            <w:vAlign w:val="bottom"/>
          </w:tcPr>
          <w:p>
            <w:pPr>
              <w:jc w:val="center"/>
              <w:ind w:left="228"/>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6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2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2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3"/>
        </w:trPr>
        <w:tc>
          <w:tcPr>
            <w:tcW w:w="2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20" w:type="dxa"/>
            <w:vAlign w:val="bottom"/>
          </w:tcPr>
          <w:p>
            <w:pPr>
              <w:jc w:val="center"/>
              <w:ind w:left="228"/>
              <w:spacing w:after="0"/>
              <w:rPr>
                <w:sz w:val="20"/>
                <w:szCs w:val="20"/>
                <w:color w:val="auto"/>
              </w:rPr>
            </w:pPr>
            <w:r>
              <w:rPr>
                <w:rFonts w:ascii="Arial" w:cs="Arial" w:eastAsia="Arial" w:hAnsi="Arial"/>
                <w:sz w:val="18"/>
                <w:szCs w:val="18"/>
                <w:b w:val="1"/>
                <w:bCs w:val="1"/>
                <w:color w:val="auto"/>
                <w:w w:val="90"/>
              </w:rPr>
              <w:t>(650) 266-6000</w:t>
            </w:r>
          </w:p>
        </w:tc>
        <w:tc>
          <w:tcPr>
            <w:tcW w:w="26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2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40" w:type="dxa"/>
            <w:vAlign w:val="bottom"/>
            <w:gridSpan w:val="3"/>
          </w:tcPr>
          <w:p>
            <w:pPr>
              <w:jc w:val="center"/>
              <w:ind w:right="3220"/>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234"/>
        </w:trPr>
        <w:tc>
          <w:tcPr>
            <w:tcW w:w="2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760" w:type="dxa"/>
            <w:vAlign w:val="bottom"/>
            <w:gridSpan w:val="4"/>
          </w:tcPr>
          <w:p>
            <w:pPr>
              <w:jc w:val="center"/>
              <w:ind w:right="268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97"/>
        </w:trPr>
        <w:tc>
          <w:tcPr>
            <w:tcW w:w="2100" w:type="dxa"/>
            <w:vAlign w:val="bottom"/>
          </w:tcPr>
          <w:p>
            <w:pPr>
              <w:spacing w:after="0"/>
              <w:rPr>
                <w:sz w:val="24"/>
                <w:szCs w:val="24"/>
                <w:color w:val="auto"/>
              </w:rPr>
            </w:pPr>
          </w:p>
        </w:tc>
        <w:tc>
          <w:tcPr>
            <w:tcW w:w="1600" w:type="dxa"/>
            <w:vAlign w:val="bottom"/>
            <w:gridSpan w:val="2"/>
          </w:tcPr>
          <w:p>
            <w:pPr>
              <w:jc w:val="center"/>
              <w:ind w:right="43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2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64"/>
        </w:trPr>
        <w:tc>
          <w:tcPr>
            <w:tcW w:w="7420" w:type="dxa"/>
            <w:vAlign w:val="bottom"/>
            <w:gridSpan w:val="4"/>
          </w:tcPr>
          <w:p>
            <w:pPr>
              <w:jc w:val="center"/>
              <w:ind w:right="2028"/>
              <w:spacing w:after="0"/>
              <w:rPr>
                <w:sz w:val="20"/>
                <w:szCs w:val="20"/>
                <w:color w:val="auto"/>
              </w:rPr>
            </w:pPr>
            <w:r>
              <w:rPr>
                <w:rFonts w:ascii="Arial" w:cs="Arial" w:eastAsia="Arial" w:hAnsi="Arial"/>
                <w:sz w:val="18"/>
                <w:szCs w:val="18"/>
                <w:color w:val="auto"/>
                <w:w w:val="89"/>
              </w:rPr>
              <w:t>Common Stock, $0.001 Par Value per Share</w:t>
            </w: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The NASDAQ Global Select Market</w:t>
            </w:r>
          </w:p>
        </w:tc>
      </w:tr>
      <w:tr>
        <w:trPr>
          <w:trHeight w:val="252"/>
        </w:trPr>
        <w:tc>
          <w:tcPr>
            <w:tcW w:w="2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760" w:type="dxa"/>
            <w:vAlign w:val="bottom"/>
            <w:gridSpan w:val="4"/>
          </w:tcPr>
          <w:p>
            <w:pPr>
              <w:jc w:val="center"/>
              <w:ind w:right="268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r>
      <w:tr>
        <w:trPr>
          <w:trHeight w:val="220"/>
        </w:trPr>
        <w:tc>
          <w:tcPr>
            <w:tcW w:w="2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20" w:type="dxa"/>
            <w:vAlign w:val="bottom"/>
          </w:tcPr>
          <w:p>
            <w:pPr>
              <w:jc w:val="center"/>
              <w:ind w:left="228"/>
              <w:spacing w:after="0"/>
              <w:rPr>
                <w:sz w:val="20"/>
                <w:szCs w:val="20"/>
                <w:color w:val="auto"/>
              </w:rPr>
            </w:pPr>
            <w:r>
              <w:rPr>
                <w:rFonts w:ascii="Arial" w:cs="Arial" w:eastAsia="Arial" w:hAnsi="Arial"/>
                <w:sz w:val="18"/>
                <w:szCs w:val="18"/>
                <w:b w:val="1"/>
                <w:bCs w:val="1"/>
                <w:color w:val="auto"/>
                <w:w w:val="88"/>
              </w:rPr>
              <w:t>None</w:t>
            </w:r>
          </w:p>
        </w:tc>
        <w:tc>
          <w:tcPr>
            <w:tcW w:w="26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2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20" w:type="dxa"/>
            <w:vAlign w:val="bottom"/>
          </w:tcPr>
          <w:p>
            <w:pPr>
              <w:jc w:val="center"/>
              <w:ind w:left="208"/>
              <w:spacing w:after="0"/>
              <w:rPr>
                <w:sz w:val="20"/>
                <w:szCs w:val="20"/>
                <w:color w:val="auto"/>
              </w:rPr>
            </w:pPr>
            <w:r>
              <w:rPr>
                <w:rFonts w:ascii="Arial" w:cs="Arial" w:eastAsia="Arial" w:hAnsi="Arial"/>
                <w:sz w:val="18"/>
                <w:szCs w:val="18"/>
                <w:color w:val="auto"/>
                <w:w w:val="89"/>
              </w:rPr>
              <w:t>______________________________________</w:t>
            </w:r>
          </w:p>
        </w:tc>
        <w:tc>
          <w:tcPr>
            <w:tcW w:w="26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3"/>
        </w:trPr>
        <w:tc>
          <w:tcPr>
            <w:tcW w:w="10940" w:type="dxa"/>
            <w:vAlign w:val="bottom"/>
            <w:gridSpan w:val="6"/>
          </w:tcPr>
          <w:p>
            <w:pPr>
              <w:ind w:left="340"/>
              <w:spacing w:after="0" w:line="183" w:lineRule="exact"/>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 of 1933, as amended.  Yes x</w:t>
            </w:r>
          </w:p>
        </w:tc>
      </w:tr>
      <w:tr>
        <w:trPr>
          <w:trHeight w:val="283"/>
        </w:trPr>
        <w:tc>
          <w:tcPr>
            <w:tcW w:w="370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3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ind w:right="160" w:firstLine="324"/>
        <w:spacing w:after="0" w:line="230"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as amended.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ind w:right="1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 w:lineRule="exact"/>
        <w:rPr>
          <w:sz w:val="24"/>
          <w:szCs w:val="24"/>
          <w:color w:val="auto"/>
        </w:rPr>
      </w:pPr>
    </w:p>
    <w:p>
      <w:pPr>
        <w:ind w:right="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3" w:lineRule="exact"/>
        <w:rPr>
          <w:sz w:val="24"/>
          <w:szCs w:val="24"/>
          <w:color w:val="auto"/>
        </w:rPr>
      </w:pPr>
    </w:p>
    <w:p>
      <w:pPr>
        <w:jc w:val="both"/>
        <w:ind w:right="60" w:firstLine="324"/>
        <w:spacing w:after="0" w:line="258"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jc w:val="both"/>
        <w:ind w:right="6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395" w:right="259" w:bottom="504"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2" w:lineRule="exact"/>
        <w:rPr>
          <w:sz w:val="24"/>
          <w:szCs w:val="24"/>
          <w:color w:val="auto"/>
        </w:rPr>
      </w:pPr>
    </w:p>
    <w:p>
      <w:pPr>
        <w:sectPr>
          <w:pgSz w:w="11900" w:h="16838" w:orient="portrait"/>
          <w:cols w:equalWidth="0" w:num="4">
            <w:col w:w="2180" w:space="720"/>
            <w:col w:w="5000" w:space="720"/>
            <w:col w:w="1760" w:space="720"/>
            <w:col w:w="300"/>
          </w:cols>
          <w:pgMar w:left="240" w:top="395" w:right="259" w:bottom="504"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89" w:lineRule="exact"/>
        <w:rPr>
          <w:sz w:val="24"/>
          <w:szCs w:val="24"/>
          <w:color w:val="auto"/>
        </w:rPr>
      </w:pPr>
    </w:p>
    <w:p>
      <w:pPr>
        <w:sectPr>
          <w:pgSz w:w="11900" w:h="16838" w:orient="portrait"/>
          <w:cols w:equalWidth="0" w:num="5">
            <w:col w:w="2180" w:space="720"/>
            <w:col w:w="160" w:space="100"/>
            <w:col w:w="4740" w:space="720"/>
            <w:col w:w="1960" w:space="520"/>
            <w:col w:w="300"/>
          </w:cols>
          <w:pgMar w:left="240" w:top="395" w:right="259" w:bottom="504" w:gutter="0" w:footer="0" w:header="0"/>
          <w:type w:val="continuous"/>
        </w:sectPr>
      </w:pPr>
    </w:p>
    <w:p>
      <w:pPr>
        <w:spacing w:after="0" w:line="20"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43" w:lineRule="exact"/>
        <w:rPr>
          <w:sz w:val="24"/>
          <w:szCs w:val="24"/>
          <w:color w:val="auto"/>
        </w:rPr>
      </w:pPr>
    </w:p>
    <w:p>
      <w:pPr>
        <w:sectPr>
          <w:pgSz w:w="11900" w:h="16838" w:orient="portrait"/>
          <w:cols w:equalWidth="0" w:num="4">
            <w:col w:w="8500" w:space="180"/>
            <w:col w:w="260" w:space="100"/>
            <w:col w:w="160" w:space="180"/>
            <w:col w:w="2020"/>
          </w:cols>
          <w:pgMar w:left="240" w:top="395" w:right="259" w:bottom="504" w:gutter="0" w:footer="0" w:header="0"/>
          <w:type w:val="continuous"/>
        </w:sectPr>
      </w:pPr>
    </w:p>
    <w:p>
      <w:pPr>
        <w:ind w:firstLine="324"/>
        <w:spacing w:after="0" w:line="283" w:lineRule="auto"/>
        <w:rPr>
          <w:sz w:val="20"/>
          <w:szCs w:val="20"/>
          <w:color w:val="auto"/>
        </w:rPr>
      </w:pPr>
      <w:r>
        <w:rPr>
          <w:rFonts w:ascii="Arial" w:cs="Arial" w:eastAsia="Arial" w:hAnsi="Arial"/>
          <w:sz w:val="16"/>
          <w:szCs w:val="16"/>
          <w:color w:val="auto"/>
        </w:rPr>
        <w:t>As of June 30, 2014, the last business day of the registrant’s most recently completed second fiscal quarter, the aggregate market value of voting and non-voting common equity held by non-affiliates of the registrant was approximately $719,943,878 (based on a closing sale price of $29.40 per share as reported for the NASDAQ Global Select Market on June 30, 2014). For purposes of this calculation, shares of common stock beneficially owned by the registrant’s officers and directors as of June 30, 2014 and shares of common stock held by persons who held more than 10% of the outstanding common stock of the registrant as of June 30, 2014 (based solely upon Schedule 13G filings made with the SEC) have been excluded from this calculation because such persons may be deemed to be affiliates. This determination of executive officer or affiliate status is not necessarily a conclusive determination for other purposes.</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$0.001 par value per share, outstanding as of February 10, 2015 was 28,368,032.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right="500" w:firstLine="324"/>
        <w:spacing w:after="0" w:line="261" w:lineRule="auto"/>
        <w:rPr>
          <w:sz w:val="20"/>
          <w:szCs w:val="20"/>
          <w:color w:val="auto"/>
        </w:rPr>
      </w:pPr>
      <w:r>
        <w:rPr>
          <w:rFonts w:ascii="Arial" w:cs="Arial" w:eastAsia="Arial" w:hAnsi="Arial"/>
          <w:sz w:val="18"/>
          <w:szCs w:val="18"/>
          <w:color w:val="auto"/>
        </w:rPr>
        <w:t>The information called for by Part III of this Annual Report on Form 10-K will be included in an amendment to this Form 10-K or incorporated by reference from the registrant’s definitive Proxy Statement relating to its 2015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95" w:right="259" w:bottom="504"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Fiscal Year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Page</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PART I</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500" w:type="dxa"/>
            <w:vAlign w:val="bottom"/>
          </w:tcPr>
          <w:p>
            <w:pPr>
              <w:ind w:left="340"/>
              <w:spacing w:after="0"/>
              <w:rPr>
                <w:sz w:val="20"/>
                <w:szCs w:val="20"/>
                <w:color w:val="auto"/>
              </w:rPr>
            </w:pPr>
            <w:r>
              <w:rPr>
                <w:rFonts w:ascii="Arial" w:cs="Arial" w:eastAsia="Arial" w:hAnsi="Arial"/>
                <w:sz w:val="18"/>
                <w:szCs w:val="18"/>
                <w:color w:val="auto"/>
              </w:rPr>
              <w:t>ITEM 1.</w:t>
            </w:r>
          </w:p>
        </w:tc>
        <w:tc>
          <w:tcPr>
            <w:tcW w:w="8060" w:type="dxa"/>
            <w:vAlign w:val="bottom"/>
            <w:gridSpan w:val="2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1A.</w:t>
            </w:r>
          </w:p>
        </w:tc>
        <w:tc>
          <w:tcPr>
            <w:tcW w:w="8060" w:type="dxa"/>
            <w:vAlign w:val="bottom"/>
            <w:gridSpan w:val="24"/>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RISK FACTORS</w:t>
              </w:r>
            </w:hyperlink>
          </w:p>
        </w:tc>
        <w:tc>
          <w:tcPr>
            <w:tcW w:w="1820" w:type="dxa"/>
            <w:vAlign w:val="bottom"/>
            <w:gridSpan w:val="4"/>
          </w:tcPr>
          <w:p>
            <w:pPr>
              <w:jc w:val="right"/>
              <w:ind w:right="20"/>
              <w:spacing w:after="0"/>
              <w:rPr>
                <w:rFonts w:ascii="Arial" w:cs="Arial" w:eastAsia="Arial" w:hAnsi="Arial"/>
                <w:sz w:val="18"/>
                <w:szCs w:val="18"/>
                <w:color w:val="0000FF"/>
              </w:rPr>
            </w:pPr>
            <w:hyperlink w:anchor="page15">
              <w:r>
                <w:rPr>
                  <w:rFonts w:ascii="Arial" w:cs="Arial" w:eastAsia="Arial" w:hAnsi="Arial"/>
                  <w:sz w:val="18"/>
                  <w:szCs w:val="18"/>
                  <w:color w:val="0000FF"/>
                </w:rPr>
                <w:t>13</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1B.</w:t>
            </w:r>
          </w:p>
        </w:tc>
        <w:tc>
          <w:tcPr>
            <w:tcW w:w="2820" w:type="dxa"/>
            <w:vAlign w:val="bottom"/>
            <w:gridSpan w:val="11"/>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UNRESOLVED STAFF COMMENTS</w:t>
              </w:r>
            </w:hyperlink>
          </w:p>
        </w:tc>
        <w:tc>
          <w:tcPr>
            <w:tcW w:w="5240" w:type="dxa"/>
            <w:vAlign w:val="bottom"/>
            <w:gridSpan w:val="13"/>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2.</w:t>
            </w:r>
          </w:p>
        </w:tc>
        <w:tc>
          <w:tcPr>
            <w:tcW w:w="2820" w:type="dxa"/>
            <w:vAlign w:val="bottom"/>
            <w:gridSpan w:val="1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PROPERTIES</w:t>
              </w:r>
            </w:hyperlink>
          </w:p>
        </w:tc>
        <w:tc>
          <w:tcPr>
            <w:tcW w:w="5240" w:type="dxa"/>
            <w:vAlign w:val="bottom"/>
            <w:gridSpan w:val="13"/>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3.</w:t>
            </w:r>
          </w:p>
        </w:tc>
        <w:tc>
          <w:tcPr>
            <w:tcW w:w="8060" w:type="dxa"/>
            <w:vAlign w:val="bottom"/>
            <w:gridSpan w:val="2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182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4.</w:t>
            </w:r>
          </w:p>
        </w:tc>
        <w:tc>
          <w:tcPr>
            <w:tcW w:w="8060" w:type="dxa"/>
            <w:vAlign w:val="bottom"/>
            <w:gridSpan w:val="2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MINE SAFETY DISCLOSURES</w:t>
              </w:r>
            </w:hyperlink>
          </w:p>
        </w:tc>
        <w:tc>
          <w:tcPr>
            <w:tcW w:w="182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II</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5.</w:t>
            </w:r>
          </w:p>
        </w:tc>
        <w:tc>
          <w:tcPr>
            <w:tcW w:w="7600" w:type="dxa"/>
            <w:vAlign w:val="bottom"/>
            <w:tcBorders>
              <w:bottom w:val="single" w:sz="8" w:color="0000FF"/>
            </w:tcBorders>
            <w:gridSpan w:val="21"/>
          </w:tcPr>
          <w:p>
            <w:pPr>
              <w:spacing w:after="0"/>
              <w:rPr>
                <w:rFonts w:ascii="Arial" w:cs="Arial" w:eastAsia="Arial" w:hAnsi="Arial"/>
                <w:sz w:val="18"/>
                <w:szCs w:val="18"/>
                <w:color w:val="0000FF"/>
                <w:w w:val="96"/>
              </w:rPr>
            </w:pPr>
            <w:hyperlink w:anchor="page39">
              <w:r>
                <w:rPr>
                  <w:rFonts w:ascii="Arial" w:cs="Arial" w:eastAsia="Arial" w:hAnsi="Arial"/>
                  <w:sz w:val="18"/>
                  <w:szCs w:val="18"/>
                  <w:color w:val="0000FF"/>
                  <w:w w:val="96"/>
                </w:rPr>
                <w:t>MARKET FOR REGISTRANT’S COMMON EQUITY, RELATED STOCKHOLDER MATTERS AND</w:t>
              </w:r>
            </w:hyperlink>
          </w:p>
        </w:tc>
        <w:tc>
          <w:tcPr>
            <w:tcW w:w="460" w:type="dxa"/>
            <w:vAlign w:val="bottom"/>
            <w:gridSpan w:val="3"/>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3760" w:type="dxa"/>
            <w:vAlign w:val="bottom"/>
            <w:gridSpan w:val="13"/>
          </w:tcPr>
          <w:p>
            <w:pPr>
              <w:spacing w:after="0" w:line="196" w:lineRule="exact"/>
              <w:rPr>
                <w:rFonts w:ascii="Arial" w:cs="Arial" w:eastAsia="Arial" w:hAnsi="Arial"/>
                <w:sz w:val="18"/>
                <w:szCs w:val="18"/>
                <w:color w:val="0000FF"/>
                <w:w w:val="93"/>
              </w:rPr>
            </w:pPr>
            <w:hyperlink w:anchor="page39">
              <w:r>
                <w:rPr>
                  <w:rFonts w:ascii="Arial" w:cs="Arial" w:eastAsia="Arial" w:hAnsi="Arial"/>
                  <w:sz w:val="18"/>
                  <w:szCs w:val="18"/>
                  <w:color w:val="0000FF"/>
                  <w:w w:val="93"/>
                </w:rPr>
                <w:t>ISSUER PURCHASES OF EQUITY SECURITIES</w:t>
              </w:r>
            </w:hyperlink>
          </w:p>
        </w:tc>
        <w:tc>
          <w:tcPr>
            <w:tcW w:w="4300" w:type="dxa"/>
            <w:vAlign w:val="bottom"/>
            <w:gridSpan w:val="11"/>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6.</w:t>
            </w:r>
          </w:p>
        </w:tc>
        <w:tc>
          <w:tcPr>
            <w:tcW w:w="2420" w:type="dxa"/>
            <w:vAlign w:val="bottom"/>
            <w:gridSpan w:val="8"/>
          </w:tcPr>
          <w:p>
            <w:pPr>
              <w:spacing w:after="0"/>
              <w:rPr>
                <w:rFonts w:ascii="Arial" w:cs="Arial" w:eastAsia="Arial" w:hAnsi="Arial"/>
                <w:sz w:val="18"/>
                <w:szCs w:val="18"/>
                <w:color w:val="0000FF"/>
                <w:w w:val="97"/>
              </w:rPr>
            </w:pPr>
            <w:hyperlink w:anchor="page40">
              <w:r>
                <w:rPr>
                  <w:rFonts w:ascii="Arial" w:cs="Arial" w:eastAsia="Arial" w:hAnsi="Arial"/>
                  <w:sz w:val="18"/>
                  <w:szCs w:val="18"/>
                  <w:color w:val="0000FF"/>
                  <w:w w:val="97"/>
                </w:rPr>
                <w:t>SELECTED FINANCIAL DATA</w:t>
              </w:r>
            </w:hyperlink>
          </w:p>
        </w:tc>
        <w:tc>
          <w:tcPr>
            <w:tcW w:w="1340" w:type="dxa"/>
            <w:vAlign w:val="bottom"/>
            <w:gridSpan w:val="5"/>
          </w:tcPr>
          <w:p>
            <w:pPr>
              <w:spacing w:after="0"/>
              <w:rPr>
                <w:sz w:val="21"/>
                <w:szCs w:val="21"/>
                <w:color w:val="auto"/>
              </w:rPr>
            </w:pPr>
          </w:p>
        </w:tc>
        <w:tc>
          <w:tcPr>
            <w:tcW w:w="4300" w:type="dxa"/>
            <w:vAlign w:val="bottom"/>
            <w:gridSpan w:val="11"/>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7.</w:t>
            </w:r>
          </w:p>
        </w:tc>
        <w:tc>
          <w:tcPr>
            <w:tcW w:w="8060" w:type="dxa"/>
            <w:vAlign w:val="bottom"/>
            <w:gridSpan w:val="24"/>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MANAGEMENT’S DISCUSSION AND ANALYSIS OF FINANCIAL CONDITION AND RESULTS OF</w:t>
              </w:r>
            </w:hyperlink>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1100" w:type="dxa"/>
            <w:vAlign w:val="bottom"/>
            <w:tcBorders>
              <w:top w:val="single" w:sz="8" w:color="0000FF"/>
            </w:tcBorders>
            <w:gridSpan w:val="3"/>
          </w:tcPr>
          <w:p>
            <w:pPr>
              <w:spacing w:after="0" w:line="196" w:lineRule="exact"/>
              <w:rPr>
                <w:rFonts w:ascii="Arial" w:cs="Arial" w:eastAsia="Arial" w:hAnsi="Arial"/>
                <w:sz w:val="18"/>
                <w:szCs w:val="18"/>
                <w:color w:val="0000FF"/>
                <w:w w:val="91"/>
              </w:rPr>
            </w:pPr>
            <w:hyperlink w:anchor="page54">
              <w:r>
                <w:rPr>
                  <w:rFonts w:ascii="Arial" w:cs="Arial" w:eastAsia="Arial" w:hAnsi="Arial"/>
                  <w:sz w:val="18"/>
                  <w:szCs w:val="18"/>
                  <w:color w:val="0000FF"/>
                  <w:w w:val="91"/>
                </w:rPr>
                <w:t>OPERATIONS</w:t>
              </w:r>
            </w:hyperlink>
          </w:p>
        </w:tc>
        <w:tc>
          <w:tcPr>
            <w:tcW w:w="6660" w:type="dxa"/>
            <w:vAlign w:val="bottom"/>
            <w:tcBorders>
              <w:top w:val="single" w:sz="8" w:color="0000FF"/>
            </w:tcBorders>
            <w:gridSpan w:val="20"/>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7A.</w:t>
            </w:r>
          </w:p>
        </w:tc>
        <w:tc>
          <w:tcPr>
            <w:tcW w:w="6140" w:type="dxa"/>
            <w:vAlign w:val="bottom"/>
            <w:gridSpan w:val="18"/>
          </w:tcPr>
          <w:p>
            <w:pPr>
              <w:spacing w:after="0"/>
              <w:rPr>
                <w:rFonts w:ascii="Arial" w:cs="Arial" w:eastAsia="Arial" w:hAnsi="Arial"/>
                <w:sz w:val="18"/>
                <w:szCs w:val="18"/>
                <w:color w:val="0000FF"/>
                <w:w w:val="98"/>
              </w:rPr>
            </w:pPr>
            <w:hyperlink w:anchor="page55">
              <w:r>
                <w:rPr>
                  <w:rFonts w:ascii="Arial" w:cs="Arial" w:eastAsia="Arial" w:hAnsi="Arial"/>
                  <w:sz w:val="18"/>
                  <w:szCs w:val="18"/>
                  <w:color w:val="0000FF"/>
                  <w:w w:val="98"/>
                </w:rPr>
                <w:t>QUANTITATIVE AND QUALITATIVE DISCLOSURES ABOUT MARKET RISK</w:t>
              </w:r>
            </w:hyperlink>
          </w:p>
        </w:tc>
        <w:tc>
          <w:tcPr>
            <w:tcW w:w="1920" w:type="dxa"/>
            <w:vAlign w:val="bottom"/>
            <w:gridSpan w:val="6"/>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8.</w:t>
            </w:r>
          </w:p>
        </w:tc>
        <w:tc>
          <w:tcPr>
            <w:tcW w:w="4660" w:type="dxa"/>
            <w:vAlign w:val="bottom"/>
            <w:gridSpan w:val="16"/>
          </w:tcPr>
          <w:p>
            <w:pPr>
              <w:spacing w:after="0"/>
              <w:rPr>
                <w:rFonts w:ascii="Arial" w:cs="Arial" w:eastAsia="Arial" w:hAnsi="Arial"/>
                <w:sz w:val="18"/>
                <w:szCs w:val="18"/>
                <w:color w:val="0000FF"/>
                <w:w w:val="96"/>
              </w:rPr>
            </w:pPr>
            <w:hyperlink w:anchor="page56">
              <w:r>
                <w:rPr>
                  <w:rFonts w:ascii="Arial" w:cs="Arial" w:eastAsia="Arial" w:hAnsi="Arial"/>
                  <w:sz w:val="18"/>
                  <w:szCs w:val="18"/>
                  <w:color w:val="0000FF"/>
                  <w:w w:val="96"/>
                </w:rPr>
                <w:t>FINANCIAL STATEMENTS AND SUPPLEMENTARY DATA</w:t>
              </w:r>
            </w:hyperlink>
          </w:p>
        </w:tc>
        <w:tc>
          <w:tcPr>
            <w:tcW w:w="1480" w:type="dxa"/>
            <w:vAlign w:val="bottom"/>
            <w:gridSpan w:val="2"/>
          </w:tcPr>
          <w:p>
            <w:pPr>
              <w:spacing w:after="0"/>
              <w:rPr>
                <w:sz w:val="21"/>
                <w:szCs w:val="21"/>
                <w:color w:val="auto"/>
              </w:rPr>
            </w:pPr>
          </w:p>
        </w:tc>
        <w:tc>
          <w:tcPr>
            <w:tcW w:w="1920" w:type="dxa"/>
            <w:vAlign w:val="bottom"/>
            <w:gridSpan w:val="6"/>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54</w:t>
              </w:r>
            </w:hyperlink>
          </w:p>
        </w:tc>
      </w:tr>
      <w:tr>
        <w:trPr>
          <w:trHeight w:val="20"/>
        </w:trPr>
        <w:tc>
          <w:tcPr>
            <w:tcW w:w="150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w:t>
            </w:r>
          </w:p>
        </w:tc>
        <w:tc>
          <w:tcPr>
            <w:tcW w:w="6920" w:type="dxa"/>
            <w:vAlign w:val="bottom"/>
            <w:tcBorders>
              <w:bottom w:val="single" w:sz="8" w:color="0000FF"/>
            </w:tcBorders>
            <w:gridSpan w:val="19"/>
          </w:tcPr>
          <w:p>
            <w:pPr>
              <w:spacing w:after="0"/>
              <w:rPr>
                <w:rFonts w:ascii="Arial" w:cs="Arial" w:eastAsia="Arial" w:hAnsi="Arial"/>
                <w:sz w:val="18"/>
                <w:szCs w:val="18"/>
                <w:color w:val="0000FF"/>
                <w:w w:val="97"/>
              </w:rPr>
            </w:pPr>
            <w:hyperlink w:anchor="page87">
              <w:r>
                <w:rPr>
                  <w:rFonts w:ascii="Arial" w:cs="Arial" w:eastAsia="Arial" w:hAnsi="Arial"/>
                  <w:sz w:val="18"/>
                  <w:szCs w:val="18"/>
                  <w:color w:val="0000FF"/>
                  <w:w w:val="97"/>
                </w:rPr>
                <w:t>CHANGES IN AND DISAGREEMENTS WITH ACCOUNTANTS ON ACCOUNTING AND</w:t>
              </w:r>
            </w:hyperlink>
          </w:p>
        </w:tc>
        <w:tc>
          <w:tcPr>
            <w:tcW w:w="1140" w:type="dxa"/>
            <w:vAlign w:val="bottom"/>
            <w:gridSpan w:val="5"/>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2120" w:type="dxa"/>
            <w:vAlign w:val="bottom"/>
            <w:gridSpan w:val="7"/>
          </w:tcPr>
          <w:p>
            <w:pPr>
              <w:spacing w:after="0" w:line="196" w:lineRule="exact"/>
              <w:rPr>
                <w:rFonts w:ascii="Arial" w:cs="Arial" w:eastAsia="Arial" w:hAnsi="Arial"/>
                <w:sz w:val="18"/>
                <w:szCs w:val="18"/>
                <w:color w:val="0000FF"/>
                <w:w w:val="97"/>
              </w:rPr>
            </w:pPr>
            <w:hyperlink w:anchor="page87">
              <w:r>
                <w:rPr>
                  <w:rFonts w:ascii="Arial" w:cs="Arial" w:eastAsia="Arial" w:hAnsi="Arial"/>
                  <w:sz w:val="18"/>
                  <w:szCs w:val="18"/>
                  <w:color w:val="0000FF"/>
                  <w:w w:val="97"/>
                </w:rPr>
                <w:t>FINANCIAL DISCLOSURE</w:t>
              </w:r>
            </w:hyperlink>
          </w:p>
        </w:tc>
        <w:tc>
          <w:tcPr>
            <w:tcW w:w="5940" w:type="dxa"/>
            <w:vAlign w:val="bottom"/>
            <w:gridSpan w:val="17"/>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FF"/>
              </w:rPr>
            </w:pPr>
            <w:hyperlink w:anchor="page87">
              <w:r>
                <w:rPr>
                  <w:rFonts w:ascii="Arial" w:cs="Arial" w:eastAsia="Arial" w:hAnsi="Arial"/>
                  <w:sz w:val="18"/>
                  <w:szCs w:val="18"/>
                  <w:color w:val="0000FF"/>
                </w:rPr>
                <w:t>85</w:t>
              </w:r>
            </w:hyperlink>
          </w:p>
        </w:tc>
      </w:tr>
      <w:tr>
        <w:trPr>
          <w:trHeight w:val="20"/>
        </w:trPr>
        <w:tc>
          <w:tcPr>
            <w:tcW w:w="150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9A.</w:t>
            </w:r>
          </w:p>
        </w:tc>
        <w:tc>
          <w:tcPr>
            <w:tcW w:w="2600" w:type="dxa"/>
            <w:vAlign w:val="bottom"/>
            <w:gridSpan w:val="10"/>
          </w:tcPr>
          <w:p>
            <w:pPr>
              <w:spacing w:after="0"/>
              <w:rPr>
                <w:rFonts w:ascii="Arial" w:cs="Arial" w:eastAsia="Arial" w:hAnsi="Arial"/>
                <w:sz w:val="18"/>
                <w:szCs w:val="18"/>
                <w:color w:val="0000FF"/>
                <w:w w:val="93"/>
              </w:rPr>
            </w:pPr>
            <w:hyperlink w:anchor="page88">
              <w:r>
                <w:rPr>
                  <w:rFonts w:ascii="Arial" w:cs="Arial" w:eastAsia="Arial" w:hAnsi="Arial"/>
                  <w:sz w:val="18"/>
                  <w:szCs w:val="18"/>
                  <w:color w:val="0000FF"/>
                  <w:w w:val="93"/>
                </w:rPr>
                <w:t>CONTROLS AND PROCEDURES</w:t>
              </w:r>
            </w:hyperlink>
          </w:p>
        </w:tc>
        <w:tc>
          <w:tcPr>
            <w:tcW w:w="5460" w:type="dxa"/>
            <w:vAlign w:val="bottom"/>
            <w:gridSpan w:val="14"/>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88">
              <w:r>
                <w:rPr>
                  <w:rFonts w:ascii="Arial" w:cs="Arial" w:eastAsia="Arial" w:hAnsi="Arial"/>
                  <w:sz w:val="18"/>
                  <w:szCs w:val="18"/>
                  <w:color w:val="0000FF"/>
                </w:rPr>
                <w:t>85</w:t>
              </w:r>
            </w:hyperlink>
          </w:p>
        </w:tc>
      </w:tr>
      <w:tr>
        <w:trPr>
          <w:trHeight w:val="20"/>
        </w:trPr>
        <w:tc>
          <w:tcPr>
            <w:tcW w:w="150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9B.</w:t>
            </w:r>
          </w:p>
        </w:tc>
        <w:tc>
          <w:tcPr>
            <w:tcW w:w="2600" w:type="dxa"/>
            <w:vAlign w:val="bottom"/>
            <w:gridSpan w:val="10"/>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OTHER INFORMATION</w:t>
              </w:r>
            </w:hyperlink>
          </w:p>
        </w:tc>
        <w:tc>
          <w:tcPr>
            <w:tcW w:w="5460" w:type="dxa"/>
            <w:vAlign w:val="bottom"/>
            <w:gridSpan w:val="14"/>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88">
              <w:r>
                <w:rPr>
                  <w:rFonts w:ascii="Arial" w:cs="Arial" w:eastAsia="Arial" w:hAnsi="Arial"/>
                  <w:sz w:val="18"/>
                  <w:szCs w:val="18"/>
                  <w:color w:val="0000FF"/>
                </w:rPr>
                <w:t>85</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III</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10.</w:t>
            </w:r>
          </w:p>
        </w:tc>
        <w:tc>
          <w:tcPr>
            <w:tcW w:w="5800" w:type="dxa"/>
            <w:vAlign w:val="bottom"/>
            <w:gridSpan w:val="17"/>
          </w:tcPr>
          <w:p>
            <w:pPr>
              <w:spacing w:after="0"/>
              <w:rPr>
                <w:rFonts w:ascii="Arial" w:cs="Arial" w:eastAsia="Arial" w:hAnsi="Arial"/>
                <w:sz w:val="18"/>
                <w:szCs w:val="18"/>
                <w:color w:val="0000FF"/>
                <w:w w:val="94"/>
              </w:rPr>
            </w:pPr>
            <w:hyperlink w:anchor="page89">
              <w:r>
                <w:rPr>
                  <w:rFonts w:ascii="Arial" w:cs="Arial" w:eastAsia="Arial" w:hAnsi="Arial"/>
                  <w:sz w:val="18"/>
                  <w:szCs w:val="18"/>
                  <w:color w:val="0000FF"/>
                  <w:w w:val="94"/>
                </w:rPr>
                <w:t>DIRECTORS, EXECUTIVE OFFICERS AND CORPORATE GOVERNANCE</w:t>
              </w:r>
            </w:hyperlink>
          </w:p>
        </w:tc>
        <w:tc>
          <w:tcPr>
            <w:tcW w:w="2260" w:type="dxa"/>
            <w:vAlign w:val="bottom"/>
            <w:gridSpan w:val="7"/>
          </w:tcPr>
          <w:p>
            <w:pPr>
              <w:spacing w:after="0"/>
              <w:rPr>
                <w:sz w:val="24"/>
                <w:szCs w:val="24"/>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86</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11.</w:t>
            </w:r>
          </w:p>
        </w:tc>
        <w:tc>
          <w:tcPr>
            <w:tcW w:w="2440" w:type="dxa"/>
            <w:vAlign w:val="bottom"/>
            <w:gridSpan w:val="9"/>
          </w:tcPr>
          <w:p>
            <w:pPr>
              <w:spacing w:after="0"/>
              <w:rPr>
                <w:rFonts w:ascii="Arial" w:cs="Arial" w:eastAsia="Arial" w:hAnsi="Arial"/>
                <w:sz w:val="18"/>
                <w:szCs w:val="18"/>
                <w:color w:val="0000FF"/>
                <w:w w:val="95"/>
              </w:rPr>
            </w:pPr>
            <w:hyperlink w:anchor="page89">
              <w:r>
                <w:rPr>
                  <w:rFonts w:ascii="Arial" w:cs="Arial" w:eastAsia="Arial" w:hAnsi="Arial"/>
                  <w:sz w:val="18"/>
                  <w:szCs w:val="18"/>
                  <w:color w:val="0000FF"/>
                  <w:w w:val="95"/>
                </w:rPr>
                <w:t>EXECUTIVE COMPENSATION</w:t>
              </w:r>
            </w:hyperlink>
          </w:p>
        </w:tc>
        <w:tc>
          <w:tcPr>
            <w:tcW w:w="3360" w:type="dxa"/>
            <w:vAlign w:val="bottom"/>
            <w:gridSpan w:val="8"/>
          </w:tcPr>
          <w:p>
            <w:pPr>
              <w:spacing w:after="0"/>
              <w:rPr>
                <w:sz w:val="21"/>
                <w:szCs w:val="21"/>
                <w:color w:val="auto"/>
              </w:rPr>
            </w:pPr>
          </w:p>
        </w:tc>
        <w:tc>
          <w:tcPr>
            <w:tcW w:w="2260" w:type="dxa"/>
            <w:vAlign w:val="bottom"/>
            <w:gridSpan w:val="7"/>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86</w:t>
              </w:r>
            </w:hyperlink>
          </w:p>
        </w:tc>
      </w:tr>
      <w:tr>
        <w:trPr>
          <w:trHeight w:val="20"/>
        </w:trPr>
        <w:tc>
          <w:tcPr>
            <w:tcW w:w="1500" w:type="dxa"/>
            <w:vAlign w:val="bottom"/>
          </w:tcPr>
          <w:p>
            <w:pPr>
              <w:spacing w:after="0" w:line="20" w:lineRule="exact"/>
              <w:rPr>
                <w:sz w:val="1"/>
                <w:szCs w:val="1"/>
                <w:color w:val="auto"/>
              </w:rPr>
            </w:pPr>
          </w:p>
        </w:tc>
        <w:tc>
          <w:tcPr>
            <w:tcW w:w="2440" w:type="dxa"/>
            <w:vAlign w:val="bottom"/>
            <w:gridSpan w:val="9"/>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12.</w:t>
            </w:r>
          </w:p>
        </w:tc>
        <w:tc>
          <w:tcPr>
            <w:tcW w:w="7160" w:type="dxa"/>
            <w:vAlign w:val="bottom"/>
            <w:tcBorders>
              <w:bottom w:val="single" w:sz="8" w:color="0000FF"/>
            </w:tcBorders>
            <w:gridSpan w:val="20"/>
          </w:tcPr>
          <w:p>
            <w:pPr>
              <w:spacing w:after="0"/>
              <w:rPr>
                <w:rFonts w:ascii="Arial" w:cs="Arial" w:eastAsia="Arial" w:hAnsi="Arial"/>
                <w:sz w:val="18"/>
                <w:szCs w:val="18"/>
                <w:color w:val="0000FF"/>
                <w:w w:val="96"/>
              </w:rPr>
            </w:pPr>
            <w:hyperlink w:anchor="page89">
              <w:r>
                <w:rPr>
                  <w:rFonts w:ascii="Arial" w:cs="Arial" w:eastAsia="Arial" w:hAnsi="Arial"/>
                  <w:sz w:val="18"/>
                  <w:szCs w:val="18"/>
                  <w:color w:val="0000FF"/>
                  <w:w w:val="96"/>
                </w:rPr>
                <w:t>SECURITY OWNERSHIP OF CERTAIN BENEFICIAL OWNERS AND MANAGEMENT AND</w:t>
              </w:r>
            </w:hyperlink>
          </w:p>
        </w:tc>
        <w:tc>
          <w:tcPr>
            <w:tcW w:w="900" w:type="dxa"/>
            <w:vAlign w:val="bottom"/>
            <w:gridSpan w:val="4"/>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8060" w:type="dxa"/>
            <w:vAlign w:val="bottom"/>
            <w:gridSpan w:val="24"/>
          </w:tcPr>
          <w:p>
            <w:pPr>
              <w:spacing w:after="0" w:line="196" w:lineRule="exact"/>
              <w:rPr>
                <w:rFonts w:ascii="Arial" w:cs="Arial" w:eastAsia="Arial" w:hAnsi="Arial"/>
                <w:sz w:val="18"/>
                <w:szCs w:val="18"/>
                <w:color w:val="0000FF"/>
              </w:rPr>
            </w:pPr>
            <w:hyperlink w:anchor="page89">
              <w:r>
                <w:rPr>
                  <w:rFonts w:ascii="Arial" w:cs="Arial" w:eastAsia="Arial" w:hAnsi="Arial"/>
                  <w:sz w:val="18"/>
                  <w:szCs w:val="18"/>
                  <w:color w:val="0000FF"/>
                </w:rPr>
                <w:t>RELATED STOCKHOLDER MATTERS</w:t>
              </w:r>
            </w:hyperlink>
          </w:p>
        </w:tc>
        <w:tc>
          <w:tcPr>
            <w:tcW w:w="1820" w:type="dxa"/>
            <w:vAlign w:val="bottom"/>
            <w:gridSpan w:val="4"/>
          </w:tcPr>
          <w:p>
            <w:pPr>
              <w:jc w:val="right"/>
              <w:ind w:right="20"/>
              <w:spacing w:after="0" w:line="196" w:lineRule="exact"/>
              <w:rPr>
                <w:rFonts w:ascii="Arial" w:cs="Arial" w:eastAsia="Arial" w:hAnsi="Arial"/>
                <w:sz w:val="18"/>
                <w:szCs w:val="18"/>
                <w:color w:val="0000FF"/>
              </w:rPr>
            </w:pPr>
            <w:hyperlink w:anchor="page89">
              <w:r>
                <w:rPr>
                  <w:rFonts w:ascii="Arial" w:cs="Arial" w:eastAsia="Arial" w:hAnsi="Arial"/>
                  <w:sz w:val="18"/>
                  <w:szCs w:val="18"/>
                  <w:color w:val="0000FF"/>
                </w:rPr>
                <w:t>86</w:t>
              </w:r>
            </w:hyperlink>
          </w:p>
        </w:tc>
      </w:tr>
      <w:tr>
        <w:trPr>
          <w:trHeight w:val="20"/>
        </w:trPr>
        <w:tc>
          <w:tcPr>
            <w:tcW w:w="1500" w:type="dxa"/>
            <w:vAlign w:val="bottom"/>
          </w:tcPr>
          <w:p>
            <w:pPr>
              <w:spacing w:after="0" w:line="20" w:lineRule="exact"/>
              <w:rPr>
                <w:sz w:val="1"/>
                <w:szCs w:val="1"/>
                <w:color w:val="auto"/>
              </w:rPr>
            </w:pPr>
          </w:p>
        </w:tc>
        <w:tc>
          <w:tcPr>
            <w:tcW w:w="3020" w:type="dxa"/>
            <w:vAlign w:val="bottom"/>
            <w:gridSpan w:val="1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13.</w:t>
            </w:r>
          </w:p>
        </w:tc>
        <w:tc>
          <w:tcPr>
            <w:tcW w:w="7700" w:type="dxa"/>
            <w:vAlign w:val="bottom"/>
            <w:gridSpan w:val="22"/>
          </w:tcPr>
          <w:p>
            <w:pPr>
              <w:spacing w:after="0"/>
              <w:rPr>
                <w:rFonts w:ascii="Arial" w:cs="Arial" w:eastAsia="Arial" w:hAnsi="Arial"/>
                <w:sz w:val="18"/>
                <w:szCs w:val="18"/>
                <w:color w:val="0000FF"/>
                <w:w w:val="95"/>
              </w:rPr>
            </w:pPr>
            <w:hyperlink w:anchor="page89">
              <w:r>
                <w:rPr>
                  <w:rFonts w:ascii="Arial" w:cs="Arial" w:eastAsia="Arial" w:hAnsi="Arial"/>
                  <w:sz w:val="18"/>
                  <w:szCs w:val="18"/>
                  <w:color w:val="0000FF"/>
                  <w:w w:val="95"/>
                </w:rPr>
                <w:t>CERTAIN RELATIONSHIPS AND RELATED TRANSACTIONS, AND DIRECTOR INDEPENDENCE</w:t>
              </w:r>
            </w:hyperlink>
          </w:p>
        </w:tc>
        <w:tc>
          <w:tcPr>
            <w:tcW w:w="360" w:type="dxa"/>
            <w:vAlign w:val="bottom"/>
            <w:gridSpan w:val="2"/>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86</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14.</w:t>
            </w:r>
          </w:p>
        </w:tc>
        <w:tc>
          <w:tcPr>
            <w:tcW w:w="7700" w:type="dxa"/>
            <w:vAlign w:val="bottom"/>
            <w:gridSpan w:val="22"/>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PRINCIPAL ACCOUNTING FEES AND SERVICES</w:t>
              </w:r>
            </w:hyperlink>
          </w:p>
        </w:tc>
        <w:tc>
          <w:tcPr>
            <w:tcW w:w="360" w:type="dxa"/>
            <w:vAlign w:val="bottom"/>
            <w:gridSpan w:val="2"/>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86</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IV</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15.</w:t>
            </w:r>
          </w:p>
        </w:tc>
        <w:tc>
          <w:tcPr>
            <w:tcW w:w="4040" w:type="dxa"/>
            <w:vAlign w:val="bottom"/>
            <w:gridSpan w:val="15"/>
          </w:tcPr>
          <w:p>
            <w:pPr>
              <w:spacing w:after="0"/>
              <w:rPr>
                <w:rFonts w:ascii="Arial" w:cs="Arial" w:eastAsia="Arial" w:hAnsi="Arial"/>
                <w:sz w:val="18"/>
                <w:szCs w:val="18"/>
                <w:color w:val="0000FF"/>
                <w:w w:val="96"/>
              </w:rPr>
            </w:pPr>
            <w:hyperlink w:anchor="page96">
              <w:r>
                <w:rPr>
                  <w:rFonts w:ascii="Arial" w:cs="Arial" w:eastAsia="Arial" w:hAnsi="Arial"/>
                  <w:sz w:val="18"/>
                  <w:szCs w:val="18"/>
                  <w:color w:val="0000FF"/>
                  <w:w w:val="96"/>
                </w:rPr>
                <w:t>EXHIBITS, FINANCIAL STATEMENT SCHEDULES</w:t>
              </w:r>
            </w:hyperlink>
          </w:p>
        </w:tc>
        <w:tc>
          <w:tcPr>
            <w:tcW w:w="4020" w:type="dxa"/>
            <w:vAlign w:val="bottom"/>
            <w:gridSpan w:val="9"/>
          </w:tcPr>
          <w:p>
            <w:pPr>
              <w:spacing w:after="0"/>
              <w:rPr>
                <w:sz w:val="24"/>
                <w:szCs w:val="24"/>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6">
              <w:r>
                <w:rPr>
                  <w:rFonts w:ascii="Arial" w:cs="Arial" w:eastAsia="Arial" w:hAnsi="Arial"/>
                  <w:sz w:val="18"/>
                  <w:szCs w:val="18"/>
                  <w:color w:val="0000FF"/>
                </w:rPr>
                <w:t>94</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7"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This Form 10-K contains forward-looking statements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5"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Form 10-K. Given these uncertainties, you should not place undue reliance on these forward-looking statements.</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Forward-looking statements represent our management’s beliefs and assumptions only as of the date of this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10-K completely and with the understanding that our actual future results may be materially different from what we expect.</w:t>
      </w:r>
    </w:p>
    <w:p>
      <w:pPr>
        <w:spacing w:after="0" w:line="12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229"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“Fluidigm,” the Fluidigm logo, “Access Array,” “Biomark,” “C1,” “Callisto,” “CyTOF,” “Delta Gene,” “DVS Sciences,” “Dynamic Array,” “Digital Array,” “EP1,” “FC1,” “Flex Six,” “Fluidigm Cytobank,” “Juno,” “Maxpar,” “MSL,” “Open App,” “Polaris,” “Script Builder,” “Singular,” and “SNP Type” are trademarks or registered trademarks of Fluidigm Corporation. Other service marks, trademarks and trade names referred to in this Form 10-K are the property of their respective owners.</w:t>
      </w:r>
    </w:p>
    <w:p>
      <w:pPr>
        <w:spacing w:after="0" w:line="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21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Unless the context requires otherwise, references in this Annual Report on Form 10-K to “Fluidigm,” the “Company,” “we,” “us,” and “our” refer to Fluidigm Corporation and its subsidiaries.</w:t>
      </w:r>
    </w:p>
    <w:p>
      <w:pPr>
        <w:sectPr>
          <w:pgSz w:w="11900" w:h="16838" w:orient="portrait"/>
          <w:cols w:equalWidth="0" w:num="1">
            <w:col w:w="11400"/>
          </w:cols>
          <w:pgMar w:left="240" w:top="287"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create, manufacture, and market innovative technologies and life science tools focused on the exploration and analysis of single cells, as well as the industrial application of genomics, based upon our core microfluidics and mass cytometry technologies. We sell instruments and consumables, including integrated fluidic circuits, or IFCs, assays, and reagents, to academic institutions, clinical laboratories, and pharmaceutical, biotechnology, and agricultural biotechnology, or Ag-Bio, companies.</w:t>
      </w:r>
    </w:p>
    <w:p>
      <w:pPr>
        <w:spacing w:after="0" w:line="52"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Single-cell analysis is a rapidly-growing field that we believe has the potential to revolutionize basic discovery in biology and lead to new and better ways to diagnose and treat disease. We pioneered a field that is now known as single-cell genomics and, through our acquisition of DVS Sciences, Inc., or DVS, in February 2014, we expanded into the field of single-cell proteomics. Our single-cell biology platform empowers our customers to analyze a large number of individual cells using simplified workflows with increased speed and accuracy at reduced costs. Our products also enable customers to apply the knowledge of biology in industrial or other applied settings that typically utilize low quantity and/or quality samples in high-throughput repeat testing applications.</w:t>
      </w:r>
    </w:p>
    <w:p>
      <w:pPr>
        <w:spacing w:after="0" w:line="5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5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As of December 31, 2014, we had sold 1,325 systems to customers in more than 35 countries worldwide. Over 600 systems sold have been designated for single-cell biology research. We have grown our total revenue from $52.3 million in 2012 to $116.5 million in 2014 (including $20.7 million in revenue from the sale of CyTOF 2 systems and related consumables following our acquisition of DVS in February 2014). For additional information regarding the DVS acquisition, please see Note 4 to our audited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current markets for our products include life science research and production genomics.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Single-Cell Biology</w:t>
      </w:r>
      <w:r>
        <w:rPr>
          <w:rFonts w:ascii="Arial" w:cs="Arial" w:eastAsia="Arial" w:hAnsi="Arial"/>
          <w:sz w:val="18"/>
          <w:szCs w:val="18"/>
          <w:color w:val="auto"/>
        </w:rPr>
        <w:t>. Life science research typically involves the analysis of samples containing many thousands of cells of many different types. When</w:t>
      </w:r>
      <w:r>
        <w:rPr>
          <w:rFonts w:ascii="Arial" w:cs="Arial" w:eastAsia="Arial" w:hAnsi="Arial"/>
          <w:sz w:val="18"/>
          <w:szCs w:val="18"/>
          <w:i w:val="1"/>
          <w:iCs w:val="1"/>
          <w:color w:val="auto"/>
        </w:rPr>
        <w:t xml:space="preserve"> </w:t>
      </w:r>
      <w:r>
        <w:rPr>
          <w:rFonts w:ascii="Arial" w:cs="Arial" w:eastAsia="Arial" w:hAnsi="Arial"/>
          <w:sz w:val="18"/>
          <w:szCs w:val="18"/>
          <w:color w:val="auto"/>
        </w:rPr>
        <w:t>such samples are studied using traditional methodologies, the results obtained reflect a rough average of the activity of all of the cells in the sample, which masks critical differences in cell types and between individual cells of the same type. Additionally, in fields such as in-vitro fertilization and stem cell research, the number of cells available for analysis is inherently limited and the small amount of genetic material in a single cell prevents conventional methods from analyzing the activity of more than a few genes.</w:t>
      </w:r>
    </w:p>
    <w:p>
      <w:pPr>
        <w:spacing w:after="0" w:line="53"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Single-cell biology is a rapidly emerging area of life science research that requires specialized tools and techniques to harvest and process individual cells with high sensitivity and reproducibility. Single-cell biology researchers need to conduct a high number of tests on a large number of individual cells, which in combination translates into thousands of experiments that must be accurate, fast, simple, and low cost. Our systems enable researchers to perform gene expression or protein expression analysis on single cells on a scale that is otherwise impractical with conventional systems due to the cost, experimental variability, and the large amount of biological sample required to initiate typical studies.</w:t>
      </w:r>
    </w:p>
    <w:p>
      <w:pPr>
        <w:spacing w:after="0" w:line="37"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i w:val="1"/>
          <w:iCs w:val="1"/>
          <w:color w:val="auto"/>
        </w:rPr>
        <w:t xml:space="preserve">Genomics. </w:t>
      </w:r>
      <w:r>
        <w:rPr>
          <w:rFonts w:ascii="Arial" w:cs="Arial" w:eastAsia="Arial" w:hAnsi="Arial"/>
          <w:sz w:val="17"/>
          <w:szCs w:val="17"/>
          <w:color w:val="auto"/>
        </w:rPr>
        <w:t>One primary area of focus within life science research is genetic analysis, the study of genes and their functions. The hereditary material or</w:t>
      </w:r>
      <w:r>
        <w:rPr>
          <w:rFonts w:ascii="Arial" w:cs="Arial" w:eastAsia="Arial" w:hAnsi="Arial"/>
          <w:sz w:val="17"/>
          <w:szCs w:val="17"/>
          <w:i w:val="1"/>
          <w:iCs w:val="1"/>
          <w:color w:val="auto"/>
        </w:rPr>
        <w:t xml:space="preserve"> </w:t>
      </w:r>
      <w:r>
        <w:rPr>
          <w:rFonts w:ascii="Arial" w:cs="Arial" w:eastAsia="Arial" w:hAnsi="Arial"/>
          <w:sz w:val="17"/>
          <w:szCs w:val="17"/>
          <w:color w:val="auto"/>
        </w:rPr>
        <w:t>nucleic acid of an organism is often referred to as its genome, the protein-encoding regions of which are commonly known as genes. Analysis of variations in genomes, genes, and gene activity in and between organisms can provide valuable insight into their health and functioning. Single-cell genomics is the study of the sequence and expression of genes and their ultimate functions at the individual cell level.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several forms of genetic analysis in use today, including genotyping, gene expression analysis, and DNA sequencing.</w:t>
      </w:r>
    </w:p>
    <w:p>
      <w:pPr>
        <w:spacing w:after="0" w:line="225" w:lineRule="exact"/>
        <w:rPr>
          <w:sz w:val="20"/>
          <w:szCs w:val="20"/>
          <w:color w:val="auto"/>
        </w:rPr>
      </w:pPr>
    </w:p>
    <w:p>
      <w:pPr>
        <w:ind w:left="820" w:right="10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Genotyping involves the analysis of DNA variations across individual genomes. There are multiple forms of variants, including single nucleotide polymorphism, or SNPs, insertion-deletions, and copy number variation. 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87" w:right="279" w:bottom="1440" w:gutter="0" w:footer="0" w:header="0"/>
        </w:sectPr>
      </w:pPr>
    </w:p>
    <w:bookmarkStart w:id="4" w:name="page5"/>
    <w:bookmarkEnd w:id="4"/>
    <w:p>
      <w:pPr>
        <w:ind w:left="820" w:right="400"/>
        <w:spacing w:after="0" w:line="324" w:lineRule="auto"/>
        <w:rPr>
          <w:sz w:val="20"/>
          <w:szCs w:val="20"/>
          <w:color w:val="auto"/>
        </w:rPr>
      </w:pPr>
      <w:r>
        <w:rPr>
          <w:rFonts w:ascii="Arial" w:cs="Arial" w:eastAsia="Arial" w:hAnsi="Arial"/>
          <w:sz w:val="18"/>
          <w:szCs w:val="18"/>
          <w:color w:val="auto"/>
        </w:rPr>
        <w:t>common application of genotyping focuses on analyzing SNPs to determine whether a SNP or group of SNPs are associated with a particular genetic trait, such as propensity for a disease.</w:t>
      </w:r>
    </w:p>
    <w:p>
      <w:pPr>
        <w:spacing w:after="0" w:line="143" w:lineRule="exact"/>
        <w:rPr>
          <w:sz w:val="20"/>
          <w:szCs w:val="20"/>
          <w:color w:val="auto"/>
        </w:rPr>
      </w:pPr>
    </w:p>
    <w:p>
      <w:pPr>
        <w:jc w:val="both"/>
        <w:ind w:left="820" w:right="240" w:hanging="326"/>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 expression analysis involves measuring the levels of particular ribonucleic acid sequences known as messenger RNAs, or mRNAs, which have been transcribed from genes. Determining these levels is important because mRNAs are often translated by the cell into proteins, and may affect the activity of the cell or the larger organism.</w:t>
      </w:r>
    </w:p>
    <w:p>
      <w:pPr>
        <w:spacing w:after="0" w:line="181" w:lineRule="exact"/>
        <w:rPr>
          <w:rFonts w:ascii="Arial" w:cs="Arial" w:eastAsia="Arial" w:hAnsi="Arial"/>
          <w:sz w:val="18"/>
          <w:szCs w:val="18"/>
          <w:color w:val="auto"/>
        </w:rPr>
      </w:pPr>
    </w:p>
    <w:p>
      <w:pPr>
        <w:ind w:left="820" w:hanging="326"/>
        <w:spacing w:after="0" w:line="259"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DNA sequencing is a process by which researchers are able to determine the particular order of nucleotide bases that comprise all or a portion of a particular gene or genome, and typically improves with target enrichment, such as complex sample preparation and tagging processes. Researchers are increasingly using next-generation DNA sequencers to rapidly and cost-effectively sequence portions of genomes, which is important for the identification of genetic variations that correlate with particular phenotypes.</w:t>
      </w:r>
    </w:p>
    <w:p>
      <w:pPr>
        <w:spacing w:after="0" w:line="13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Gene expression and genotyping are studied through a combination of various technology platforms that characterize gene function and genetic variation. These platforms often rely on polymerase chain reaction, or PCR, amplification to generate exponential copies of a DNA sample to provide sufficient signal to facilitate detection. Real-time quantitative PCR, or real-time qPCR, is a more advanced form of PCR that makes it possible to quantify the number of copies of DNA present in a sample.</w:t>
      </w:r>
    </w:p>
    <w:p>
      <w:pPr>
        <w:spacing w:after="0" w:line="13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i w:val="1"/>
          <w:iCs w:val="1"/>
          <w:color w:val="auto"/>
        </w:rPr>
        <w:t>Proteomics</w:t>
      </w:r>
      <w:r>
        <w:rPr>
          <w:rFonts w:ascii="Arial" w:cs="Arial" w:eastAsia="Arial" w:hAnsi="Arial"/>
          <w:sz w:val="18"/>
          <w:szCs w:val="18"/>
          <w:color w:val="auto"/>
        </w:rPr>
        <w:t>. Another focus within life science research is protein analysis, the study of proteins and their structures and functions. Proteins perform a</w:t>
      </w:r>
      <w:r>
        <w:rPr>
          <w:rFonts w:ascii="Arial" w:cs="Arial" w:eastAsia="Arial" w:hAnsi="Arial"/>
          <w:sz w:val="18"/>
          <w:szCs w:val="18"/>
          <w:i w:val="1"/>
          <w:iCs w:val="1"/>
          <w:color w:val="auto"/>
        </w:rPr>
        <w:t xml:space="preserve"> </w:t>
      </w:r>
      <w:r>
        <w:rPr>
          <w:rFonts w:ascii="Arial" w:cs="Arial" w:eastAsia="Arial" w:hAnsi="Arial"/>
          <w:sz w:val="18"/>
          <w:szCs w:val="18"/>
          <w:color w:val="auto"/>
        </w:rPr>
        <w:t>vast array of functions within living organisms, including catalyzing metabolic reactions, replicating DNA, responding to stimuli, and transporting molecules from one location to another. Protein analysis is required to profile and understand cellular function.</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are several forms of high-throughput protein analysis in use today, including mass spectrometry, traditional flow cytometry, and mass cytometry.</w:t>
      </w:r>
    </w:p>
    <w:p>
      <w:pPr>
        <w:spacing w:after="0" w:line="248" w:lineRule="exact"/>
        <w:rPr>
          <w:sz w:val="20"/>
          <w:szCs w:val="20"/>
          <w:color w:val="auto"/>
        </w:rPr>
      </w:pPr>
    </w:p>
    <w:p>
      <w:pPr>
        <w:ind w:left="820" w:right="40" w:hanging="326"/>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Mass spectrometry is an analytical chemistry technique that measures the mass-to-charge ratio in molecules using external electric and magnetic fields. Mass spectrometry techniques are limited to bulk samples and provide an understanding of global protein dynamics on a tissue or organism level, but does not alone enable researchers to analyze data at a single cell level.</w:t>
      </w:r>
    </w:p>
    <w:p>
      <w:pPr>
        <w:spacing w:after="0" w:line="181" w:lineRule="exact"/>
        <w:rPr>
          <w:rFonts w:ascii="Arial" w:cs="Arial" w:eastAsia="Arial" w:hAnsi="Arial"/>
          <w:sz w:val="18"/>
          <w:szCs w:val="18"/>
          <w:color w:val="auto"/>
        </w:rPr>
      </w:pPr>
    </w:p>
    <w:p>
      <w:pPr>
        <w:ind w:left="820" w:right="280" w:hanging="326"/>
        <w:spacing w:after="0" w:line="255"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Traditional flow cytometry utilizes a suspension of cells in a stream of fluid and passes them through an electronic detection apparatus to allow simultaneous multi-parameter analysis of the physical and chemical characteristics of up to thousands of cells per second. Although traditional flow cytometry technologies are high-throughput with single-cell analysis capabilities, a key limitation is the use of fluorescent dyes to label antibodies for detection. These fluorescent labels have emission spectra that typically overlap, making it challenging to optimize reagents to analyze many protein markers at once. In general, the number of protein targets for conventional flow cytometry is less than about 10 with significant reagent optimization often involved.</w:t>
      </w:r>
    </w:p>
    <w:p>
      <w:pPr>
        <w:spacing w:after="0" w:line="193" w:lineRule="exact"/>
        <w:rPr>
          <w:rFonts w:ascii="Arial" w:cs="Arial" w:eastAsia="Arial" w:hAnsi="Arial"/>
          <w:sz w:val="18"/>
          <w:szCs w:val="18"/>
          <w:color w:val="auto"/>
        </w:rPr>
      </w:pPr>
    </w:p>
    <w:p>
      <w:pPr>
        <w:ind w:left="820" w:right="60" w:hanging="326"/>
        <w:spacing w:after="0" w:line="302"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Mass cytometry is similar to traditional flow cytometry but is based primarily on antibodies using heavy metal isotope labels rather than fluorescent labels for detection of proteins, enabling the significant expansion of the number of parameters analyzed per individual cell versus conventional flow cytometry technologies. With high-throughput, single-cell analysis capabilities, and the ability to analyze more protein markers per individual cell, researchers have more granular information, which allows them to identify and characterize even finer subpopulations of cells.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Production Genomics</w:t>
      </w:r>
    </w:p>
    <w:p>
      <w:pPr>
        <w:spacing w:after="0" w:line="90"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Production genomics includes applied markets that utilize biology in an industrial or applied setting and typically involves high-throughput repeat testing applications. Key production genomics customers include Ag-Bio companies, clinical laboratories, and biorepositories.</w:t>
      </w:r>
    </w:p>
    <w:p>
      <w:pPr>
        <w:spacing w:after="0" w:line="1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Agricultural Biotechnology</w:t>
      </w:r>
      <w:r>
        <w:rPr>
          <w:rFonts w:ascii="Arial" w:cs="Arial" w:eastAsia="Arial" w:hAnsi="Arial"/>
          <w:sz w:val="18"/>
          <w:szCs w:val="18"/>
          <w:color w:val="auto"/>
        </w:rPr>
        <w:t>. Ag-Bio applies scientific techniques, including genetic analysis techniques such as SNP genotyping and DNA sequencing,</w:t>
      </w:r>
      <w:r>
        <w:rPr>
          <w:rFonts w:ascii="Arial" w:cs="Arial" w:eastAsia="Arial" w:hAnsi="Arial"/>
          <w:sz w:val="18"/>
          <w:szCs w:val="18"/>
          <w:i w:val="1"/>
          <w:iCs w:val="1"/>
          <w:color w:val="auto"/>
        </w:rPr>
        <w:t xml:space="preserve"> </w:t>
      </w:r>
      <w:r>
        <w:rPr>
          <w:rFonts w:ascii="Arial" w:cs="Arial" w:eastAsia="Arial" w:hAnsi="Arial"/>
          <w:sz w:val="18"/>
          <w:szCs w:val="18"/>
          <w:color w:val="auto"/>
        </w:rPr>
        <w:t>to study and improve desired characteristics in plants, animals, and microorganisms. Genetic analysis techniques have become increasingly useful in Ag-Bio applications, including wildlife population studies, agricultural quality control, and commercial genetic engineering and identification. Ag-Bio customers require systems that can quickly and accurately analyze a large number of samples, such as tissue from livestock populations or seeds from a production lot, in a high-throughput and cost-efficient manner.</w:t>
      </w:r>
    </w:p>
    <w:p>
      <w:pPr>
        <w:sectPr>
          <w:pgSz w:w="11900" w:h="16838" w:orient="portrait"/>
          <w:cols w:equalWidth="0" w:num="1">
            <w:col w:w="11400"/>
          </w:cols>
          <w:pgMar w:left="240" w:top="152" w:right="259" w:bottom="1440" w:gutter="0" w:footer="0" w:header="0"/>
        </w:sectPr>
      </w:pPr>
    </w:p>
    <w:bookmarkStart w:id="5" w:name="page6"/>
    <w:bookmarkEnd w:id="5"/>
    <w:p>
      <w:pPr>
        <w:ind w:firstLine="432"/>
        <w:spacing w:after="0" w:line="297" w:lineRule="auto"/>
        <w:rPr>
          <w:sz w:val="20"/>
          <w:szCs w:val="20"/>
          <w:color w:val="auto"/>
        </w:rPr>
      </w:pPr>
      <w:r>
        <w:rPr>
          <w:rFonts w:ascii="Arial" w:cs="Arial" w:eastAsia="Arial" w:hAnsi="Arial"/>
          <w:sz w:val="16"/>
          <w:szCs w:val="16"/>
          <w:i w:val="1"/>
          <w:iCs w:val="1"/>
          <w:color w:val="auto"/>
        </w:rPr>
        <w:t>Clinical Laboratories</w:t>
      </w:r>
      <w:r>
        <w:rPr>
          <w:rFonts w:ascii="Arial" w:cs="Arial" w:eastAsia="Arial" w:hAnsi="Arial"/>
          <w:sz w:val="16"/>
          <w:szCs w:val="16"/>
          <w:color w:val="auto"/>
        </w:rPr>
        <w:t>. Recent advances in genetic analysis technology are increasingly being used for clinical research applications. Techniques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SNP genotyping, DNA sequencing, gene expression analysis, and other genetic correlation studies have been developed to identify disease susceptibility and to diagnose, classify, and monitor disease progression. Research relating to molecular diagnostic tests based on measuring these genetic markers have the potential to be much more accurate and robust than conventional diagnostics. Validating these research findings and translating them into clinically available tests often requires life science automation systems that are able to measure multiple biomarkers efficiently in a large number of patient samples.</w:t>
      </w:r>
    </w:p>
    <w:p>
      <w:pPr>
        <w:spacing w:after="0" w:line="23" w:lineRule="exact"/>
        <w:rPr>
          <w:sz w:val="20"/>
          <w:szCs w:val="20"/>
          <w:color w:val="auto"/>
        </w:rPr>
      </w:pPr>
    </w:p>
    <w:p>
      <w:pPr>
        <w:jc w:val="both"/>
        <w:ind w:right="440" w:firstLine="432"/>
        <w:spacing w:after="0" w:line="259" w:lineRule="auto"/>
        <w:rPr>
          <w:sz w:val="20"/>
          <w:szCs w:val="20"/>
          <w:color w:val="auto"/>
        </w:rPr>
      </w:pPr>
      <w:r>
        <w:rPr>
          <w:rFonts w:ascii="Arial" w:cs="Arial" w:eastAsia="Arial" w:hAnsi="Arial"/>
          <w:sz w:val="18"/>
          <w:szCs w:val="18"/>
          <w:i w:val="1"/>
          <w:iCs w:val="1"/>
          <w:color w:val="auto"/>
        </w:rPr>
        <w:t>Biorepositories</w:t>
      </w:r>
      <w:r>
        <w:rPr>
          <w:rFonts w:ascii="Arial" w:cs="Arial" w:eastAsia="Arial" w:hAnsi="Arial"/>
          <w:sz w:val="18"/>
          <w:szCs w:val="18"/>
          <w:color w:val="auto"/>
        </w:rPr>
        <w:t>. Advancements in biology have led to an increased dependence on biorepositories to store genetic material for future testing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Flaws in the identity and quality of biorepository specimens are costly and result in erroneous data. To ensure sample integrity, biorepositories require cost-effective, simple, and high-throughput techniques to identify DNA samples and ensure traceability throughout the banking and downstream analytical processes.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market innovative technologies and life-science tools, including analytical and preparatory systems for genomic and proteomic analysis, and consumables, including IFCs, assays, and reagents. Our primary product offerings are summarized in the table below:</w:t>
      </w:r>
    </w:p>
    <w:p>
      <w:pPr>
        <w:sectPr>
          <w:pgSz w:w="11900" w:h="16838" w:orient="portrait"/>
          <w:cols w:equalWidth="0" w:num="1">
            <w:col w:w="11400"/>
          </w:cols>
          <w:pgMar w:left="240" w:top="206" w:right="259" w:bottom="1440" w:gutter="0" w:footer="0" w:header="0"/>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gridSpan w:val="2"/>
          </w:tcPr>
          <w:p>
            <w:pPr>
              <w:ind w:left="1620"/>
              <w:spacing w:after="0"/>
              <w:rPr>
                <w:sz w:val="20"/>
                <w:szCs w:val="20"/>
                <w:color w:val="auto"/>
              </w:rPr>
            </w:pPr>
            <w:r>
              <w:rPr>
                <w:rFonts w:ascii="Arial" w:cs="Arial" w:eastAsia="Arial" w:hAnsi="Arial"/>
                <w:sz w:val="14"/>
                <w:szCs w:val="14"/>
                <w:b w:val="1"/>
                <w:bCs w:val="1"/>
                <w:color w:val="auto"/>
              </w:rPr>
              <w:t>Product</w:t>
            </w:r>
          </w:p>
        </w:tc>
        <w:tc>
          <w:tcPr>
            <w:tcW w:w="4000" w:type="dxa"/>
            <w:vAlign w:val="bottom"/>
          </w:tcPr>
          <w:p>
            <w:pPr>
              <w:ind w:left="1380"/>
              <w:spacing w:after="0"/>
              <w:rPr>
                <w:sz w:val="20"/>
                <w:szCs w:val="20"/>
                <w:color w:val="auto"/>
              </w:rPr>
            </w:pPr>
            <w:r>
              <w:rPr>
                <w:rFonts w:ascii="Arial" w:cs="Arial" w:eastAsia="Arial" w:hAnsi="Arial"/>
                <w:sz w:val="14"/>
                <w:szCs w:val="14"/>
                <w:b w:val="1"/>
                <w:bCs w:val="1"/>
                <w:color w:val="auto"/>
              </w:rPr>
              <w:t>Product Description</w:t>
            </w:r>
          </w:p>
        </w:tc>
      </w:tr>
      <w:tr>
        <w:trPr>
          <w:trHeight w:val="80"/>
        </w:trPr>
        <w:tc>
          <w:tcPr>
            <w:tcW w:w="3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0" w:type="dxa"/>
            <w:vAlign w:val="bottom"/>
            <w:tcBorders>
              <w:bottom w:val="single" w:sz="8" w:color="auto"/>
            </w:tcBorders>
          </w:tcPr>
          <w:p>
            <w:pPr>
              <w:spacing w:after="0"/>
              <w:rPr>
                <w:sz w:val="6"/>
                <w:szCs w:val="6"/>
                <w:color w:val="auto"/>
              </w:rPr>
            </w:pPr>
          </w:p>
        </w:tc>
      </w:tr>
      <w:tr>
        <w:trPr>
          <w:trHeight w:val="237"/>
        </w:trPr>
        <w:tc>
          <w:tcPr>
            <w:tcW w:w="3820" w:type="dxa"/>
            <w:vAlign w:val="bottom"/>
            <w:gridSpan w:val="2"/>
          </w:tcPr>
          <w:p>
            <w:pPr>
              <w:ind w:left="40"/>
              <w:spacing w:after="0"/>
              <w:rPr>
                <w:sz w:val="20"/>
                <w:szCs w:val="20"/>
                <w:color w:val="auto"/>
              </w:rPr>
            </w:pPr>
            <w:r>
              <w:rPr>
                <w:rFonts w:ascii="Arial" w:cs="Arial" w:eastAsia="Arial" w:hAnsi="Arial"/>
                <w:sz w:val="18"/>
                <w:szCs w:val="18"/>
                <w:b w:val="1"/>
                <w:bCs w:val="1"/>
                <w:color w:val="auto"/>
              </w:rPr>
              <w:t>Preparatory Instruments</w:t>
            </w:r>
          </w:p>
        </w:tc>
        <w:tc>
          <w:tcPr>
            <w:tcW w:w="4000" w:type="dxa"/>
            <w:vAlign w:val="bottom"/>
          </w:tcPr>
          <w:p>
            <w:pPr>
              <w:spacing w:after="0"/>
              <w:rPr>
                <w:sz w:val="20"/>
                <w:szCs w:val="20"/>
                <w:color w:val="auto"/>
              </w:rPr>
            </w:pPr>
          </w:p>
        </w:tc>
      </w:tr>
      <w:tr>
        <w:trPr>
          <w:trHeight w:val="25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C1 Single-Cell Auto Prep System</w:t>
            </w:r>
          </w:p>
        </w:tc>
        <w:tc>
          <w:tcPr>
            <w:tcW w:w="4000" w:type="dxa"/>
            <w:vAlign w:val="bottom"/>
          </w:tcPr>
          <w:p>
            <w:pPr>
              <w:ind w:left="20"/>
              <w:spacing w:after="0"/>
              <w:rPr>
                <w:sz w:val="20"/>
                <w:szCs w:val="20"/>
                <w:color w:val="auto"/>
              </w:rPr>
            </w:pPr>
            <w:r>
              <w:rPr>
                <w:rFonts w:ascii="Arial" w:cs="Arial" w:eastAsia="Arial" w:hAnsi="Arial"/>
                <w:sz w:val="18"/>
                <w:szCs w:val="18"/>
                <w:color w:val="auto"/>
                <w:w w:val="96"/>
              </w:rPr>
              <w:t>Sample preparation system that rapidly and reliably</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8"/>
              </w:rPr>
              <w:t>isolates, processes, and profiles individual cells for</w:t>
            </w:r>
          </w:p>
        </w:tc>
      </w:tr>
      <w:tr>
        <w:trPr>
          <w:trHeight w:val="230"/>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genomic analysis.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0"/>
        <w:spacing w:after="0"/>
        <w:tabs>
          <w:tab w:leader="none" w:pos="3820" w:val="left"/>
        </w:tabs>
        <w:rPr>
          <w:sz w:val="20"/>
          <w:szCs w:val="20"/>
          <w:color w:val="auto"/>
        </w:rPr>
      </w:pPr>
      <w:r>
        <w:rPr>
          <w:rFonts w:ascii="Arial" w:cs="Arial" w:eastAsia="Arial" w:hAnsi="Arial"/>
          <w:sz w:val="18"/>
          <w:szCs w:val="18"/>
          <w:color w:val="auto"/>
        </w:rPr>
        <w:t>Access Array System</w:t>
      </w:r>
      <w:r>
        <w:rPr>
          <w:sz w:val="20"/>
          <w:szCs w:val="20"/>
          <w:color w:val="auto"/>
        </w:rPr>
        <w:tab/>
      </w:r>
      <w:r>
        <w:rPr>
          <w:rFonts w:ascii="Arial" w:cs="Arial" w:eastAsia="Arial" w:hAnsi="Arial"/>
          <w:sz w:val="15"/>
          <w:szCs w:val="15"/>
          <w:color w:val="auto"/>
        </w:rPr>
        <w:t>Sample preparation system that enables automated</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PCR-based target enrichment, barcoding, and tagging</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 targeted resequencing libraries and facilitates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parallel amplification of up to 480 amplicons across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48 unique samples.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Analytical Instruments</w:t>
      </w:r>
    </w:p>
    <w:p>
      <w:pPr>
        <w:spacing w:after="0" w:line="67" w:lineRule="exact"/>
        <w:rPr>
          <w:sz w:val="20"/>
          <w:szCs w:val="20"/>
          <w:color w:val="auto"/>
        </w:rPr>
      </w:pPr>
    </w:p>
    <w:p>
      <w:pPr>
        <w:ind w:left="180"/>
        <w:spacing w:after="0"/>
        <w:tabs>
          <w:tab w:leader="none" w:pos="3820" w:val="left"/>
        </w:tabs>
        <w:rPr>
          <w:sz w:val="20"/>
          <w:szCs w:val="20"/>
          <w:color w:val="auto"/>
        </w:rPr>
      </w:pPr>
      <w:r>
        <w:rPr>
          <w:rFonts w:ascii="Arial" w:cs="Arial" w:eastAsia="Arial" w:hAnsi="Arial"/>
          <w:sz w:val="18"/>
          <w:szCs w:val="18"/>
          <w:color w:val="auto"/>
        </w:rPr>
        <w:t>Biomark HD System</w:t>
      </w:r>
      <w:r>
        <w:rPr>
          <w:sz w:val="20"/>
          <w:szCs w:val="20"/>
          <w:color w:val="auto"/>
        </w:rPr>
        <w:tab/>
      </w:r>
      <w:r>
        <w:rPr>
          <w:rFonts w:ascii="Arial" w:cs="Arial" w:eastAsia="Arial" w:hAnsi="Arial"/>
          <w:sz w:val="16"/>
          <w:szCs w:val="16"/>
          <w:color w:val="auto"/>
        </w:rPr>
        <w:t>Real-time PCR analytical instrument for high-</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throughput gene expression analysis, single-cell</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targeted gene expression analysis, microRNA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analysis, SNP genotyping, and digital PCR.</w:t>
      </w:r>
    </w:p>
    <w:p>
      <w:pPr>
        <w:spacing w:after="0" w:line="265" w:lineRule="exact"/>
        <w:rPr>
          <w:sz w:val="20"/>
          <w:szCs w:val="20"/>
          <w:color w:val="auto"/>
        </w:rPr>
      </w:pPr>
    </w:p>
    <w:p>
      <w:pPr>
        <w:ind w:left="180"/>
        <w:spacing w:after="0"/>
        <w:tabs>
          <w:tab w:leader="none" w:pos="3820" w:val="left"/>
        </w:tabs>
        <w:rPr>
          <w:sz w:val="20"/>
          <w:szCs w:val="20"/>
          <w:color w:val="auto"/>
        </w:rPr>
      </w:pPr>
      <w:r>
        <w:rPr>
          <w:rFonts w:ascii="Arial" w:cs="Arial" w:eastAsia="Arial" w:hAnsi="Arial"/>
          <w:sz w:val="18"/>
          <w:szCs w:val="18"/>
          <w:color w:val="auto"/>
        </w:rPr>
        <w:t>EP1 System</w:t>
      </w:r>
      <w:r>
        <w:rPr>
          <w:sz w:val="20"/>
          <w:szCs w:val="20"/>
          <w:color w:val="auto"/>
        </w:rPr>
        <w:tab/>
      </w:r>
      <w:r>
        <w:rPr>
          <w:rFonts w:ascii="Arial" w:cs="Arial" w:eastAsia="Arial" w:hAnsi="Arial"/>
          <w:sz w:val="16"/>
          <w:szCs w:val="16"/>
          <w:color w:val="auto"/>
        </w:rPr>
        <w:t>End-point PCR analytical instrument that performs</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high-throughput SNP genotyping and end-point digital</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PCR.</w:t>
      </w:r>
    </w:p>
    <w:p>
      <w:pPr>
        <w:spacing w:after="0" w:line="265" w:lineRule="exact"/>
        <w:rPr>
          <w:sz w:val="20"/>
          <w:szCs w:val="20"/>
          <w:color w:val="auto"/>
        </w:rPr>
      </w:pPr>
    </w:p>
    <w:p>
      <w:pPr>
        <w:ind w:left="180"/>
        <w:spacing w:after="0"/>
        <w:tabs>
          <w:tab w:leader="none" w:pos="3820" w:val="left"/>
        </w:tabs>
        <w:rPr>
          <w:sz w:val="20"/>
          <w:szCs w:val="20"/>
          <w:color w:val="auto"/>
        </w:rPr>
      </w:pPr>
      <w:r>
        <w:rPr>
          <w:rFonts w:ascii="Arial" w:cs="Arial" w:eastAsia="Arial" w:hAnsi="Arial"/>
          <w:sz w:val="18"/>
          <w:szCs w:val="18"/>
          <w:color w:val="auto"/>
        </w:rPr>
        <w:t>CyTOF 2 System</w:t>
      </w:r>
      <w:r>
        <w:rPr>
          <w:sz w:val="20"/>
          <w:szCs w:val="20"/>
          <w:color w:val="auto"/>
        </w:rPr>
        <w:tab/>
      </w:r>
      <w:r>
        <w:rPr>
          <w:rFonts w:ascii="Arial" w:cs="Arial" w:eastAsia="Arial" w:hAnsi="Arial"/>
          <w:sz w:val="16"/>
          <w:szCs w:val="16"/>
          <w:color w:val="auto"/>
        </w:rPr>
        <w:t>Mass cytometry instrument that performs high-</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parameter single-cell protein analysis by analyzing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cells labeled with a panel of reagents conjugated to</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stable metal isotopes.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66675</wp:posOffset>
            </wp:positionV>
            <wp:extent cx="1861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381" w:lineRule="exact"/>
        <w:rPr>
          <w:sz w:val="20"/>
          <w:szCs w:val="20"/>
          <w:color w:val="auto"/>
        </w:rPr>
      </w:pPr>
    </w:p>
    <w:p>
      <w:pPr>
        <w:ind w:right="580"/>
        <w:spacing w:after="0" w:line="272" w:lineRule="auto"/>
        <w:rPr>
          <w:sz w:val="20"/>
          <w:szCs w:val="20"/>
          <w:color w:val="auto"/>
        </w:rPr>
      </w:pPr>
      <w:r>
        <w:rPr>
          <w:rFonts w:ascii="Arial" w:cs="Arial" w:eastAsia="Arial" w:hAnsi="Arial"/>
          <w:sz w:val="17"/>
          <w:szCs w:val="17"/>
          <w:color w:val="auto"/>
        </w:rPr>
        <w:t>Single-Cell Targeted Gene Expression, Single-Cell microRNA Analysis, Single-Cell mRNA Sequencing, Single-Cell Targeted DNA Sequencing, Single-Cell Whole Exome Sequencing, and Single-Cell Whole Genome DNA Sequencing</w:t>
      </w:r>
    </w:p>
    <w:p>
      <w:pPr>
        <w:spacing w:after="0" w:line="16" w:lineRule="exact"/>
        <w:rPr>
          <w:sz w:val="20"/>
          <w:szCs w:val="20"/>
          <w:color w:val="auto"/>
        </w:rPr>
      </w:pPr>
    </w:p>
    <w:p>
      <w:pPr>
        <w:ind w:right="1400"/>
        <w:spacing w:after="0" w:line="264" w:lineRule="auto"/>
        <w:rPr>
          <w:sz w:val="20"/>
          <w:szCs w:val="20"/>
          <w:color w:val="auto"/>
        </w:rPr>
      </w:pPr>
      <w:r>
        <w:rPr>
          <w:rFonts w:ascii="Arial" w:cs="Arial" w:eastAsia="Arial" w:hAnsi="Arial"/>
          <w:sz w:val="18"/>
          <w:szCs w:val="18"/>
          <w:color w:val="auto"/>
        </w:rPr>
        <w:t>Targeted Resequencing with Next-Generation DNA Sequencing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SNP Genotyping, Digital PCR, and Gene Expression, including Single-Cell Targeted Gene Expression</w:t>
      </w:r>
    </w:p>
    <w:p>
      <w:pPr>
        <w:spacing w:after="0" w:line="200" w:lineRule="exact"/>
        <w:rPr>
          <w:sz w:val="20"/>
          <w:szCs w:val="20"/>
          <w:color w:val="auto"/>
        </w:rPr>
      </w:pPr>
    </w:p>
    <w:p>
      <w:pPr>
        <w:spacing w:after="0" w:line="251" w:lineRule="exact"/>
        <w:rPr>
          <w:sz w:val="20"/>
          <w:szCs w:val="20"/>
          <w:color w:val="auto"/>
        </w:rPr>
      </w:pPr>
    </w:p>
    <w:p>
      <w:pPr>
        <w:ind w:right="1360"/>
        <w:spacing w:after="0" w:line="277" w:lineRule="auto"/>
        <w:rPr>
          <w:sz w:val="20"/>
          <w:szCs w:val="20"/>
          <w:color w:val="auto"/>
        </w:rPr>
      </w:pPr>
      <w:r>
        <w:rPr>
          <w:rFonts w:ascii="Arial" w:cs="Arial" w:eastAsia="Arial" w:hAnsi="Arial"/>
          <w:sz w:val="18"/>
          <w:szCs w:val="18"/>
          <w:color w:val="auto"/>
        </w:rPr>
        <w:t>SNP Genotyping and Digital PCR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Single-Cell Protein Analysis</w:t>
      </w:r>
    </w:p>
    <w:p>
      <w:pPr>
        <w:sectPr>
          <w:pgSz w:w="11900" w:h="16838" w:orient="portrait"/>
          <w:cols w:equalWidth="0" w:num="2">
            <w:col w:w="7820" w:space="140"/>
            <w:col w:w="3440"/>
          </w:cols>
          <w:pgMar w:left="240" w:top="206" w:right="259" w:bottom="1440" w:gutter="0" w:footer="0" w:header="0"/>
          <w:type w:val="continuous"/>
        </w:sectPr>
      </w:pPr>
    </w:p>
    <w:bookmarkStart w:id="6" w:name="page7"/>
    <w:bookmarkEnd w:id="6"/>
    <w:p>
      <w:pPr>
        <w:ind w:left="1620"/>
        <w:spacing w:after="0"/>
        <w:tabs>
          <w:tab w:leader="none" w:pos="5180" w:val="left"/>
          <w:tab w:leader="none" w:pos="900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Product Description</w:t>
      </w:r>
      <w:r>
        <w:rPr>
          <w:sz w:val="20"/>
          <w:szCs w:val="20"/>
          <w:color w:val="auto"/>
        </w:rPr>
        <w:tab/>
      </w:r>
      <w:r>
        <w:rPr>
          <w:rFonts w:ascii="Arial" w:cs="Arial" w:eastAsia="Arial" w:hAnsi="Arial"/>
          <w:sz w:val="12"/>
          <w:szCs w:val="12"/>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0820"/>
          </w:cols>
          <w:pgMar w:left="240" w:top="441" w:right="839" w:bottom="1440" w:gutter="0" w:footer="0" w:header="0"/>
        </w:sectPr>
      </w:pP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Integrated Fluidic Circuits (IFCs)</w:t>
            </w:r>
          </w:p>
        </w:tc>
        <w:tc>
          <w:tcPr>
            <w:tcW w:w="4000" w:type="dxa"/>
            <w:vAlign w:val="bottom"/>
          </w:tcPr>
          <w:p>
            <w:pPr>
              <w:spacing w:after="0"/>
              <w:rPr>
                <w:sz w:val="20"/>
                <w:szCs w:val="20"/>
                <w:color w:val="auto"/>
              </w:rPr>
            </w:pPr>
          </w:p>
        </w:tc>
      </w:tr>
      <w:tr>
        <w:trPr>
          <w:trHeight w:val="25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C1 IFCs</w:t>
            </w:r>
          </w:p>
        </w:tc>
        <w:tc>
          <w:tcPr>
            <w:tcW w:w="4000" w:type="dxa"/>
            <w:vAlign w:val="bottom"/>
          </w:tcPr>
          <w:p>
            <w:pPr>
              <w:ind w:left="20"/>
              <w:spacing w:after="0"/>
              <w:rPr>
                <w:sz w:val="20"/>
                <w:szCs w:val="20"/>
                <w:color w:val="auto"/>
              </w:rPr>
            </w:pPr>
            <w:r>
              <w:rPr>
                <w:rFonts w:ascii="Arial" w:cs="Arial" w:eastAsia="Arial" w:hAnsi="Arial"/>
                <w:sz w:val="18"/>
                <w:szCs w:val="18"/>
                <w:color w:val="auto"/>
              </w:rPr>
              <w:t>IFCs that capture and prepare individual cells for</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7"/>
              </w:rPr>
              <w:t>genomic analysis, and uses integrated thermal and</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1"/>
              </w:rPr>
              <w:t>pneumatic controls at nanoliter scale to perform all the</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steps of the single-cell genomic workflow without</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intervention; designed to maximize cell capture</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5"/>
              </w:rPr>
              <w:t>efficiency based on cell size (5-25 micron); available</w:t>
            </w:r>
          </w:p>
        </w:tc>
      </w:tr>
      <w:tr>
        <w:trPr>
          <w:trHeight w:val="230"/>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in three sizes per application.</w:t>
            </w:r>
          </w:p>
        </w:tc>
      </w:tr>
      <w:tr>
        <w:trPr>
          <w:trHeight w:val="256"/>
        </w:trPr>
        <w:tc>
          <w:tcPr>
            <w:tcW w:w="3820" w:type="dxa"/>
            <w:vAlign w:val="bottom"/>
            <w:gridSpan w:val="2"/>
          </w:tcPr>
          <w:p>
            <w:pPr>
              <w:ind w:left="160"/>
              <w:spacing w:after="0"/>
              <w:rPr>
                <w:sz w:val="20"/>
                <w:szCs w:val="20"/>
                <w:color w:val="auto"/>
              </w:rPr>
            </w:pPr>
            <w:r>
              <w:rPr>
                <w:rFonts w:ascii="Arial" w:cs="Arial" w:eastAsia="Arial" w:hAnsi="Arial"/>
                <w:sz w:val="18"/>
                <w:szCs w:val="18"/>
                <w:color w:val="auto"/>
              </w:rPr>
              <w:t>Access Array IFC</w:t>
            </w:r>
          </w:p>
        </w:tc>
        <w:tc>
          <w:tcPr>
            <w:tcW w:w="4000" w:type="dxa"/>
            <w:vAlign w:val="bottom"/>
          </w:tcPr>
          <w:p>
            <w:pPr>
              <w:ind w:left="20"/>
              <w:spacing w:after="0"/>
              <w:rPr>
                <w:sz w:val="20"/>
                <w:szCs w:val="20"/>
                <w:color w:val="auto"/>
              </w:rPr>
            </w:pPr>
            <w:r>
              <w:rPr>
                <w:rFonts w:ascii="Arial" w:cs="Arial" w:eastAsia="Arial" w:hAnsi="Arial"/>
                <w:sz w:val="18"/>
                <w:szCs w:val="18"/>
                <w:color w:val="auto"/>
                <w:w w:val="97"/>
              </w:rPr>
              <w:t>IFC that facilitates parallel amplification, barcoding,</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8"/>
              </w:rPr>
              <w:t>and tagging of 48 unique samples and designed to</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3"/>
              </w:rPr>
              <w:t>enable recovery of reaction products from the IFC for</w:t>
            </w:r>
          </w:p>
        </w:tc>
      </w:tr>
      <w:tr>
        <w:trPr>
          <w:trHeight w:val="230"/>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sequencing.</w:t>
            </w:r>
          </w:p>
        </w:tc>
      </w:tr>
      <w:tr>
        <w:trPr>
          <w:trHeight w:val="25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Dynamic Array IFCs</w:t>
            </w:r>
          </w:p>
        </w:tc>
        <w:tc>
          <w:tcPr>
            <w:tcW w:w="4000" w:type="dxa"/>
            <w:vAlign w:val="bottom"/>
          </w:tcPr>
          <w:p>
            <w:pPr>
              <w:ind w:left="20"/>
              <w:spacing w:after="0"/>
              <w:rPr>
                <w:sz w:val="20"/>
                <w:szCs w:val="20"/>
                <w:color w:val="auto"/>
              </w:rPr>
            </w:pPr>
            <w:r>
              <w:rPr>
                <w:rFonts w:ascii="Arial" w:cs="Arial" w:eastAsia="Arial" w:hAnsi="Arial"/>
                <w:sz w:val="18"/>
                <w:szCs w:val="18"/>
                <w:color w:val="auto"/>
                <w:w w:val="95"/>
              </w:rPr>
              <w:t>IFCs based on matrix architecture, allowing users to</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6"/>
              </w:rPr>
              <w:t>(i) individually assay up to 48 samples against up to</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9"/>
              </w:rPr>
              <w:t>48 assays, (ii) individually assay up to 96 samples</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5"/>
              </w:rPr>
              <w:t>against up to 96 assays, or (iii) individually assay up</w:t>
            </w:r>
          </w:p>
        </w:tc>
      </w:tr>
      <w:tr>
        <w:trPr>
          <w:trHeight w:val="230"/>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to 192 samples against up to 24 assays.</w:t>
            </w:r>
          </w:p>
        </w:tc>
      </w:tr>
      <w:tr>
        <w:trPr>
          <w:trHeight w:val="25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Digital Array IFCs</w:t>
            </w:r>
          </w:p>
        </w:tc>
        <w:tc>
          <w:tcPr>
            <w:tcW w:w="4000" w:type="dxa"/>
            <w:vAlign w:val="bottom"/>
          </w:tcPr>
          <w:p>
            <w:pPr>
              <w:ind w:left="20"/>
              <w:spacing w:after="0"/>
              <w:rPr>
                <w:sz w:val="20"/>
                <w:szCs w:val="20"/>
                <w:color w:val="auto"/>
              </w:rPr>
            </w:pPr>
            <w:r>
              <w:rPr>
                <w:rFonts w:ascii="Arial" w:cs="Arial" w:eastAsia="Arial" w:hAnsi="Arial"/>
                <w:sz w:val="18"/>
                <w:szCs w:val="18"/>
                <w:color w:val="auto"/>
                <w:w w:val="91"/>
              </w:rPr>
              <w:t>IFCs based on partitioning architecture, allowing users</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4"/>
              </w:rPr>
              <w:t>to divide samples into up to 770 chambers in each of</w:t>
            </w:r>
          </w:p>
        </w:tc>
      </w:tr>
      <w:tr>
        <w:trPr>
          <w:trHeight w:val="230"/>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8"/>
              </w:rPr>
              <w:t>up to 48 panels for up to 36,960 reactions per IFC.</w:t>
            </w:r>
          </w:p>
        </w:tc>
      </w:tr>
      <w:tr>
        <w:trPr>
          <w:trHeight w:val="25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Flex Six IFC</w:t>
            </w:r>
          </w:p>
        </w:tc>
        <w:tc>
          <w:tcPr>
            <w:tcW w:w="4000" w:type="dxa"/>
            <w:vAlign w:val="bottom"/>
          </w:tcPr>
          <w:p>
            <w:pPr>
              <w:ind w:left="20"/>
              <w:spacing w:after="0"/>
              <w:rPr>
                <w:sz w:val="20"/>
                <w:szCs w:val="20"/>
                <w:color w:val="auto"/>
              </w:rPr>
            </w:pPr>
            <w:r>
              <w:rPr>
                <w:rFonts w:ascii="Arial" w:cs="Arial" w:eastAsia="Arial" w:hAnsi="Arial"/>
                <w:sz w:val="18"/>
                <w:szCs w:val="18"/>
                <w:color w:val="auto"/>
                <w:w w:val="96"/>
              </w:rPr>
              <w:t>IFC that incorporates six 12 X 12 partitions that can</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0"/>
              </w:rPr>
              <w:t>be organized in any configuration, in up to six separate</w:t>
            </w:r>
          </w:p>
        </w:tc>
      </w:tr>
      <w:tr>
        <w:trPr>
          <w:trHeight w:val="230"/>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experimental runs.</w:t>
            </w: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Assays and Reagents</w:t>
            </w:r>
          </w:p>
        </w:tc>
        <w:tc>
          <w:tcPr>
            <w:tcW w:w="4000" w:type="dxa"/>
            <w:vAlign w:val="bottom"/>
          </w:tcPr>
          <w:p>
            <w:pPr>
              <w:spacing w:after="0"/>
              <w:rPr>
                <w:sz w:val="23"/>
                <w:szCs w:val="23"/>
                <w:color w:val="auto"/>
              </w:rPr>
            </w:pPr>
          </w:p>
        </w:tc>
      </w:tr>
      <w:tr>
        <w:trPr>
          <w:trHeight w:val="25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Delta Gene and SNP Type Assays</w:t>
            </w:r>
          </w:p>
        </w:tc>
        <w:tc>
          <w:tcPr>
            <w:tcW w:w="4000" w:type="dxa"/>
            <w:vAlign w:val="bottom"/>
          </w:tcPr>
          <w:p>
            <w:pPr>
              <w:ind w:left="20"/>
              <w:spacing w:after="0"/>
              <w:rPr>
                <w:sz w:val="20"/>
                <w:szCs w:val="20"/>
                <w:color w:val="auto"/>
              </w:rPr>
            </w:pPr>
            <w:r>
              <w:rPr>
                <w:rFonts w:ascii="Arial" w:cs="Arial" w:eastAsia="Arial" w:hAnsi="Arial"/>
                <w:sz w:val="18"/>
                <w:szCs w:val="18"/>
                <w:color w:val="auto"/>
              </w:rPr>
              <w:t>Custom designed assays for specific nucleic acid</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regions of interest, providing optimized assays,</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7"/>
              </w:rPr>
              <w:t>content, and services to users of Biomark and EP1</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systems at lower cost as compared to other</w:t>
            </w:r>
          </w:p>
        </w:tc>
      </w:tr>
      <w:tr>
        <w:trPr>
          <w:trHeight w:val="230"/>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commercially available chemistries.</w:t>
            </w:r>
          </w:p>
        </w:tc>
      </w:tr>
      <w:tr>
        <w:trPr>
          <w:trHeight w:val="256"/>
        </w:trPr>
        <w:tc>
          <w:tcPr>
            <w:tcW w:w="3820" w:type="dxa"/>
            <w:vAlign w:val="bottom"/>
            <w:gridSpan w:val="2"/>
          </w:tcPr>
          <w:p>
            <w:pPr>
              <w:ind w:left="160"/>
              <w:spacing w:after="0"/>
              <w:rPr>
                <w:sz w:val="20"/>
                <w:szCs w:val="20"/>
                <w:color w:val="auto"/>
              </w:rPr>
            </w:pPr>
            <w:r>
              <w:rPr>
                <w:rFonts w:ascii="Arial" w:cs="Arial" w:eastAsia="Arial" w:hAnsi="Arial"/>
                <w:sz w:val="18"/>
                <w:szCs w:val="18"/>
                <w:color w:val="auto"/>
              </w:rPr>
              <w:t>Access Array Target-Specific Primers</w:t>
            </w:r>
          </w:p>
        </w:tc>
        <w:tc>
          <w:tcPr>
            <w:tcW w:w="4000" w:type="dxa"/>
            <w:vAlign w:val="bottom"/>
          </w:tcPr>
          <w:p>
            <w:pPr>
              <w:ind w:left="20"/>
              <w:spacing w:after="0"/>
              <w:rPr>
                <w:sz w:val="20"/>
                <w:szCs w:val="20"/>
                <w:color w:val="auto"/>
              </w:rPr>
            </w:pPr>
            <w:r>
              <w:rPr>
                <w:rFonts w:ascii="Arial" w:cs="Arial" w:eastAsia="Arial" w:hAnsi="Arial"/>
                <w:sz w:val="18"/>
                <w:szCs w:val="18"/>
                <w:color w:val="auto"/>
                <w:w w:val="92"/>
              </w:rPr>
              <w:t>Custom designed amplicon-library preparation assays</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6"/>
              </w:rPr>
              <w:t>for use with Access Array IFCs on the Access Array</w:t>
            </w:r>
          </w:p>
        </w:tc>
      </w:tr>
      <w:tr>
        <w:trPr>
          <w:trHeight w:val="230"/>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or Juno systems.</w:t>
            </w:r>
          </w:p>
        </w:tc>
      </w:tr>
      <w:tr>
        <w:trPr>
          <w:trHeight w:val="25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Maxpar Reagents</w:t>
            </w:r>
          </w:p>
        </w:tc>
        <w:tc>
          <w:tcPr>
            <w:tcW w:w="4000" w:type="dxa"/>
            <w:vAlign w:val="bottom"/>
          </w:tcPr>
          <w:p>
            <w:pPr>
              <w:ind w:left="20"/>
              <w:spacing w:after="0"/>
              <w:rPr>
                <w:sz w:val="20"/>
                <w:szCs w:val="20"/>
                <w:color w:val="auto"/>
              </w:rPr>
            </w:pPr>
            <w:r>
              <w:rPr>
                <w:rFonts w:ascii="Arial" w:cs="Arial" w:eastAsia="Arial" w:hAnsi="Arial"/>
                <w:sz w:val="18"/>
                <w:szCs w:val="18"/>
                <w:color w:val="auto"/>
                <w:w w:val="92"/>
              </w:rPr>
              <w:t>Pre-conjugated metal-labeled antibodies for functional</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9"/>
              </w:rPr>
              <w:t xml:space="preserve">and phenotypic profiling of single cells, </w:t>
            </w:r>
            <w:r>
              <w:rPr>
                <w:rFonts w:ascii="Arial" w:cs="Arial" w:eastAsia="Arial" w:hAnsi="Arial"/>
                <w:sz w:val="18"/>
                <w:szCs w:val="18"/>
                <w:color w:val="211D1E"/>
                <w:w w:val="99"/>
              </w:rPr>
              <w:t>application</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211D1E"/>
                <w:w w:val="94"/>
              </w:rPr>
              <w:t>specific panel kits, and reagents for custom antibody</w:t>
            </w:r>
          </w:p>
        </w:tc>
      </w:tr>
      <w:tr>
        <w:trPr>
          <w:trHeight w:val="230"/>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211D1E"/>
              </w:rPr>
              <w:t>labeling and nucleic acid staining.</w:t>
            </w:r>
          </w:p>
        </w:tc>
      </w:tr>
      <w:tr>
        <w:trPr>
          <w:trHeight w:val="27"/>
        </w:trPr>
        <w:tc>
          <w:tcPr>
            <w:tcW w:w="3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Single-Cell Targeted Gene Expression, Single-Cell microRNA Analysis, Single-Cell mRNA Sequencing, Single-Cell Targeted DNA Sequencing, Single-Cell Whole Exome DNA Sequencing, and Single-Cell Whole Genome DNA Sequencing</w:t>
      </w:r>
    </w:p>
    <w:p>
      <w:pPr>
        <w:spacing w:after="0" w:line="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Targeted Resequencing with Next-Generation DNA Sequencing</w:t>
      </w:r>
    </w:p>
    <w:p>
      <w:pPr>
        <w:spacing w:after="0" w:line="3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Real-time qPCR, End-Point PCR, SNP Genotyping and Gene Expression, including Single-Cell Targeted Gene Expression</w:t>
      </w:r>
    </w:p>
    <w:p>
      <w:pPr>
        <w:spacing w:after="0" w:line="24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Digital PCR, Copy Number Variation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Mutation Detection</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Gene Expression and SNP Genotyping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Gene Expression, Single-Cell Targeted Gene Expression, and SNP Genotyping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20"/>
        <w:spacing w:after="0" w:line="264" w:lineRule="auto"/>
        <w:rPr>
          <w:sz w:val="20"/>
          <w:szCs w:val="20"/>
          <w:color w:val="auto"/>
        </w:rPr>
      </w:pPr>
      <w:r>
        <w:rPr>
          <w:rFonts w:ascii="Arial" w:cs="Arial" w:eastAsia="Arial" w:hAnsi="Arial"/>
          <w:sz w:val="18"/>
          <w:szCs w:val="18"/>
          <w:color w:val="auto"/>
        </w:rPr>
        <w:t>Targeted Resequencing with Next-Generation DNA Sequencing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Single-Cell Protein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443865</wp:posOffset>
            </wp:positionV>
            <wp:extent cx="1861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6118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461010</wp:posOffset>
            </wp:positionV>
            <wp:extent cx="18611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ectPr>
          <w:pgSz w:w="11900" w:h="16838" w:orient="portrait"/>
          <w:cols w:equalWidth="0" w:num="2">
            <w:col w:w="7820" w:space="140"/>
            <w:col w:w="2860"/>
          </w:cols>
          <w:pgMar w:left="240" w:top="441" w:right="839" w:bottom="1440" w:gutter="0" w:footer="0" w:header="0"/>
          <w:type w:val="continuous"/>
        </w:sectPr>
      </w:pPr>
    </w:p>
    <w:bookmarkStart w:id="7" w:name="page8"/>
    <w:bookmarkEnd w:id="7"/>
    <w:p>
      <w:pPr>
        <w:ind w:left="140"/>
        <w:spacing w:after="0"/>
        <w:rPr>
          <w:sz w:val="20"/>
          <w:szCs w:val="20"/>
          <w:color w:val="auto"/>
        </w:rPr>
      </w:pPr>
      <w:r>
        <w:rPr>
          <w:rFonts w:ascii="Arial" w:cs="Arial" w:eastAsia="Arial" w:hAnsi="Arial"/>
          <w:sz w:val="16"/>
          <w:szCs w:val="16"/>
          <w:color w:val="auto"/>
        </w:rPr>
        <w:t>We have recently announced the following new products, which we expect will be commercially available in the near future (as indicated below):</w:t>
      </w:r>
    </w:p>
    <w:p>
      <w:pPr>
        <w:sectPr>
          <w:pgSz w:w="11900" w:h="16838" w:orient="portrait"/>
          <w:cols w:equalWidth="0" w:num="1">
            <w:col w:w="10640"/>
          </w:cols>
          <w:pgMar w:left="540" w:top="206" w:right="719" w:bottom="1440" w:gutter="0" w:footer="0" w:header="0"/>
        </w:sect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gridSpan w:val="2"/>
          </w:tcPr>
          <w:p>
            <w:pPr>
              <w:ind w:left="1580"/>
              <w:spacing w:after="0"/>
              <w:rPr>
                <w:sz w:val="20"/>
                <w:szCs w:val="20"/>
                <w:color w:val="auto"/>
              </w:rPr>
            </w:pPr>
            <w:r>
              <w:rPr>
                <w:rFonts w:ascii="Arial" w:cs="Arial" w:eastAsia="Arial" w:hAnsi="Arial"/>
                <w:sz w:val="14"/>
                <w:szCs w:val="14"/>
                <w:b w:val="1"/>
                <w:bCs w:val="1"/>
                <w:color w:val="auto"/>
              </w:rPr>
              <w:t>Product</w:t>
            </w:r>
          </w:p>
        </w:tc>
        <w:tc>
          <w:tcPr>
            <w:tcW w:w="4020" w:type="dxa"/>
            <w:vAlign w:val="bottom"/>
          </w:tcPr>
          <w:p>
            <w:pPr>
              <w:ind w:left="1380"/>
              <w:spacing w:after="0"/>
              <w:rPr>
                <w:sz w:val="20"/>
                <w:szCs w:val="20"/>
                <w:color w:val="auto"/>
              </w:rPr>
            </w:pPr>
            <w:r>
              <w:rPr>
                <w:rFonts w:ascii="Arial" w:cs="Arial" w:eastAsia="Arial" w:hAnsi="Arial"/>
                <w:sz w:val="14"/>
                <w:szCs w:val="14"/>
                <w:b w:val="1"/>
                <w:bCs w:val="1"/>
                <w:color w:val="auto"/>
              </w:rPr>
              <w:t>Product Description</w:t>
            </w:r>
          </w:p>
        </w:tc>
      </w:tr>
      <w:tr>
        <w:trPr>
          <w:trHeight w:val="80"/>
        </w:trPr>
        <w:tc>
          <w:tcPr>
            <w:tcW w:w="37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20" w:type="dxa"/>
            <w:vAlign w:val="bottom"/>
            <w:tcBorders>
              <w:bottom w:val="single" w:sz="8" w:color="auto"/>
            </w:tcBorders>
          </w:tcPr>
          <w:p>
            <w:pPr>
              <w:spacing w:after="0"/>
              <w:rPr>
                <w:sz w:val="6"/>
                <w:szCs w:val="6"/>
                <w:color w:val="auto"/>
              </w:rPr>
            </w:pPr>
          </w:p>
        </w:tc>
      </w:tr>
      <w:tr>
        <w:trPr>
          <w:trHeight w:val="222"/>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Juno System and IFCs</w:t>
            </w:r>
          </w:p>
        </w:tc>
        <w:tc>
          <w:tcPr>
            <w:tcW w:w="4020" w:type="dxa"/>
            <w:vAlign w:val="bottom"/>
          </w:tcPr>
          <w:p>
            <w:pPr>
              <w:ind w:left="20"/>
              <w:spacing w:after="0"/>
              <w:rPr>
                <w:sz w:val="20"/>
                <w:szCs w:val="20"/>
                <w:color w:val="auto"/>
              </w:rPr>
            </w:pPr>
            <w:r>
              <w:rPr>
                <w:rFonts w:ascii="Arial" w:cs="Arial" w:eastAsia="Arial" w:hAnsi="Arial"/>
                <w:sz w:val="18"/>
                <w:szCs w:val="18"/>
                <w:color w:val="auto"/>
                <w:w w:val="92"/>
              </w:rPr>
              <w:t>System that automates the preparation of samples for</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genomic analysis. The first application includes</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preparation of challenging and low-concentration</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97"/>
              </w:rPr>
              <w:t>DNA samples for SNP genotyping utilizing the Juno</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93"/>
              </w:rPr>
              <w:t>genotyping IFC and and incorporates preamplification</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89"/>
              </w:rPr>
              <w:t>and genotyping of up to 96 samples and 96 assays on a</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97"/>
              </w:rPr>
              <w:t>single IFC. The system also automates PCR-based</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93"/>
              </w:rPr>
              <w:t>target enrichment, barcoding, and tagging of targeted</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99"/>
              </w:rPr>
              <w:t>resequencing libraries utilizing Access Array IFCs.</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The Access Array IFCs, when used with the Juno</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96"/>
              </w:rPr>
              <w:t>system, facilitate parallel amplification of up to 5000</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96"/>
              </w:rPr>
              <w:t>amplicons across up to 48 unique samples, or up to</w:t>
            </w:r>
          </w:p>
        </w:tc>
      </w:tr>
      <w:tr>
        <w:trPr>
          <w:trHeight w:val="230"/>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99"/>
              </w:rPr>
              <w:t>2500 amplicons across up to 192 unique samples.</w:t>
            </w:r>
          </w:p>
        </w:tc>
      </w:tr>
      <w:tr>
        <w:trPr>
          <w:trHeight w:val="418"/>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98"/>
              </w:rPr>
              <w:t>The Juno system and Juno IFC are expected to be</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commercially available in the first quarter of 2015.</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96"/>
              </w:rPr>
              <w:t>Access Array IFCs for use with the Juno system are</w:t>
            </w:r>
          </w:p>
        </w:tc>
      </w:tr>
      <w:tr>
        <w:trPr>
          <w:trHeight w:val="230"/>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91"/>
              </w:rPr>
              <w:t>expected to be commercially available by end of 2015.</w:t>
            </w:r>
          </w:p>
        </w:tc>
      </w:tr>
      <w:tr>
        <w:trPr>
          <w:trHeight w:val="472"/>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Callisto System and IFC</w:t>
            </w:r>
          </w:p>
        </w:tc>
        <w:tc>
          <w:tcPr>
            <w:tcW w:w="4020" w:type="dxa"/>
            <w:vAlign w:val="bottom"/>
          </w:tcPr>
          <w:p>
            <w:pPr>
              <w:ind w:left="20"/>
              <w:spacing w:after="0"/>
              <w:rPr>
                <w:sz w:val="20"/>
                <w:szCs w:val="20"/>
                <w:color w:val="auto"/>
              </w:rPr>
            </w:pPr>
            <w:r>
              <w:rPr>
                <w:rFonts w:ascii="Arial" w:cs="Arial" w:eastAsia="Arial" w:hAnsi="Arial"/>
                <w:sz w:val="18"/>
                <w:szCs w:val="18"/>
                <w:color w:val="auto"/>
                <w:w w:val="91"/>
              </w:rPr>
              <w:t>Integrated high-throughput system and IFC that enable</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94"/>
              </w:rPr>
              <w:t>automated cell culture and combinatorial dosing on a</w:t>
            </w:r>
          </w:p>
        </w:tc>
      </w:tr>
      <w:tr>
        <w:trPr>
          <w:trHeight w:val="230"/>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single device.</w:t>
            </w:r>
          </w:p>
        </w:tc>
      </w:tr>
      <w:tr>
        <w:trPr>
          <w:trHeight w:val="432"/>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97"/>
              </w:rPr>
              <w:t>Expected to be commercially available in mid-2015.</w:t>
            </w:r>
          </w:p>
        </w:tc>
      </w:tr>
      <w:tr>
        <w:trPr>
          <w:trHeight w:val="472"/>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Polaris System and IFC</w:t>
            </w:r>
          </w:p>
        </w:tc>
        <w:tc>
          <w:tcPr>
            <w:tcW w:w="4020" w:type="dxa"/>
            <w:vAlign w:val="bottom"/>
          </w:tcPr>
          <w:p>
            <w:pPr>
              <w:ind w:left="20"/>
              <w:spacing w:after="0"/>
              <w:rPr>
                <w:sz w:val="20"/>
                <w:szCs w:val="20"/>
                <w:color w:val="auto"/>
              </w:rPr>
            </w:pPr>
            <w:r>
              <w:rPr>
                <w:rFonts w:ascii="Arial" w:cs="Arial" w:eastAsia="Arial" w:hAnsi="Arial"/>
                <w:sz w:val="18"/>
                <w:szCs w:val="18"/>
                <w:color w:val="auto"/>
              </w:rPr>
              <w:t>System and IFC that incorporate cell selection,</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w w:val="95"/>
              </w:rPr>
              <w:t>isolation, imaging, dosing, culture, and processing of</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single cells for downstream molecular biology and</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analysis techniques preparation into a single</w:t>
            </w:r>
          </w:p>
        </w:tc>
      </w:tr>
      <w:tr>
        <w:trPr>
          <w:trHeight w:val="230"/>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workflow.</w:t>
            </w:r>
          </w:p>
        </w:tc>
      </w:tr>
    </w:tbl>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18611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1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SNP Genotyping and Targeted Resequencing with Next-Generation DNA Sequencing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Stem Cell Reprogramming and Differentiation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Functional Genomics Using Single-Cell mRNA Sequencing</w:t>
      </w:r>
    </w:p>
    <w:p>
      <w:pPr>
        <w:spacing w:after="0" w:line="816" w:lineRule="exact"/>
        <w:rPr>
          <w:sz w:val="20"/>
          <w:szCs w:val="20"/>
          <w:color w:val="auto"/>
        </w:rPr>
      </w:pPr>
    </w:p>
    <w:p>
      <w:pPr>
        <w:sectPr>
          <w:pgSz w:w="11900" w:h="16838" w:orient="portrait"/>
          <w:cols w:equalWidth="0" w:num="2">
            <w:col w:w="7820" w:space="120"/>
            <w:col w:w="2700"/>
          </w:cols>
          <w:pgMar w:left="540" w:top="206" w:right="719" w:bottom="1440" w:gutter="0" w:footer="0" w:header="0"/>
          <w:type w:val="continuous"/>
        </w:sectPr>
      </w:pPr>
    </w:p>
    <w:p>
      <w:pPr>
        <w:spacing w:after="0" w:line="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Expected to be commercially available in mid-2015.</w:t>
      </w:r>
    </w:p>
    <w:p>
      <w:pPr>
        <w:spacing w:after="0" w:line="63" w:lineRule="exact"/>
        <w:rPr>
          <w:sz w:val="20"/>
          <w:szCs w:val="20"/>
          <w:color w:val="auto"/>
        </w:rPr>
      </w:pPr>
    </w:p>
    <w:p>
      <w:pPr>
        <w:ind w:left="140"/>
        <w:spacing w:after="0"/>
        <w:tabs>
          <w:tab w:leader="none" w:pos="3800" w:val="left"/>
          <w:tab w:leader="none" w:pos="7920" w:val="left"/>
        </w:tabs>
        <w:rPr>
          <w:sz w:val="20"/>
          <w:szCs w:val="20"/>
          <w:color w:val="auto"/>
        </w:rPr>
      </w:pPr>
      <w:r>
        <w:rPr>
          <w:rFonts w:ascii="Arial" w:cs="Arial" w:eastAsia="Arial" w:hAnsi="Arial"/>
          <w:sz w:val="18"/>
          <w:szCs w:val="18"/>
          <w:color w:val="auto"/>
        </w:rPr>
        <w:t>High-Throughput C1 mRNA</w:t>
      </w:r>
      <w:r>
        <w:rPr>
          <w:sz w:val="20"/>
          <w:szCs w:val="20"/>
          <w:color w:val="auto"/>
        </w:rPr>
        <w:tab/>
      </w:r>
      <w:r>
        <w:rPr>
          <w:rFonts w:ascii="Arial" w:cs="Arial" w:eastAsia="Arial" w:hAnsi="Arial"/>
          <w:sz w:val="18"/>
          <w:szCs w:val="18"/>
          <w:color w:val="auto"/>
        </w:rPr>
        <w:t>IFC that enables sequencing transcriptomes of up to</w:t>
      </w:r>
      <w:r>
        <w:rPr>
          <w:sz w:val="20"/>
          <w:szCs w:val="20"/>
          <w:color w:val="auto"/>
        </w:rPr>
        <w:tab/>
      </w:r>
      <w:r>
        <w:rPr>
          <w:rFonts w:ascii="Arial" w:cs="Arial" w:eastAsia="Arial" w:hAnsi="Arial"/>
          <w:sz w:val="16"/>
          <w:szCs w:val="16"/>
          <w:color w:val="auto"/>
        </w:rPr>
        <w:t>Single-Cell mRNA Sequencing</w:t>
      </w:r>
    </w:p>
    <w:p>
      <w:pPr>
        <w:spacing w:after="0" w:line="23" w:lineRule="exact"/>
        <w:rPr>
          <w:sz w:val="20"/>
          <w:szCs w:val="20"/>
          <w:color w:val="auto"/>
        </w:rPr>
      </w:pPr>
    </w:p>
    <w:p>
      <w:pPr>
        <w:ind w:left="140"/>
        <w:spacing w:after="0"/>
        <w:tabs>
          <w:tab w:leader="none" w:pos="3800" w:val="left"/>
        </w:tabs>
        <w:rPr>
          <w:sz w:val="20"/>
          <w:szCs w:val="20"/>
          <w:color w:val="auto"/>
        </w:rPr>
      </w:pPr>
      <w:r>
        <w:rPr>
          <w:rFonts w:ascii="Arial" w:cs="Arial" w:eastAsia="Arial" w:hAnsi="Arial"/>
          <w:sz w:val="18"/>
          <w:szCs w:val="18"/>
          <w:color w:val="auto"/>
        </w:rPr>
        <w:t>Sequencing IFC</w:t>
      </w:r>
      <w:r>
        <w:rPr>
          <w:sz w:val="20"/>
          <w:szCs w:val="20"/>
          <w:color w:val="auto"/>
        </w:rPr>
        <w:tab/>
      </w:r>
      <w:r>
        <w:rPr>
          <w:rFonts w:ascii="Arial" w:cs="Arial" w:eastAsia="Arial" w:hAnsi="Arial"/>
          <w:sz w:val="16"/>
          <w:szCs w:val="16"/>
          <w:color w:val="auto"/>
        </w:rPr>
        <w:t>800 single cells.</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Expected to be commercially available in mid-2015.</w:t>
      </w:r>
    </w:p>
    <w:p>
      <w:pPr>
        <w:sectPr>
          <w:pgSz w:w="11900" w:h="16838" w:orient="portrait"/>
          <w:cols w:equalWidth="0" w:num="1">
            <w:col w:w="10640"/>
          </w:cols>
          <w:pgMar w:left="540" w:top="206" w:right="7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Technology</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Multi-Layer Soft Lithography</w:t>
      </w:r>
    </w:p>
    <w:p>
      <w:pPr>
        <w:spacing w:after="0" w:line="171"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Our IFCs are manufactured using multi-layer soft lithography technology, or MSL technology, to create valves, chambers, channels, and other fluidic components on our IFCs that allow nanoliter quantities of fluids to be precisely manipulated within the IFC. We have developed commercial manufacturing processes to fabricate valves, channels, vias, and chambers with dimensions in the ten to 100 micron range, at high density and with high yields.</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Integrated Fluidic Circuits</w:t>
      </w:r>
    </w:p>
    <w:p>
      <w:pPr>
        <w:spacing w:after="0" w:line="90"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Our IFCs incorporate several different types of technology that together enable us to use MSL technology to rapidly design and deploy new microfluidic applications. The first level of our IFC technology is a library of components that perform basic microfluidic functions, such as pumps, mixers, single-cell capture chambers, separation columns, control logic, and reaction chambers. The second level of our IFC technology comprises the architectures we have designed to exploit our ability to conduct thousands of reactions on a single IFC. The third level of our IFC technology involves the interaction of our IFCs with the actual laboratory environment. Our IFCs are built on specially designed input frames that are compatible with most commonly used laboratory systems.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Instrumentation and Software</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have developed instrumentation technology to load samples and reagents onto our IFCs and to control and monitor reactions within our IFCs. Our line of IFC controllers consists of commercial pneumatic components and both custom and commercial electronics. They apply precise control of multiple pressures to move fluid and control valve states in a microfluidic IFC.</w:t>
      </w:r>
    </w:p>
    <w:p>
      <w:pPr>
        <w:spacing w:after="0" w:line="46"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Our Biomark HD system includes our custom thermal cycler, the FC1 cycler, and a sophisticated fluorescence imaging system. Our EP1 instrument is a fluorescence reader designed for end-point imaging, suitable for genotyping and digital PCR applications. Our C1 system combines the hardware elements of our IFC controllers and FC1 cycler with sophisticated scripting and protocol control software to enable automation of single-cell capture and preparation for subsequent analysis. Certain capabilities of the C1 system have been used to create our Juno system, which serves as a universal controller and cycler for our Dynamic Array IFCs. Our Callisto system integrates environmental regulation for long-term cell culture with the C1 control system. Our Polaris system combines the capabilities of all these instruments by incorporating thermal cycling, IFC control, environmental regulation, and imaging.</w:t>
      </w:r>
    </w:p>
    <w:p>
      <w:pPr>
        <w:spacing w:after="0" w:line="3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Our mass cytometry instrumentation technology includes a custom-designed inductively-coupled plasma ion source, ion-optical and vacuum systems, and instrument control electronics. With our CyTOF 2 system, individual cells are atomized, ionized, and extracted. A time-of-flight mass analyzer separates atomic ions of different mass-to-charge ratios, providing information on temporal distribution of ions.</w:t>
      </w:r>
    </w:p>
    <w:p>
      <w:pPr>
        <w:spacing w:after="0" w:line="4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also developed specialized software to manage and analyze the unusually large amounts of data produced by our systems. Our bioinformatic toolset, the Singular software, facilitates the analysis and visualization of single-cell gene expression data. More recently, we extended the scope of the toolset to include DNA analysis tools. We also developed the C1 Script Builder software to enable customers to take full advantage of the flexibility of C1 IFC architecture by allowing them to program their own control scripts for the C1 system. We offer Fluidigm Cytobank, our cloud-based platform of analytical tools, for use with the CyTOF 2 systems.</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Assays and Reagents</w:t>
      </w:r>
    </w:p>
    <w:p>
      <w:pPr>
        <w:spacing w:after="0" w:line="90"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Delta Gene and SNP Type assay products consist of assay design and custom content delivery systems for gene expression and genotyping, respectively. These offerings provide low-cost alternatives to chemistries such as TaqMan, and allow customers to use IFCs in more flexible ways. PCR assay reagents need to be specific to the gene targets of interest but the process of designing a set of assays may delay the implementation experiments or require the use of expensive pre-designed assays. We have developed a process to provide customers with validated assays for their targets of interest.</w:t>
      </w:r>
    </w:p>
    <w:p>
      <w:pPr>
        <w:spacing w:after="0" w:line="19"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We also manufacture metal-conjugated antibodies for use with our CyTOF 2 system to allow detection of up to approximately 37 protein targets simultaneously in a single cell. Our metal-conjugated antibodies are manufactured using metal-chelating polymers, which are produced using proprietary polymerization processes and subsequent post-polymerization modifications.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distribute our systems through our direct sales force and support organizations located in North America, Europe, and Asia-Pacific, and through distributors or sales agents in several European, Latin American, Middle Eastern, and Asia-Pacific countries. Our sales and marketing efforts are targeted at laboratory directors and principal investigators at leading</w:t>
      </w:r>
    </w:p>
    <w:p>
      <w:pPr>
        <w:sectPr>
          <w:pgSz w:w="11900" w:h="16838" w:orient="portrait"/>
          <w:cols w:equalWidth="0" w:num="1">
            <w:col w:w="11400"/>
          </w:cols>
          <w:pgMar w:left="240" w:top="202" w:right="259" w:bottom="1440" w:gutter="0" w:footer="0" w:header="0"/>
        </w:sectPr>
      </w:pPr>
    </w:p>
    <w:bookmarkStart w:id="9" w:name="page10"/>
    <w:bookmarkEnd w:id="9"/>
    <w:p>
      <w:pPr>
        <w:ind w:right="360"/>
        <w:spacing w:after="0" w:line="277" w:lineRule="auto"/>
        <w:rPr>
          <w:sz w:val="20"/>
          <w:szCs w:val="20"/>
          <w:color w:val="auto"/>
        </w:rPr>
      </w:pPr>
      <w:r>
        <w:rPr>
          <w:rFonts w:ascii="Arial" w:cs="Arial" w:eastAsia="Arial" w:hAnsi="Arial"/>
          <w:sz w:val="18"/>
          <w:szCs w:val="18"/>
          <w:color w:val="auto"/>
        </w:rPr>
        <w:t>companies and academic institutions who need reliable life science automation solutions or enabling new single-cell biology technologies for research or commercial purposes.</w:t>
      </w:r>
    </w:p>
    <w:p>
      <w:pPr>
        <w:spacing w:after="0" w:line="116"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5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of December 31, 2014, we had 154 people employed in sales, technical support, and marketing, including 71 sales representatives and applications specialists located in the field. We intend to significantly expand our sales, support, and marketing efforts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have sold our instruments to leading academic institutions, clinical laboratories, and pharmaceutical, biotechnology and Ag-Bio companies. No single customer represented more than 10% of our total revenue for 2014, 2013, or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4"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Our microfluidic systems and instrumentation for commercial sale, as well as for internal research and development purposes, are manufactured at our facility in Singapore. Our proteomics analytical instruments for commercial sale, as well as for internal research and development purposes, are manufactured at our facility in Canada. We also manufacture IFCs for research and development, assays, and reagents at our facilities in South San Francisco, California.</w:t>
      </w:r>
    </w:p>
    <w:p>
      <w:pPr>
        <w:spacing w:after="0" w:line="12"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rely on a limited number of suppliers for certain components and materials used in our products. Key components in our products that are supplied by sole or limited source suppliers include a specialized polymer and other specialized materials from which our IFC cores are fabricated, specialized custom camera lenses, fiber light guides, and other components required for the reader of our Biomark system, specialized pneumatic and electronic components for our C1 system, the electron multiplier detector included in, and the nickel sampler cone and certain metal isotopes used with, our CyTOF 2 system, and certain raw materials for our Delta Gene and SNP Type assays and Access Array Target-Specific primers. The loss of a single or sole source supplier would require significant time and effort to locate and qualify an alternative source of supply, if at all, and could adversely impact our business. For additional information, please see the section entitled “Risk factors” in Part I, Item 1A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We have assembled experienced research and development teams at our South San Francisco, California, Markham, Ontario, Canada, and Singapore locations with the scientific, engineering, software, bioinformatic, and process talent that we believe is required to grow our business.</w:t>
      </w:r>
    </w:p>
    <w:p>
      <w:pPr>
        <w:spacing w:after="0" w:line="1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largest component of our current research and development effort is in the areas of new products and new applications. For example, we have developed a first generation prototype imaging mass cytometer to provide spatial resolution of protein expression in samples at the single-cell level, quantitative measurement using metal isotope tags, and analysis of more than 30 proteins. We also invest significantly in research and development efforts to expand our single-cell biology and production genomics applications. For example, we have developed our Singular bioinformatics tools for analyzing and visualizing single-cell gene expression data; our C1 Open App Program, which enables researchers to develop and share new single-cell applications on the C1 system; and our single-cell whole exome, single-cell whole genome, and announced high-throughput single-cell mRNA sequencing workflows for use with our C1 system.</w:t>
      </w:r>
    </w:p>
    <w:p>
      <w:pPr>
        <w:spacing w:after="0" w:line="54" w:lineRule="exact"/>
        <w:rPr>
          <w:sz w:val="20"/>
          <w:szCs w:val="20"/>
          <w:color w:val="auto"/>
        </w:rPr>
      </w:pPr>
    </w:p>
    <w:p>
      <w:pPr>
        <w:ind w:right="20" w:firstLine="432"/>
        <w:spacing w:after="0" w:line="334" w:lineRule="auto"/>
        <w:rPr>
          <w:sz w:val="20"/>
          <w:szCs w:val="20"/>
          <w:color w:val="auto"/>
        </w:rPr>
      </w:pPr>
      <w:r>
        <w:rPr>
          <w:rFonts w:ascii="Arial" w:cs="Arial" w:eastAsia="Arial" w:hAnsi="Arial"/>
          <w:sz w:val="16"/>
          <w:szCs w:val="16"/>
          <w:color w:val="auto"/>
        </w:rPr>
        <w:t>The second component of our research and development effort is to continuously develop new manufacturing processes and test methods to drive down manufacturing cost, increase manufacturing throughput, widen fabrication process capability, and support new microfluidic devices and designs.</w:t>
      </w:r>
    </w:p>
    <w:p>
      <w:pPr>
        <w:spacing w:after="0" w:line="1" w:lineRule="exact"/>
        <w:rPr>
          <w:sz w:val="20"/>
          <w:szCs w:val="20"/>
          <w:color w:val="auto"/>
        </w:rPr>
      </w:pPr>
    </w:p>
    <w:p>
      <w:pPr>
        <w:ind w:right="980" w:firstLine="432"/>
        <w:spacing w:after="0" w:line="277" w:lineRule="auto"/>
        <w:rPr>
          <w:sz w:val="20"/>
          <w:szCs w:val="20"/>
          <w:color w:val="auto"/>
        </w:rPr>
      </w:pPr>
      <w:r>
        <w:rPr>
          <w:rFonts w:ascii="Arial" w:cs="Arial" w:eastAsia="Arial" w:hAnsi="Arial"/>
          <w:sz w:val="18"/>
          <w:szCs w:val="18"/>
          <w:color w:val="auto"/>
        </w:rPr>
        <w:t>Our research and development expenses were $43.4 million, $20.0 million, and $16.6 million in 2014, 2013, and 2012, respectively. As of December 31, 2014, 113 of our employees were engaged in research and development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life science research and applied markets are highly competitive and expected to grow more competitive with the increasing knowledge gained from ongoing research and development. We believe that the principal competitive factors in our target markets include cost of capital equipment and supplies; reputation among customers; innovation in product</w:t>
      </w:r>
    </w:p>
    <w:p>
      <w:pPr>
        <w:sectPr>
          <w:pgSz w:w="11900" w:h="16838" w:orient="portrait"/>
          <w:cols w:equalWidth="0" w:num="1">
            <w:col w:w="11380"/>
          </w:cols>
          <w:pgMar w:left="240" w:top="206" w:right="27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offerings; flexibility and ease of use; accuracy and reproducibility of results; and compatibility with existing laboratory processes, tools, and methods.</w:t>
      </w:r>
    </w:p>
    <w:p>
      <w:pPr>
        <w:spacing w:after="0" w:line="10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compete with both established and development stage life science companies that design, manufacture, and market instruments for gene expression analysis, genotyping, other nucleic acid detection, protein expression analysis, and additional applications. In addition, a number of other companies and academic groups are in the process of developing novel technologies for life science markets. Many of our competitors enjoy several competitive advantages over us, including significantly greater name recognition; greater financial and human resources; broader product lines and product packages; larger sales forces and eCommerce channels; larger and more geographically dispersed customer support organization; substantial intellectual property portfolios; larger and more established customer bases and relationships; greater resources dedicated to marketing efforts; better established and larger scale manufacturing capability; and greater resources and longer experience in research and development. For additional information, please see the section entitled “Risk factors” in Part I, Item 1A of this Form 10-K.</w:t>
      </w:r>
    </w:p>
    <w:p>
      <w:pPr>
        <w:spacing w:after="0" w:line="44" w:lineRule="exact"/>
        <w:rPr>
          <w:sz w:val="20"/>
          <w:szCs w:val="20"/>
          <w:color w:val="auto"/>
        </w:rPr>
      </w:pPr>
    </w:p>
    <w:p>
      <w:pPr>
        <w:ind w:right="340" w:firstLine="432"/>
        <w:spacing w:after="0" w:line="297" w:lineRule="auto"/>
        <w:rPr>
          <w:sz w:val="20"/>
          <w:szCs w:val="20"/>
          <w:color w:val="auto"/>
        </w:rPr>
      </w:pPr>
      <w:r>
        <w:rPr>
          <w:rFonts w:ascii="Arial" w:cs="Arial" w:eastAsia="Arial" w:hAnsi="Arial"/>
          <w:sz w:val="16"/>
          <w:szCs w:val="16"/>
          <w:color w:val="auto"/>
        </w:rPr>
        <w:t>To successfully compete with existing products and future technologies, we need to demonstrate to potential customers that the cost savings and performance of our technologies and products, as well as our customer support capabilities, are superior to those of our competitors. To differentiate our company from other, larger enterprises, we need to introduce new and innovative offerings regularly and maintain a well-staffed commercial team “in the field” to successfully communicate the advantages of our products and overcome potential obstacles to acceptance of our products. In addition, ongoing collaborations and partnerships with key opinion leaders are desirable to demonstrate both innovation and applicability of our products.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Single-Cell Genomics Collaborations</w:t>
      </w:r>
    </w:p>
    <w:p>
      <w:pPr>
        <w:spacing w:after="0" w:line="94" w:lineRule="exact"/>
        <w:rPr>
          <w:sz w:val="20"/>
          <w:szCs w:val="20"/>
          <w:color w:val="auto"/>
        </w:rPr>
      </w:pPr>
    </w:p>
    <w:p>
      <w:pPr>
        <w:ind w:right="340" w:firstLine="432"/>
        <w:spacing w:after="0" w:line="273" w:lineRule="auto"/>
        <w:rPr>
          <w:sz w:val="20"/>
          <w:szCs w:val="20"/>
          <w:color w:val="auto"/>
        </w:rPr>
      </w:pPr>
      <w:r>
        <w:rPr>
          <w:rFonts w:ascii="Arial" w:cs="Arial" w:eastAsia="Arial" w:hAnsi="Arial"/>
          <w:sz w:val="17"/>
          <w:szCs w:val="17"/>
          <w:color w:val="auto"/>
        </w:rPr>
        <w:t>In May 2012, in collaboration with the Broad Institute, we announced the launch of the Single-Cell Genomics initiative, or SCGi, a research center dedicated to accelerating the development of research methods and discoveries in mammalian single-cell genomics. The SCGi facilitates collaborative development by single-cell genomics researchers of novel single-cell, microfluidic approaches for gene expression profiling, RNA/DNA sequencing, and epigenetic analysis, and to develop and disseminate new application workflows, reagents, bioinformatics tools, and data sets to the greater scientific community. The SCGi is located at the Broad Institute in Cambridge, Massachusetts, and features a complete suite of our single-cell tools, protocols, and technologies, most notably the C1 and Biomark HD systems.</w:t>
      </w:r>
    </w:p>
    <w:p>
      <w:pPr>
        <w:spacing w:after="0" w:line="4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December 2012, in collaboration with the Genome Institute of Singapore, or GIS, an institute under the umbrella of the Agency for Science, Technology and Research, we announced the establishment of the Single-Cell ‘Omics Center, or SCOC, the first research center in Asia exclusively dedicated to accelerating the understanding of how individual cells work, and how diagnosis and treatment might be enhanced through insight derived from single cells. The SCOC provides integrated analytics for single-cell genomic applications to the region’s single-cell genomics researchers. The SCOC is located in dedicated laboratory space at GIS facilities in Biopolis, Singapore, and features the full capabilities of our C1 and Biomark HD systems for single-cell targeted gene expression analytics and validation.</w:t>
      </w:r>
    </w:p>
    <w:p>
      <w:pPr>
        <w:spacing w:after="0" w:line="5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 December 2014, we announced a collaboration with the Wellcome Trust Sanger Institute - European Bioinformatics Institute Single-Cell Genomics Centre, or SCGC, located on the Wellcome Trust Genome Campus. The SCGC will work with our onsite senior staff to ensure that the SCGC has early access to the latest equipment, workflows, and methods for single-cell genomics and proteomics research. In addition to technology advancements, the collaboration is expected to make single-cell research more accessible to the greater research community by developing and disseminating new workflows, bioinformatics tools, and data sets. The SCGC features our C1 and Biomark HD systems and has access to our CyTOF technology.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Patents</w:t>
      </w:r>
    </w:p>
    <w:p>
      <w:pPr>
        <w:spacing w:after="0" w:line="90"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We have developed a portfolio of issued patents and patent applications directed to commercial products and technologies in development. As of December 31, 2014, we owned or licensed over 440 patents and we had approximately 260 pending patent applications worldwide. Our patents have expiration dates ranging from 2016 to 2032.</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entered into licenses for technologies from various companies and academic institutions.</w:t>
      </w:r>
    </w:p>
    <w:p>
      <w:pPr>
        <w:spacing w:after="0" w:line="90"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i w:val="1"/>
          <w:iCs w:val="1"/>
          <w:color w:val="auto"/>
        </w:rPr>
        <w:t xml:space="preserve">Microfluidic Technologies. </w:t>
      </w:r>
      <w:r>
        <w:rPr>
          <w:rFonts w:ascii="Arial" w:cs="Arial" w:eastAsia="Arial" w:hAnsi="Arial"/>
          <w:sz w:val="18"/>
          <w:szCs w:val="18"/>
          <w:color w:val="auto"/>
        </w:rPr>
        <w:t>Our core microfluidics technology originated at the California Institute of Technology, or Caltech, in the laboratory of</w:t>
      </w:r>
      <w:r>
        <w:rPr>
          <w:rFonts w:ascii="Arial" w:cs="Arial" w:eastAsia="Arial" w:hAnsi="Arial"/>
          <w:sz w:val="18"/>
          <w:szCs w:val="18"/>
          <w:i w:val="1"/>
          <w:iCs w:val="1"/>
          <w:color w:val="auto"/>
        </w:rPr>
        <w:t xml:space="preserve"> </w:t>
      </w:r>
      <w:r>
        <w:rPr>
          <w:rFonts w:ascii="Arial" w:cs="Arial" w:eastAsia="Arial" w:hAnsi="Arial"/>
          <w:sz w:val="18"/>
          <w:szCs w:val="18"/>
          <w:color w:val="auto"/>
        </w:rPr>
        <w:t>Professor Stephen Quake, who is a co-founder of Fluidigm. We license microfluidics technology from Caltech, Harvard University, and Caliper Life Sciences, Inc., which subsequently became a PerkinElmer company, referred to as Caliper.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20" w:right="260" w:hanging="245"/>
        <w:spacing w:after="0" w:line="259"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exclusively license from Caltech relevant patent filings relating to developed technologies that enabled the production of specialized valves and pumps capable of controlling fluid flow at nanoliter volumes. The license agreement will terminate as to each country and licensed product upon expiration of the last-to-expire patent covering licensed products in each country. The U.S. issued patents we have licensed from Caltech expire between 2017 and 2030.</w:t>
      </w:r>
    </w:p>
    <w:p>
      <w:pPr>
        <w:spacing w:after="0" w:line="51" w:lineRule="exact"/>
        <w:rPr>
          <w:rFonts w:ascii="Arial" w:cs="Arial" w:eastAsia="Arial" w:hAnsi="Arial"/>
          <w:sz w:val="18"/>
          <w:szCs w:val="18"/>
          <w:color w:val="auto"/>
        </w:rPr>
      </w:pPr>
    </w:p>
    <w:p>
      <w:pPr>
        <w:jc w:val="both"/>
        <w:ind w:left="820" w:right="240" w:hanging="245"/>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a co-exclusive license agreement with Harvard University for the license of relevant patent filings relating to microfluidic technology. The license agreement will terminate with the last-to-expire of the licensed patents. The U.S. issued patents we have licensed from Harvard University expire between 2019 and 2027.</w:t>
      </w:r>
    </w:p>
    <w:p>
      <w:pPr>
        <w:spacing w:after="0" w:line="46" w:lineRule="exact"/>
        <w:rPr>
          <w:rFonts w:ascii="Arial" w:cs="Arial" w:eastAsia="Arial" w:hAnsi="Arial"/>
          <w:sz w:val="18"/>
          <w:szCs w:val="18"/>
          <w:color w:val="auto"/>
        </w:rPr>
      </w:pPr>
    </w:p>
    <w:p>
      <w:pPr>
        <w:ind w:left="820" w:right="120" w:hanging="245"/>
        <w:spacing w:after="0" w:line="259"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May 2011, we entered into a license agreement with Caliper Life Sciences, Inc., which subsequently became a PerkinElmer company, referred to as Caliper, to license Caliper’s existing patent portfolio in certain fields. The license agreement will terminate with the last-to-expire of the licensed patents. As later amended, the license agreement provides for certain royalty payments until mid-2018 for our existing products at the time of amendment and their future equivalents.</w:t>
      </w:r>
    </w:p>
    <w:p>
      <w:pPr>
        <w:sectPr>
          <w:pgSz w:w="11900" w:h="16838" w:orient="portrait"/>
          <w:cols w:equalWidth="0" w:num="1">
            <w:col w:w="11400"/>
          </w:cols>
          <w:pgMar w:left="240" w:top="206" w:right="259" w:bottom="1440" w:gutter="0" w:footer="0" w:header="0"/>
        </w:sectPr>
      </w:pPr>
    </w:p>
    <w:bookmarkStart w:id="11" w:name="page12"/>
    <w:bookmarkEnd w:id="11"/>
    <w:p>
      <w:pPr>
        <w:ind w:right="80" w:firstLine="486"/>
        <w:spacing w:after="0" w:line="290" w:lineRule="auto"/>
        <w:rPr>
          <w:sz w:val="20"/>
          <w:szCs w:val="20"/>
          <w:color w:val="auto"/>
        </w:rPr>
      </w:pPr>
      <w:r>
        <w:rPr>
          <w:rFonts w:ascii="Arial" w:cs="Arial" w:eastAsia="Arial" w:hAnsi="Arial"/>
          <w:sz w:val="16"/>
          <w:szCs w:val="16"/>
          <w:i w:val="1"/>
          <w:iCs w:val="1"/>
          <w:color w:val="auto"/>
        </w:rPr>
        <w:t xml:space="preserve">Instrumentation and Digital PCR. </w:t>
      </w:r>
      <w:r>
        <w:rPr>
          <w:rFonts w:ascii="Arial" w:cs="Arial" w:eastAsia="Arial" w:hAnsi="Arial"/>
          <w:sz w:val="16"/>
          <w:szCs w:val="16"/>
          <w:color w:val="auto"/>
        </w:rPr>
        <w:t>On June 30, 2011, we settled litigation and entered into a series of patent cross-license and sub-license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Life Technologies Corporation (now part of Thermo Fisher Scientific) and its Applied Biosystems, LLC subsidiary, referred to as Life. The agreements involve a cross-license concerning our imaging readers and other patent filings and certain of Life’s patent families relating to methods and instruments for conducting nucleic acid amplification, such as with PCR; a sub-license that provides us access to certain of Life’s digital PCR patents; and a sublicense that provides Life access to certain of our non-core technology patents licensed from Caltech. In July 2011, pursuant to the terms of the agreements, we paid Life $2.0 million in connection with our exercise of an option to preclude Life from initiating litigation under its patents existing as of June 30, 2011 against our customers for two years and against our company, with respect to our current products and equivalent future products, for four years, subject to certain exceptions. The license agreement will terminate with the last-to-expire of the licensed patents, which is expected to be in 2028.</w:t>
      </w:r>
    </w:p>
    <w:p>
      <w:pPr>
        <w:spacing w:after="0" w:line="31"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i w:val="1"/>
          <w:iCs w:val="1"/>
          <w:color w:val="auto"/>
        </w:rPr>
        <w:t xml:space="preserve">Mass Cytometry. </w:t>
      </w:r>
      <w:r>
        <w:rPr>
          <w:rFonts w:ascii="Arial" w:cs="Arial" w:eastAsia="Arial" w:hAnsi="Arial"/>
          <w:sz w:val="16"/>
          <w:szCs w:val="16"/>
          <w:color w:val="auto"/>
        </w:rPr>
        <w:t>We pay royalties on the CyTOF 2 mass cytometer and certain associated reagents under a license agreement with PerkinElmer Health</w:t>
      </w:r>
      <w:r>
        <w:rPr>
          <w:rFonts w:ascii="Arial" w:cs="Arial" w:eastAsia="Arial" w:hAnsi="Arial"/>
          <w:sz w:val="16"/>
          <w:szCs w:val="16"/>
          <w:i w:val="1"/>
          <w:iCs w:val="1"/>
          <w:color w:val="auto"/>
        </w:rPr>
        <w:t xml:space="preserve"> </w:t>
      </w:r>
      <w:r>
        <w:rPr>
          <w:rFonts w:ascii="Arial" w:cs="Arial" w:eastAsia="Arial" w:hAnsi="Arial"/>
          <w:sz w:val="16"/>
          <w:szCs w:val="16"/>
          <w:color w:val="auto"/>
        </w:rPr>
        <w:t>Sciences, Inc., or PerkinElmer. Under the PerkinElmer license agreement, we received an exclusive, royalty bearing, worldwide license to certain patents that are now owned by PerkinElmer in the field of ICP-based mass cytometry, including the analysis of elemental tagged materials in connection therewith, and a non-exclusive license for reagents outside the field of ICP-based mass cytometry. The PerkinElmer license agreement does not grant us any right, and we do not have any right, to bring enforcement actions with respect to the patents licensed from PerkinElmer. In addition, PerkinElmer may generally terminate the license agreement for uncured material breaches under the agreement. Any such termination could prevent us from manufacturing and selling our products unless we can negotiate new license terms or develop or acquire alternative intellectual property rights that cover or enable similar functionality. While we do not believe that our acquisition of Fluidigm Canada (formerly DVS Sciences Inc.), which originally licensed the intellectual property on which the CyTOF system is based, triggered any consent rights on behalf of PerkinElmer for us to continue to rely on the license, the question is not free from doubt, and PerkinElmer could contend that the failure to obtain its consent constituted a breach or default under the license agreement or require the negotiation of a new license. In particular, in May 2014, we received a written notice of PerkinElmer’s position that the license agreement between Fluidigm Canada and PerkinElmer requires, as a result of the acquisition, that PerkinElmer consent to negotiate a commercially reasonable license to Fluidigm. We have contacted PerkinElmer in an attempt to initiate negotiations regarding the license agreement and we are evaluating strategies and appropriate actions relating to our interests in the licensed intellectual property.</w:t>
      </w:r>
    </w:p>
    <w:p>
      <w:pPr>
        <w:spacing w:after="0" w:line="3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Any loss, termination, or adverse modification of the licensed intellectual property rights described above or other licensed intellectual property rights could have a material adverse effect on our business, operating results, and financial condition. For additional information, please see the section entitled “Risk factors” in Part I, Item 1A of this Form 10-K.</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addition to pursuing patents and licenses on key technologies, we have taken steps to protect our intellectual property and proprietary technology by entering into confidentiality agreements and intellectual property assignment agreements with our employees, consultants, corporate partners, and, when needed, our advisors.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Our products are currently labeled and sold for research purposes only, and we sell them to academic institutions, life sciences and clinical laboratories that conduct research, and pharmaceutical and biotechnology companies for non-diagnostic and non-clinical purposes. Our products are not intended for use in clinical practice in the diagnosis of disease or other conditions, and they are labeled for research use only. Accordingly, they are subject only to limited, specific regulation with respect to labeling by the U.S. Food and Drug Administration, or FDA. In particular, while FDA regulations require</w:t>
      </w:r>
    </w:p>
    <w:p>
      <w:pPr>
        <w:sectPr>
          <w:pgSz w:w="11900" w:h="16838" w:orient="portrait"/>
          <w:cols w:equalWidth="0" w:num="1">
            <w:col w:w="11380"/>
          </w:cols>
          <w:pgMar w:left="240" w:top="206" w:right="279" w:bottom="1440" w:gutter="0" w:footer="0" w:header="0"/>
        </w:sectPr>
      </w:pPr>
    </w:p>
    <w:bookmarkStart w:id="12" w:name="page13"/>
    <w:bookmarkEnd w:id="12"/>
    <w:p>
      <w:pPr>
        <w:ind w:right="220"/>
        <w:spacing w:after="0" w:line="277" w:lineRule="auto"/>
        <w:rPr>
          <w:sz w:val="20"/>
          <w:szCs w:val="20"/>
          <w:color w:val="auto"/>
        </w:rPr>
      </w:pPr>
      <w:r>
        <w:rPr>
          <w:rFonts w:ascii="Arial" w:cs="Arial" w:eastAsia="Arial" w:hAnsi="Arial"/>
          <w:sz w:val="18"/>
          <w:szCs w:val="18"/>
          <w:color w:val="auto"/>
        </w:rPr>
        <w:t>that research use only products be labeled, “For Research Use Only. Not for use in diagnostic procedures,” or RUO products, the regulations do not subject such products to the FDA’s broader pre- and post-market controls for medical devices.</w:t>
      </w:r>
    </w:p>
    <w:p>
      <w:pPr>
        <w:spacing w:after="0" w:line="35"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In November 2013, the FDA issued a final guidance document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 that the manufacturer knows its product is being used by customers for diagnostic uses or the manufacturer intends such a use. These circumstances may include, among other things, written or verbal marketing claims regarding a product’s performance in clinical applications and a manufacturer’s provision of technical support for such activities. In the future, certain of our products or related applications could become subject to regulation as medical devices by the FDA. If we wish to label and market our products for use in performing clinical diagnostics, thus subjecting them to regulation by the FDA under premarket and postmarket control as medical devices, unless an exemption applies, we would be required to obtain either prior 510(k) clearance or prior pre-market approval from the FDA before commercializing the product.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and legally marketed 510(k) device or a “pre-amendment” class III device for which pre-market approval applications, or PMAs, have not been required by the FDA. This process typically takes from four to twelve months, although it can take longer. Most class I devices are exempted from this 510(k) premarket submission requirement. 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while we obtain premarket clearance or approval from the FDA. There would be no assurance that we could ever obtain such clearance or approval.</w:t>
      </w:r>
    </w:p>
    <w:p>
      <w:pPr>
        <w:spacing w:after="0" w:line="5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some cases, our customers or collaborators may use our RUO products in their own laboratory-developed tests, or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The guidance documents, if and when finalized, may impact the sales of our products and how customers use our products, and may require us to change our business model in order to maintain compliance with these laws.</w:t>
      </w:r>
    </w:p>
    <w:p>
      <w:pPr>
        <w:spacing w:after="0" w:line="5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would become subject to additional FDA requirements if our products are determined to be medical devices or if we elect to seek 510(k) clearance or prior pre-market approval. We would need to continue to invest significant time and other resources to ensure ongoing compliance with FDA quality system regulations and other post-market regulatory requirements. For additional information, please see the section entitled “Risk factors” in Part I, Item 1A of this Form 10-K.</w:t>
      </w:r>
    </w:p>
    <w:p>
      <w:pPr>
        <w:spacing w:after="0" w:line="52"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International sales of medical devices are subject to foreign government regulations, which vary substantially from country to country. 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subject to many federal, state, local, and foreign environmental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may become subject to RoHS and WEEE requirements. If we fail to comply with any present and future regulations, we could be subject to future fines, penalties, and restrictions, such as the suspension of manufacturing of our products or a prohibition on the sale of products we manufacture. For additional information, please see the section entitled “Risk factors” in Part I, Item 1A of this Form 10-K.</w:t>
      </w:r>
    </w:p>
    <w:p>
      <w:pPr>
        <w:sectPr>
          <w:pgSz w:w="11900" w:h="16838" w:orient="portrait"/>
          <w:cols w:equalWidth="0" w:num="1">
            <w:col w:w="11400"/>
          </w:cols>
          <w:pgMar w:left="240" w:top="206" w:right="259" w:bottom="1440" w:gutter="0" w:footer="0" w:header="0"/>
        </w:sectPr>
      </w:pPr>
    </w:p>
    <w:bookmarkStart w:id="13" w:name="page14"/>
    <w:bookmarkEnd w:id="13"/>
    <w:p>
      <w:pPr>
        <w:ind w:right="60" w:firstLine="432"/>
        <w:spacing w:after="0" w:line="255" w:lineRule="auto"/>
        <w:rPr>
          <w:sz w:val="20"/>
          <w:szCs w:val="20"/>
          <w:color w:val="auto"/>
        </w:rPr>
      </w:pPr>
      <w:r>
        <w:rPr>
          <w:rFonts w:ascii="Arial" w:cs="Arial" w:eastAsia="Arial" w:hAnsi="Arial"/>
          <w:sz w:val="18"/>
          <w:szCs w:val="18"/>
          <w:color w:val="auto"/>
        </w:rPr>
        <w:t>Additionally, 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The volume of such materials used or generated at our facilities is small.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9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last three years, a majority of our revenue was generated within the United States and Europe and a majority of our long-lived assets are located within the United States and Singapore. Product revenue received from customers outside the United States totaled $56.8 million, or 49% of our total product revenue, in 2014, compared to $33.9 million, or 48% of our total product revenue, in 2013, and $24.2 million, or 47% of our total product revenue, in 2012. Please see Note 13 to our audited consolidated financial statements for additional information for geographic areas.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In 2010, 2011, and 2012, our product revenue was higher in the fourth quarter of the year than in the first quarter of the next year reflecting numerous factors, including, among others, seasonal variations in customer operations and customer budget and capital spending cycles. Although this was not the case in the fourth quarter of 2013 compared to the first quarter of 2014, we expect the historical trend to resume in 2015.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Certain raw materials used in our Delta Gene and SNP Type assays and Access Array target-specific primers are available from a limited number of sources. Additionally, certain metals used in our Maxpar reagents are available from a sole source. Currently, we do not have supply agreements with these suppliers. While we generally attempt to keep our inventory at minimal levels, we purchase incremental inventory as circumstances warrant to protect our supply chain.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December 31, 2014, we had 474 employees, of which 113 work in research and development, 75 work in general and administrative, 132 work in manufacturing, and 154 work in sales, technical support, and marketing. None of our employees are represented by a labor union or are the subject of a collective bargaining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Our website address is www.fluidigm.com. We make available on our website, free of charge, our Annual Report on Form 10-K, Quarterly Reports on Form 10-Q, Current Reports on Form 8-K, and any amendments to those reports, as soon as reasonably practicable after we electronically file such material with, or furnish it to, the Securities and Exchange Commission, or SEC. Our SEC reports can be accessed through the investor relations page of our website located at http://investors.fluidigm.com/sec.cfm. Additionally, a copy of this Annual Report on Form 10-K is located at the SEC’s Public Reference Room at 100 F Street, NE, Washington, D.C. 20549. Information on the operation of the Public Reference Room can be obtained by calling the SEC at 1-800-SEC-0330.</w:t>
      </w:r>
    </w:p>
    <w:p>
      <w:pPr>
        <w:spacing w:after="0" w:line="4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We webcast our earnings calls and certain events we participate in or host with members of the investment community on our investor relations page of our website. Corporate governance information, including our board committee charters, code of ethics, and corporate governance principles, is also available on our investor relations page of our website located at http://investors.fluidigm.com/corporate-governance.cfm.</w:t>
      </w:r>
    </w:p>
    <w:p>
      <w:pPr>
        <w:spacing w:after="0" w:line="3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In addition to SEC filings, press releases, public conference calls, and webcasts, we use our website (www.fluidigm.com), corporate Twitter account (@Fluidigm), Facebook page (https://www.facebook.com/Fluidigm), and LinkedIn page (https://www.linkedin.com/company/fluidigm-corporation) as channels of distribution of information about our company, our products, our planned financial and other announcements, our attendance at upcoming investor and industry conferences, and other matters. It is possible that the information we post on our website and through these social media accounts could be deemed material information. We may use these channels to comply with our disclosure obligations under Regulation FD. Therefore, investors should monitor our website and our social media accounts in addition to following our press releases, SEC filings, public conference calls, and webcasts.</w:t>
      </w:r>
    </w:p>
    <w:p>
      <w:pPr>
        <w:sectPr>
          <w:pgSz w:w="11900" w:h="16838" w:orient="portrait"/>
          <w:cols w:equalWidth="0" w:num="1">
            <w:col w:w="11400"/>
          </w:cols>
          <w:pgMar w:left="240" w:top="206" w:right="259" w:bottom="1440" w:gutter="0" w:footer="0" w:header="0"/>
        </w:sectPr>
      </w:pPr>
    </w:p>
    <w:bookmarkStart w:id="14" w:name="page15"/>
    <w:bookmarkEnd w:id="14"/>
    <w:p>
      <w:pPr>
        <w:ind w:right="100" w:firstLine="432"/>
        <w:spacing w:after="0" w:line="264" w:lineRule="auto"/>
        <w:rPr>
          <w:sz w:val="20"/>
          <w:szCs w:val="20"/>
          <w:color w:val="auto"/>
        </w:rPr>
      </w:pPr>
      <w:r>
        <w:rPr>
          <w:rFonts w:ascii="Arial" w:cs="Arial" w:eastAsia="Arial" w:hAnsi="Arial"/>
          <w:sz w:val="18"/>
          <w:szCs w:val="18"/>
          <w:color w:val="auto"/>
        </w:rPr>
        <w:t>The contents of our website and the information we post through social media are not a part of, and are not incorporated by reference into, this Annual Report on Form 10-K or any other report or document we file with the SEC. Any references to our websites are intended to be inactive textual references only.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names, ages (as of February 10, 2015) and positions of our executive officers:</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380" w:type="dxa"/>
            <w:vAlign w:val="bottom"/>
          </w:tcPr>
          <w:p>
            <w:pPr>
              <w:spacing w:after="0"/>
              <w:rPr>
                <w:sz w:val="14"/>
                <w:szCs w:val="14"/>
                <w:color w:val="auto"/>
              </w:rPr>
            </w:pPr>
          </w:p>
        </w:tc>
        <w:tc>
          <w:tcPr>
            <w:tcW w:w="1500" w:type="dxa"/>
            <w:vAlign w:val="bottom"/>
            <w:gridSpan w:val="3"/>
          </w:tcPr>
          <w:p>
            <w:pPr>
              <w:jc w:val="center"/>
              <w:ind w:left="773"/>
              <w:spacing w:after="0"/>
              <w:rPr>
                <w:sz w:val="20"/>
                <w:szCs w:val="20"/>
                <w:color w:val="auto"/>
              </w:rPr>
            </w:pPr>
            <w:r>
              <w:rPr>
                <w:rFonts w:ascii="Arial" w:cs="Arial" w:eastAsia="Arial" w:hAnsi="Arial"/>
                <w:sz w:val="14"/>
                <w:szCs w:val="14"/>
                <w:b w:val="1"/>
                <w:bCs w:val="1"/>
                <w:color w:val="auto"/>
                <w:w w:val="90"/>
              </w:rPr>
              <w:t>Age</w:t>
            </w:r>
          </w:p>
        </w:tc>
        <w:tc>
          <w:tcPr>
            <w:tcW w:w="6640" w:type="dxa"/>
            <w:vAlign w:val="bottom"/>
            <w:gridSpan w:val="3"/>
          </w:tcPr>
          <w:p>
            <w:pPr>
              <w:ind w:left="34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64"/>
        </w:trPr>
        <w:tc>
          <w:tcPr>
            <w:tcW w:w="2740" w:type="dxa"/>
            <w:vAlign w:val="bottom"/>
            <w:gridSpan w:val="2"/>
          </w:tcPr>
          <w:p>
            <w:pPr>
              <w:spacing w:after="0"/>
              <w:rPr>
                <w:sz w:val="20"/>
                <w:szCs w:val="20"/>
                <w:color w:val="auto"/>
              </w:rPr>
            </w:pPr>
            <w:r>
              <w:rPr>
                <w:rFonts w:ascii="Arial" w:cs="Arial" w:eastAsia="Arial" w:hAnsi="Arial"/>
                <w:sz w:val="18"/>
                <w:szCs w:val="18"/>
                <w:color w:val="auto"/>
              </w:rPr>
              <w:t>Gajus V. Worthington</w:t>
            </w:r>
          </w:p>
        </w:tc>
        <w:tc>
          <w:tcPr>
            <w:tcW w:w="1300" w:type="dxa"/>
            <w:vAlign w:val="bottom"/>
            <w:gridSpan w:val="2"/>
          </w:tcPr>
          <w:p>
            <w:pPr>
              <w:jc w:val="center"/>
              <w:ind w:left="953"/>
              <w:spacing w:after="0"/>
              <w:rPr>
                <w:sz w:val="20"/>
                <w:szCs w:val="20"/>
                <w:color w:val="auto"/>
              </w:rPr>
            </w:pPr>
            <w:r>
              <w:rPr>
                <w:rFonts w:ascii="Arial" w:cs="Arial" w:eastAsia="Arial" w:hAnsi="Arial"/>
                <w:sz w:val="18"/>
                <w:szCs w:val="18"/>
                <w:color w:val="auto"/>
                <w:w w:val="89"/>
              </w:rPr>
              <w:t>45</w:t>
            </w:r>
          </w:p>
        </w:tc>
        <w:tc>
          <w:tcPr>
            <w:tcW w:w="200" w:type="dxa"/>
            <w:vAlign w:val="bottom"/>
          </w:tcPr>
          <w:p>
            <w:pPr>
              <w:spacing w:after="0"/>
              <w:rPr>
                <w:sz w:val="22"/>
                <w:szCs w:val="22"/>
                <w:color w:val="auto"/>
              </w:rPr>
            </w:pPr>
          </w:p>
        </w:tc>
        <w:tc>
          <w:tcPr>
            <w:tcW w:w="6640" w:type="dxa"/>
            <w:vAlign w:val="bottom"/>
            <w:gridSpan w:val="3"/>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270"/>
        </w:trPr>
        <w:tc>
          <w:tcPr>
            <w:tcW w:w="274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1300" w:type="dxa"/>
            <w:vAlign w:val="bottom"/>
            <w:gridSpan w:val="2"/>
          </w:tcPr>
          <w:p>
            <w:pPr>
              <w:jc w:val="center"/>
              <w:ind w:left="953"/>
              <w:spacing w:after="0"/>
              <w:rPr>
                <w:sz w:val="20"/>
                <w:szCs w:val="20"/>
                <w:color w:val="auto"/>
              </w:rPr>
            </w:pPr>
            <w:r>
              <w:rPr>
                <w:rFonts w:ascii="Arial" w:cs="Arial" w:eastAsia="Arial" w:hAnsi="Arial"/>
                <w:sz w:val="18"/>
                <w:szCs w:val="18"/>
                <w:color w:val="auto"/>
                <w:w w:val="89"/>
              </w:rPr>
              <w:t>58</w:t>
            </w:r>
          </w:p>
        </w:tc>
        <w:tc>
          <w:tcPr>
            <w:tcW w:w="200" w:type="dxa"/>
            <w:vAlign w:val="bottom"/>
          </w:tcPr>
          <w:p>
            <w:pPr>
              <w:spacing w:after="0"/>
              <w:rPr>
                <w:sz w:val="23"/>
                <w:szCs w:val="23"/>
                <w:color w:val="auto"/>
              </w:rPr>
            </w:pPr>
          </w:p>
        </w:tc>
        <w:tc>
          <w:tcPr>
            <w:tcW w:w="664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r>
      <w:tr>
        <w:trPr>
          <w:trHeight w:val="270"/>
        </w:trPr>
        <w:tc>
          <w:tcPr>
            <w:tcW w:w="2740" w:type="dxa"/>
            <w:vAlign w:val="bottom"/>
            <w:gridSpan w:val="2"/>
          </w:tcPr>
          <w:p>
            <w:pPr>
              <w:spacing w:after="0"/>
              <w:rPr>
                <w:sz w:val="20"/>
                <w:szCs w:val="20"/>
                <w:color w:val="auto"/>
              </w:rPr>
            </w:pPr>
            <w:r>
              <w:rPr>
                <w:rFonts w:ascii="Arial" w:cs="Arial" w:eastAsia="Arial" w:hAnsi="Arial"/>
                <w:sz w:val="18"/>
                <w:szCs w:val="18"/>
                <w:color w:val="auto"/>
              </w:rPr>
              <w:t>Robert C. Jones</w:t>
            </w:r>
          </w:p>
        </w:tc>
        <w:tc>
          <w:tcPr>
            <w:tcW w:w="1300" w:type="dxa"/>
            <w:vAlign w:val="bottom"/>
            <w:gridSpan w:val="2"/>
          </w:tcPr>
          <w:p>
            <w:pPr>
              <w:jc w:val="center"/>
              <w:ind w:left="953"/>
              <w:spacing w:after="0"/>
              <w:rPr>
                <w:sz w:val="20"/>
                <w:szCs w:val="20"/>
                <w:color w:val="auto"/>
              </w:rPr>
            </w:pPr>
            <w:r>
              <w:rPr>
                <w:rFonts w:ascii="Arial" w:cs="Arial" w:eastAsia="Arial" w:hAnsi="Arial"/>
                <w:sz w:val="18"/>
                <w:szCs w:val="18"/>
                <w:color w:val="auto"/>
                <w:w w:val="89"/>
              </w:rPr>
              <w:t>60</w:t>
            </w:r>
          </w:p>
        </w:tc>
        <w:tc>
          <w:tcPr>
            <w:tcW w:w="200" w:type="dxa"/>
            <w:vAlign w:val="bottom"/>
          </w:tcPr>
          <w:p>
            <w:pPr>
              <w:spacing w:after="0"/>
              <w:rPr>
                <w:sz w:val="23"/>
                <w:szCs w:val="23"/>
                <w:color w:val="auto"/>
              </w:rPr>
            </w:pPr>
          </w:p>
        </w:tc>
        <w:tc>
          <w:tcPr>
            <w:tcW w:w="66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Research and Development</w:t>
            </w:r>
          </w:p>
        </w:tc>
      </w:tr>
      <w:tr>
        <w:trPr>
          <w:trHeight w:val="270"/>
        </w:trPr>
        <w:tc>
          <w:tcPr>
            <w:tcW w:w="2740" w:type="dxa"/>
            <w:vAlign w:val="bottom"/>
            <w:gridSpan w:val="2"/>
          </w:tcPr>
          <w:p>
            <w:pPr>
              <w:spacing w:after="0"/>
              <w:rPr>
                <w:sz w:val="20"/>
                <w:szCs w:val="20"/>
                <w:color w:val="auto"/>
              </w:rPr>
            </w:pPr>
            <w:r>
              <w:rPr>
                <w:rFonts w:ascii="Arial" w:cs="Arial" w:eastAsia="Arial" w:hAnsi="Arial"/>
                <w:sz w:val="18"/>
                <w:szCs w:val="18"/>
                <w:color w:val="auto"/>
              </w:rPr>
              <w:t>William M. Smith</w:t>
            </w:r>
          </w:p>
        </w:tc>
        <w:tc>
          <w:tcPr>
            <w:tcW w:w="1300" w:type="dxa"/>
            <w:vAlign w:val="bottom"/>
            <w:gridSpan w:val="2"/>
          </w:tcPr>
          <w:p>
            <w:pPr>
              <w:jc w:val="center"/>
              <w:ind w:left="953"/>
              <w:spacing w:after="0"/>
              <w:rPr>
                <w:sz w:val="20"/>
                <w:szCs w:val="20"/>
                <w:color w:val="auto"/>
              </w:rPr>
            </w:pPr>
            <w:r>
              <w:rPr>
                <w:rFonts w:ascii="Arial" w:cs="Arial" w:eastAsia="Arial" w:hAnsi="Arial"/>
                <w:sz w:val="18"/>
                <w:szCs w:val="18"/>
                <w:color w:val="auto"/>
                <w:w w:val="89"/>
              </w:rPr>
              <w:t>63</w:t>
            </w:r>
          </w:p>
        </w:tc>
        <w:tc>
          <w:tcPr>
            <w:tcW w:w="200" w:type="dxa"/>
            <w:vAlign w:val="bottom"/>
          </w:tcPr>
          <w:p>
            <w:pPr>
              <w:spacing w:after="0"/>
              <w:rPr>
                <w:sz w:val="23"/>
                <w:szCs w:val="23"/>
                <w:color w:val="auto"/>
              </w:rPr>
            </w:pPr>
          </w:p>
        </w:tc>
        <w:tc>
          <w:tcPr>
            <w:tcW w:w="66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Legal Affairs, General Counsel, and Secretary</w:t>
            </w:r>
          </w:p>
        </w:tc>
      </w:tr>
      <w:tr>
        <w:trPr>
          <w:trHeight w:val="270"/>
        </w:trPr>
        <w:tc>
          <w:tcPr>
            <w:tcW w:w="274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1300" w:type="dxa"/>
            <w:vAlign w:val="bottom"/>
            <w:gridSpan w:val="2"/>
          </w:tcPr>
          <w:p>
            <w:pPr>
              <w:jc w:val="center"/>
              <w:ind w:left="953"/>
              <w:spacing w:after="0"/>
              <w:rPr>
                <w:sz w:val="20"/>
                <w:szCs w:val="20"/>
                <w:color w:val="auto"/>
              </w:rPr>
            </w:pPr>
            <w:r>
              <w:rPr>
                <w:rFonts w:ascii="Arial" w:cs="Arial" w:eastAsia="Arial" w:hAnsi="Arial"/>
                <w:sz w:val="18"/>
                <w:szCs w:val="18"/>
                <w:color w:val="auto"/>
                <w:w w:val="89"/>
              </w:rPr>
              <w:t>57</w:t>
            </w:r>
          </w:p>
        </w:tc>
        <w:tc>
          <w:tcPr>
            <w:tcW w:w="200" w:type="dxa"/>
            <w:vAlign w:val="bottom"/>
          </w:tcPr>
          <w:p>
            <w:pPr>
              <w:spacing w:after="0"/>
              <w:rPr>
                <w:sz w:val="23"/>
                <w:szCs w:val="23"/>
                <w:color w:val="auto"/>
              </w:rPr>
            </w:pPr>
          </w:p>
        </w:tc>
        <w:tc>
          <w:tcPr>
            <w:tcW w:w="6640" w:type="dxa"/>
            <w:vAlign w:val="bottom"/>
            <w:gridSpan w:val="3"/>
          </w:tcPr>
          <w:p>
            <w:pPr>
              <w:ind w:left="220"/>
              <w:spacing w:after="0"/>
              <w:rPr>
                <w:sz w:val="20"/>
                <w:szCs w:val="20"/>
                <w:color w:val="auto"/>
              </w:rPr>
            </w:pPr>
            <w:r>
              <w:rPr>
                <w:rFonts w:ascii="Arial" w:cs="Arial" w:eastAsia="Arial" w:hAnsi="Arial"/>
                <w:sz w:val="18"/>
                <w:szCs w:val="18"/>
                <w:color w:val="auto"/>
              </w:rPr>
              <w:t>Chief Operating Officer</w:t>
            </w:r>
          </w:p>
        </w:tc>
      </w:tr>
      <w:tr>
        <w:trPr>
          <w:trHeight w:val="256"/>
        </w:trPr>
        <w:tc>
          <w:tcPr>
            <w:tcW w:w="2740" w:type="dxa"/>
            <w:vAlign w:val="bottom"/>
            <w:gridSpan w:val="2"/>
          </w:tcPr>
          <w:p>
            <w:pPr>
              <w:spacing w:after="0"/>
              <w:rPr>
                <w:sz w:val="20"/>
                <w:szCs w:val="20"/>
                <w:color w:val="auto"/>
              </w:rPr>
            </w:pPr>
            <w:r>
              <w:rPr>
                <w:rFonts w:ascii="Arial" w:cs="Arial" w:eastAsia="Arial" w:hAnsi="Arial"/>
                <w:sz w:val="18"/>
                <w:szCs w:val="18"/>
                <w:color w:val="auto"/>
              </w:rPr>
              <w:t>Mai Chan (Grace) Yow</w:t>
            </w:r>
          </w:p>
        </w:tc>
        <w:tc>
          <w:tcPr>
            <w:tcW w:w="1300" w:type="dxa"/>
            <w:vAlign w:val="bottom"/>
            <w:gridSpan w:val="2"/>
          </w:tcPr>
          <w:p>
            <w:pPr>
              <w:jc w:val="center"/>
              <w:ind w:left="953"/>
              <w:spacing w:after="0"/>
              <w:rPr>
                <w:sz w:val="20"/>
                <w:szCs w:val="20"/>
                <w:color w:val="auto"/>
              </w:rPr>
            </w:pPr>
            <w:r>
              <w:rPr>
                <w:rFonts w:ascii="Arial" w:cs="Arial" w:eastAsia="Arial" w:hAnsi="Arial"/>
                <w:sz w:val="18"/>
                <w:szCs w:val="18"/>
                <w:color w:val="auto"/>
                <w:w w:val="89"/>
              </w:rPr>
              <w:t>56</w:t>
            </w:r>
          </w:p>
        </w:tc>
        <w:tc>
          <w:tcPr>
            <w:tcW w:w="200" w:type="dxa"/>
            <w:vAlign w:val="bottom"/>
          </w:tcPr>
          <w:p>
            <w:pPr>
              <w:spacing w:after="0"/>
              <w:rPr>
                <w:sz w:val="22"/>
                <w:szCs w:val="22"/>
                <w:color w:val="auto"/>
              </w:rPr>
            </w:pPr>
          </w:p>
        </w:tc>
        <w:tc>
          <w:tcPr>
            <w:tcW w:w="6640" w:type="dxa"/>
            <w:vAlign w:val="bottom"/>
            <w:gridSpan w:val="3"/>
          </w:tcPr>
          <w:p>
            <w:pPr>
              <w:ind w:left="220"/>
              <w:spacing w:after="0"/>
              <w:rPr>
                <w:sz w:val="20"/>
                <w:szCs w:val="20"/>
                <w:color w:val="auto"/>
              </w:rPr>
            </w:pPr>
            <w:r>
              <w:rPr>
                <w:rFonts w:ascii="Arial" w:cs="Arial" w:eastAsia="Arial" w:hAnsi="Arial"/>
                <w:sz w:val="18"/>
                <w:szCs w:val="18"/>
                <w:color w:val="auto"/>
                <w:w w:val="92"/>
              </w:rPr>
              <w:t>Executive Vice President, Worldwide Manufacturing and Managing Director of Fluidigm</w:t>
            </w:r>
          </w:p>
        </w:tc>
      </w:tr>
      <w:tr>
        <w:trPr>
          <w:trHeight w:val="230"/>
        </w:trPr>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40" w:type="dxa"/>
            <w:vAlign w:val="bottom"/>
            <w:gridSpan w:val="3"/>
          </w:tcPr>
          <w:p>
            <w:pPr>
              <w:ind w:left="220"/>
              <w:spacing w:after="0"/>
              <w:rPr>
                <w:sz w:val="20"/>
                <w:szCs w:val="20"/>
                <w:color w:val="auto"/>
              </w:rPr>
            </w:pPr>
            <w:r>
              <w:rPr>
                <w:rFonts w:ascii="Arial" w:cs="Arial" w:eastAsia="Arial" w:hAnsi="Arial"/>
                <w:sz w:val="18"/>
                <w:szCs w:val="18"/>
                <w:color w:val="auto"/>
              </w:rPr>
              <w:t>Singapore Pte. Ltd.</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Gajus V. Worthington </w:t>
      </w:r>
      <w:r>
        <w:rPr>
          <w:rFonts w:ascii="Arial" w:cs="Arial" w:eastAsia="Arial" w:hAnsi="Arial"/>
          <w:sz w:val="16"/>
          <w:szCs w:val="16"/>
          <w:color w:val="auto"/>
        </w:rPr>
        <w:t>is a co-founder of Fluidigm and has served as our President, Chief Executive Officer and a director since our inception in June</w:t>
      </w:r>
    </w:p>
    <w:p>
      <w:pPr>
        <w:spacing w:after="0" w:line="46"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1999. From May 1994 to April 1999, Mr. Worthington held various staff and management positions at Actel Corporation, a public semiconductor corporation that was sold to Microsemi Corporation in 2010. Mr. Worthington received a B.S. in Physics and an M.S. in Electrical Engineering from Stanford University.</w:t>
      </w:r>
    </w:p>
    <w:p>
      <w:pPr>
        <w:spacing w:after="0" w:line="8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Vikram Jog </w:t>
      </w:r>
      <w:r>
        <w:rPr>
          <w:rFonts w:ascii="Arial" w:cs="Arial" w:eastAsia="Arial" w:hAnsi="Arial"/>
          <w:sz w:val="18"/>
          <w:szCs w:val="18"/>
          <w:color w:val="auto"/>
        </w:rPr>
        <w:t>has served as our Chief Financial Officer since February 2008. From April 2005 to February 2008, Mr. Jog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for XDx, Inc., a molecular diagnostics company. From March 2003 to April 2005, Mr. Jog was a Vice President of Applera Corporation, a life science company that is now part of Thermo Fisher Scientific,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3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Robert C. Jones </w:t>
      </w:r>
      <w:r>
        <w:rPr>
          <w:rFonts w:ascii="Arial" w:cs="Arial" w:eastAsia="Arial" w:hAnsi="Arial"/>
          <w:sz w:val="18"/>
          <w:szCs w:val="18"/>
          <w:color w:val="auto"/>
        </w:rPr>
        <w:t>has served as our Executive Vice President, Research and Development since August 2005. From August 1984 to July 2005, Mr. Jones</w:t>
      </w:r>
      <w:r>
        <w:rPr>
          <w:rFonts w:ascii="Arial" w:cs="Arial" w:eastAsia="Arial" w:hAnsi="Arial"/>
          <w:sz w:val="18"/>
          <w:szCs w:val="18"/>
          <w:i w:val="1"/>
          <w:iCs w:val="1"/>
          <w:color w:val="auto"/>
        </w:rPr>
        <w:t xml:space="preserve"> </w:t>
      </w:r>
      <w:r>
        <w:rPr>
          <w:rFonts w:ascii="Arial" w:cs="Arial" w:eastAsia="Arial" w:hAnsi="Arial"/>
          <w:sz w:val="18"/>
          <w:szCs w:val="18"/>
          <w:color w:val="auto"/>
        </w:rPr>
        <w:t>held various managerial and research and development positions at Applied Biosystems, a laboratory equipment and supplies manufacturer that was a division of Applera Corporation, including: Senior Vice President Research and Development from April 2001 to August 2005; Vice President and General Manager Informatics Division from 1998 to 2001; and Vice President PCR Business Unit from 1994 to 1998. Mr. Jones received a BSEE in Electrical Engineering and an MSEE in Computer Engineering from the University of Washington.</w:t>
      </w:r>
    </w:p>
    <w:p>
      <w:pPr>
        <w:spacing w:after="0" w:line="134"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i w:val="1"/>
          <w:iCs w:val="1"/>
          <w:color w:val="auto"/>
        </w:rPr>
        <w:t xml:space="preserve">William M. Smith </w:t>
      </w:r>
      <w:r>
        <w:rPr>
          <w:rFonts w:ascii="Arial" w:cs="Arial" w:eastAsia="Arial" w:hAnsi="Arial"/>
          <w:sz w:val="16"/>
          <w:szCs w:val="16"/>
          <w:color w:val="auto"/>
        </w:rPr>
        <w:t>has served as our Executive Vice President, Legal Affairs since February 2012, and as General Counsel and our Secretary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2000. From May 2000 to February 2012, Mr. Smith served as our Vice President, Legal Affairs and served as a director from May 2000 to April 2008.</w:t>
      </w:r>
    </w:p>
    <w:p>
      <w:pPr>
        <w:ind w:right="140"/>
        <w:spacing w:after="0" w:line="290" w:lineRule="auto"/>
        <w:rPr>
          <w:sz w:val="20"/>
          <w:szCs w:val="20"/>
          <w:color w:val="auto"/>
        </w:rPr>
      </w:pPr>
      <w:r>
        <w:rPr>
          <w:rFonts w:ascii="Arial" w:cs="Arial" w:eastAsia="Arial" w:hAnsi="Arial"/>
          <w:sz w:val="17"/>
          <w:szCs w:val="17"/>
          <w:color w:val="auto"/>
        </w:rPr>
        <w:t>Mr. Smith served as an associate and then as a partner at the law firm of Townsend and Townsend and Crew, LLP from 1985 through April 2008. Mr. Smith received a J.D. and an M.P.A. from the University of Southern California and a B.A. in Biology from the University of California, San Diego.</w:t>
      </w:r>
    </w:p>
    <w:p>
      <w:pPr>
        <w:spacing w:after="0" w:line="10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i w:val="1"/>
          <w:iCs w:val="1"/>
          <w:color w:val="auto"/>
        </w:rPr>
        <w:t xml:space="preserve">Fredric Walder </w:t>
      </w:r>
      <w:r>
        <w:rPr>
          <w:rFonts w:ascii="Arial" w:cs="Arial" w:eastAsia="Arial" w:hAnsi="Arial"/>
          <w:sz w:val="16"/>
          <w:szCs w:val="16"/>
          <w:color w:val="auto"/>
        </w:rPr>
        <w:t>has served as our Chief Operating Officer since December 2012. From May 2010 to December 2012, Mr. Walder served as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Officer. From August 1992 to April 2010, he served in various senior executive positions at Thermo Fisher Scientific, a laboratory equipment and supplies manufacturer, including as Senior Vice President, Customer Excellence from November 2006 to April 2010, and Division President, Thermo Electron Corporation from January 2000 to November 2006. Mr. Walder holds a B.S. in Chemistry from the University of Massachusetts.</w:t>
      </w:r>
    </w:p>
    <w:p>
      <w:pPr>
        <w:spacing w:after="0" w:line="100"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i w:val="1"/>
          <w:iCs w:val="1"/>
          <w:color w:val="auto"/>
        </w:rPr>
        <w:t xml:space="preserve">Mai Chan (Grace) Yow </w:t>
      </w:r>
      <w:r>
        <w:rPr>
          <w:rFonts w:ascii="Arial" w:cs="Arial" w:eastAsia="Arial" w:hAnsi="Arial"/>
          <w:sz w:val="18"/>
          <w:szCs w:val="18"/>
          <w:color w:val="auto"/>
        </w:rPr>
        <w:t>has served as Executive Vice President, Worldwide Manufacturing of Fluidigm Singapore Pte. Ltd., our Singapore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since February 2012, and as Managing Director of Fluidigm Singapore Pte. Ltd. since March 2006. Ms. Yow served as Vice President, Worldwide Manufacturing, from March 2006 to January 2012. From June 2005 to March 2006, 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ectPr>
          <w:pgSz w:w="11900" w:h="16838" w:orient="portrait"/>
          <w:cols w:equalWidth="0" w:num="1">
            <w:col w:w="11380"/>
          </w:cols>
          <w:pgMar w:left="240" w:top="206"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10-K. If any of the risks or uncertainties we face were to occur, the trading price of our securities could decline, and you may lose all or part of your investment.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application of our technologies to single-cell biology (across genomics and proteomics) and production genomics applications are emerging market opportunities. We believe these opportunities will take several years to develop or mature and we cannot be certain that these market opportunities will develop as we expect. For example, we launched our Polaris system in February 2015 (with shipment expected in mid-2015), which applies our technology to, among other things, improve single-cell analytic workflow for single-cell genomics by incorporating cell selection, isolation, dose, culture, and molecular preparation into a single workflow. The future growth of the single-cell biology market and the success of our products depend on many factors beyond our control, including recognition and acceptance by the scientific community, and the growth, prevalence, and costs of competing methods of genetic and protein analysis. If the market for single-cell biology and production genomics do not develop as we expect, our business may be adversely affected. Additionally, our success in these markets may depend to a large extent on our ability to successfully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financial results may vary significantly from quarter-to-quarter due to a number of factors, which may lead to volatility in our stock price.</w:t>
      </w:r>
    </w:p>
    <w:p>
      <w:pPr>
        <w:spacing w:after="0" w:line="24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quarterly revenue and results of operations have varied in the past and may continue to vary significantly from quarter-to-quarter. For example, in 2011 and 2012, we experienced higher sales in the fourth quarter than in the first quarter of the next fiscal year. Although this was not the case in the fourth quarter of 2013 compared to the first quarter of 2014, we expect the historical trend to resume in 2015. In addition, revenue from sales of our instruments relative to sales of our consumables may fluctuate or deviate significantly from expectations. The variability in our quarterly results of operations, including revenue from sales of our instruments relative to our consumables, may lead to volatility in our stock price as research analysts and investors respond to these quarterly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market, sell, and deliver products to our customers in a timely and cost-effective manner;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quarter-to-quarter financial results and actual results of operations could be significantly impacted. Other unknown or unpredictable factors also could harm our results.</w:t>
      </w:r>
    </w:p>
    <w:p>
      <w:pPr>
        <w:spacing w:after="0" w:line="178"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We expect that our sales will continue to fluctuate on a quarterly basis and that our financial results for some periods may be below those projected by securities analysts, which could significantly decrease the price of our common stock.</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7"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29"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We have a limited operating history and have incurred significant losses in each fiscal year since our inception, including net losses of $52.8 million, $16.5 million, and $19.0 million during the years 2014, 2013, and 2012, respectively. As of December 31, 2014, we had an accumulated deficit of $310.2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growth, and we expect these expenses will increase in future periods. We also expect that our selling, general, and administrative expenses will continue to increase due to the additional operational costs associated with the growth of our business.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carrying value of long-lived and intangible assets may become impaired and result in an impairment charge.</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of December 31, 2014, we had approximately $208.2 million of net intangible assets, net of amortization, and goodwill. In addition, if in the future we acquire additional complementary businesses or technologies, a substantial portion of the value of such assets may be recorded as intangible assets or goodwill. The carrying amounts of intangible assets and goodwill are affected whenever events or changes in circumstances indicate that the carrying amount of any asset may not be recoverable. Such events or changes might include a significant decline in market share, a significant decline in revenues, a significant increase in losses or decrease in profits, rapid changes in technology, failure to achieve the benefits of capacity increases and utilization, significant litigation arising out of an acquisition or other matters. Adverse events or changes in circumstances may affect the estimated undiscounted future operating cash flows expected to be derived from intangible assets and goodwill. If at any time we determine that an impairment has occurred, we will be required to reflect the impaired value as a charge, resulting in a reduction in earnings in the quarter such impairment is identified and a corresponding reduction in our net asset value. The potential recognition of impairment in the carrying value, if any, could have a material and adverse effect on our financial condition and results of operations.</w:t>
      </w:r>
    </w:p>
    <w:p>
      <w:pPr>
        <w:spacing w:after="0" w:line="17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7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one or more of our manufacturing facilities become unavailable or inoperable, we will be unable to continue manufacturing our instruments, IFCs, and/or assays and, as a result, our business will be harmed until we are able to secure a new facility.</w:t>
      </w:r>
    </w:p>
    <w:p>
      <w:pPr>
        <w:spacing w:after="0" w:line="16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manufacture all of our genomics analytical and preparatory instruments and integrated fluidic circuits, or IFCs, for commercial sale at our facility in Singapore, our proteomics analytical instruments for commercial sale at our facility in Canada, and our assays for commercial sale at our facilities in South San Francisco and Sunnyvale, California. No other manufacturing facilities are currently available to us, particularly facilities of the size and scope required by our Singapore and Canada operations. Our facilities and the equipment we use to manufacture our instruments, IFCs, and assays would be costly to replace and could require substantial lead time to repair or replace. Our facilities may be harmed or rendered inoperable by natural or man-made disasters, which may render it difficult or impossible for us to manufacture our products for some period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7"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241"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14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760" w:right="300" w:hanging="320"/>
        <w:spacing w:after="0" w:line="26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Specialized pneumatic and electronic components for our C1 system are available from a limited number of sources.</w:t>
      </w:r>
    </w:p>
    <w:p>
      <w:pPr>
        <w:spacing w:after="0" w:line="225" w:lineRule="exact"/>
        <w:rPr>
          <w:rFonts w:ascii="Arial" w:cs="Arial" w:eastAsia="Arial" w:hAnsi="Arial"/>
          <w:sz w:val="18"/>
          <w:szCs w:val="18"/>
          <w:color w:val="auto"/>
        </w:rPr>
      </w:pPr>
    </w:p>
    <w:p>
      <w:pPr>
        <w:ind w:left="760" w:right="22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electron multiplier detector included in the CyTOF system and certain metal isotopes used with the CyTOF system are purchased from sole source suppliers.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nickel sampler cone used with the CyTOF system is purchased from single source suppliers and is available from a limited number of sources.</w:t>
      </w:r>
    </w:p>
    <w:p>
      <w:pPr>
        <w:spacing w:after="0" w:line="248" w:lineRule="exact"/>
        <w:rPr>
          <w:rFonts w:ascii="Arial" w:cs="Arial" w:eastAsia="Arial" w:hAnsi="Arial"/>
          <w:sz w:val="16"/>
          <w:szCs w:val="16"/>
          <w:color w:val="auto"/>
        </w:rPr>
      </w:pPr>
    </w:p>
    <w:p>
      <w:pPr>
        <w:ind w:left="760" w:right="50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7"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Our reliance on single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280" w:hanging="320"/>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70" w:lineRule="exact"/>
        <w:rPr>
          <w:rFonts w:ascii="Arial" w:cs="Arial" w:eastAsia="Arial" w:hAnsi="Arial"/>
          <w:sz w:val="18"/>
          <w:szCs w:val="18"/>
          <w:color w:val="auto"/>
        </w:rPr>
      </w:pPr>
    </w:p>
    <w:p>
      <w:pPr>
        <w:ind w:left="760" w:right="180" w:hanging="320"/>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8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laboratories that use our technology to develop tests, and pharmaceutical, biotechnology, and agricultural biotechnology, or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61"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The life science research and applied markets are highly competitive and subject to rapid technological change, and we may not be able to successfully compete.</w:t>
      </w:r>
    </w:p>
    <w:p>
      <w:pPr>
        <w:spacing w:after="0" w:line="166"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7"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Agena Bioscience, Inc., Agilent Technologies, Inc., Becton, Dickinson and Company, Bio-Rad Laboratories, Inc.,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Roche Diagnostics Corporation, Sony Corporation, Thermo Fisher Scientific Inc., and WaferGen Bio-systems, Inc. have products that compete in certain segments of the market in which we sell our products.</w:t>
      </w:r>
    </w:p>
    <w:p>
      <w:pPr>
        <w:spacing w:after="0" w:line="167"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spacing w:after="0" w:line="18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systems and IFCs to academic institutions, clinical laboratories that use our technology to develop tests,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169"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7"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single-cell biology and production genomics,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8"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Our products could become subject to regulation as medical devices by the U.S. Food and Drug Administration, or FDA, or other regulatory agencies in the future.</w:t>
      </w:r>
    </w:p>
    <w:p>
      <w:pPr>
        <w:spacing w:after="0" w:line="16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products are currently labeled, promoted and sold to academic institutions, life sciences laboratories, and pharmaceutical, biotechnology, and Ag-Bio companies for research purposes only, and not as diagnostic tests or medical devices. As products labeled, promoted and intended for research use only, or RUO, they are not subject to regulation as medical devices by the FDA. Products labeled and intended for research use only are not currently subject to regulation as medical devices by comparable agencies of other countries. However, the FDA could disagree with our conclusion that our products are for research use only or deem our current marketing and promotional efforts as being inconsistent with research use only products. In addition, if we change the labeling or promotion of our products in the future to include indications for human diagnostic applications or medical uses, including treatment of diseases or medical conditions, or we have knowledge that our customers are using our products for clinical diagnostic or therapeutic purposes, our products or related applications could be subject to additional regulation as in vitro diagnostic devices, such as under the FDA’s pre- and post-market regulations for medical devices. For example, if we wish to label, promote or advertise our products for use in performing clinical diagnostics, we would first need to obtain FDA pre-market clearance or approval (depending on any product’s specific intended use and any such modified labeling claims), unless otherwise exempt from clearance or approval requirements. Obtaining FDA clearance or approval can be expensive and uncertain, and generally takes several months to years to obtain, and may require detailed and comprehensive scientific and clinical data. Notwithstanding the expense, these efforts may never result in FDA clearance or approval. Even if we were to obtain regulatory approval or clearance, it may not be for the uses we believe are important or commercially attractive.</w:t>
      </w:r>
    </w:p>
    <w:p>
      <w:pPr>
        <w:spacing w:after="0" w:line="17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Further, the FDA may expand its regulatory oversight of our products or the products of our customers, which could impose restrictions on our ability to market and sell our products. For example, our customers may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diagnostics currently on the market. The guidance documents, if and when finalized, may significantly impact the sales of our products and how customers use our products, and may require us to change our business model in order to maintain compliance with these laws.</w:t>
      </w:r>
    </w:p>
    <w:p>
      <w:pPr>
        <w:spacing w:after="0" w:line="182"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7"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offered for clinical diagnostic uses. These circumstances may include written or verbal marketing claims or links to articles regarding a product’s performance in clinical applications and a manufacturer’s provision of technical support for clinical applications. If the FDA imposes significant changes to the regulation of LDTs, or modifies its approach to our products labeled and intended for research use only, it could reduce our revenue or increase our costs and adversely affect our business, prospects, results of operations or financial condition. In addition, if the FDA determined that our products labeled for research use only were intended, based on a review of the totality of circumstances, for use in clinical investigation or diagnosis, those products could be considered misbranded or adulterated under the Federal Food, Drug, and Cosmetic Act and subject to recall or other enforcement action.</w:t>
      </w:r>
    </w:p>
    <w:p>
      <w:pPr>
        <w:spacing w:after="0" w:line="16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may be required to proactively achieve compliance with certain FDA regulations and to conform our manufacturing operations to the FDA’s good manufacturing practice regulations for medical devices, known as the Quality System Regulation, or QSR, as part of our contracts with customers or as part of our collaborations with third parties. In addition, we may voluntarily seek to conform our manufacturing operations to QSR requirements. For clinical diagnostic products that are regulated as medical devices, the FDA enforces the QSR through pre-approved inspections and periodic unannounced inspections of registered manufacturing facilities. If we are subject to QSR requirements, the failure to comply with those requirements or take satisfactory corrective action in response to an adverse QSR inspection could result in enforcement actions, including a public warning letter or an untitled letter, a delay in approving or clearing, or a refusal to approve or clear, our products, a shutdown of manufacturing operations, a product recall, civil or criminal penalties or other sanctions, which could in turn cause our sales and business to suffer.</w:t>
      </w:r>
    </w:p>
    <w:p>
      <w:pPr>
        <w:spacing w:after="0" w:line="17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Compliance or the failure to comply with current and future regulations, such as environmental regulations enacted in the European Union, could cause us significant expense and adversely impact our business.</w:t>
      </w:r>
    </w:p>
    <w:p>
      <w:pPr>
        <w:spacing w:after="0" w:line="166" w:lineRule="exact"/>
        <w:rPr>
          <w:sz w:val="20"/>
          <w:szCs w:val="20"/>
          <w:color w:val="auto"/>
        </w:rPr>
      </w:pPr>
    </w:p>
    <w:p>
      <w:pPr>
        <w:ind w:right="60" w:firstLine="432"/>
        <w:spacing w:after="0" w:line="285"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may become subject to RoHS and WEEE requirements.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 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74"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 We may have difficulty attracting, motivating, and retaining executives and other key employees in light of our recent acquisition.</w:t>
      </w:r>
    </w:p>
    <w:p>
      <w:pPr>
        <w:spacing w:after="0" w:line="142"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Our performance is substantially dependent on the performance of our senior management, particularly Gajus V. Worthington, our president and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7"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firstLine="432"/>
        <w:spacing w:after="0" w:line="276" w:lineRule="auto"/>
        <w:rPr>
          <w:sz w:val="20"/>
          <w:szCs w:val="20"/>
          <w:color w:val="auto"/>
        </w:rPr>
      </w:pPr>
      <w:r>
        <w:rPr>
          <w:rFonts w:ascii="Arial" w:cs="Arial" w:eastAsia="Arial" w:hAnsi="Arial"/>
          <w:sz w:val="17"/>
          <w:szCs w:val="17"/>
          <w:color w:val="auto"/>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7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Additionally, as a result of the acquisition, key Fluidigm Sciences employees became entitled to receive a portion of the acquisition consideration, the payment of which could provide sufficient financial incentive for certain officers and employees to no longer pursue employment with the combined business. In particular, we have identified several key Fluidigm Sciences employees, including key scientific and technical employees, who have been important to the development of Fluidigm Sciences’ products and technologies, and we have implemented employment compensation arrangements in connection with the acquisition to ensure these individuals’ continued employment with us. We cannot provide assurances that these arrangements will sufficiently incentivize these key employees to remain with us. If these key employees depart, we may incur significant costs in identifying, hiring, and retaining replacements for departing employees, which could substantially reduce or delay our ability to realize the anticipated benefits of the acquisition.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to our recent acquisition,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188" w:lineRule="exact"/>
        <w:rPr>
          <w:sz w:val="20"/>
          <w:szCs w:val="20"/>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7"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spacing w:after="0" w:line="276" w:lineRule="auto"/>
        <w:rPr>
          <w:sz w:val="20"/>
          <w:szCs w:val="20"/>
          <w:color w:val="auto"/>
        </w:rPr>
      </w:pPr>
      <w:r>
        <w:rPr>
          <w:rFonts w:ascii="Arial" w:cs="Arial" w:eastAsia="Arial" w:hAnsi="Arial"/>
          <w:sz w:val="17"/>
          <w:szCs w:val="17"/>
          <w:color w:val="auto"/>
        </w:rPr>
        <w:t>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6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2" w:lineRule="exact"/>
        <w:rPr>
          <w:sz w:val="20"/>
          <w:szCs w:val="20"/>
          <w:color w:val="auto"/>
        </w:rPr>
      </w:pPr>
    </w:p>
    <w:p>
      <w:pPr>
        <w:ind w:right="420" w:firstLine="486"/>
        <w:spacing w:after="0" w:line="259" w:lineRule="auto"/>
        <w:rPr>
          <w:sz w:val="20"/>
          <w:szCs w:val="20"/>
          <w:color w:val="auto"/>
        </w:rPr>
      </w:pPr>
      <w:r>
        <w:rPr>
          <w:rFonts w:ascii="Arial" w:cs="Arial" w:eastAsia="Arial" w:hAnsi="Arial"/>
          <w:sz w:val="18"/>
          <w:szCs w:val="18"/>
          <w:color w:val="auto"/>
        </w:rPr>
        <w:t>During the years 2014, 2013, and 2012, approximately 49%, 48%, and 47%, respectively, of our product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87" w:lineRule="exact"/>
        <w:rPr>
          <w:sz w:val="20"/>
          <w:szCs w:val="20"/>
          <w:color w:val="auto"/>
        </w:rPr>
      </w:pPr>
    </w:p>
    <w:p>
      <w:pPr>
        <w:ind w:left="820" w:hanging="326"/>
        <w:spacing w:after="0" w:line="342"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such as the RoHS and WEEE directives, which regulate the use of certain hazardous substances in, and require the collection, reuse, and recycling of waste from, products we manufacture;</w:t>
      </w:r>
    </w:p>
    <w:p>
      <w:pPr>
        <w:spacing w:after="0" w:line="123" w:lineRule="exact"/>
        <w:rPr>
          <w:rFonts w:ascii="Arial" w:cs="Arial" w:eastAsia="Arial" w:hAnsi="Arial"/>
          <w:sz w:val="16"/>
          <w:szCs w:val="16"/>
          <w:color w:val="auto"/>
        </w:rPr>
      </w:pPr>
    </w:p>
    <w:p>
      <w:pPr>
        <w:ind w:left="820" w:right="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addition, 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years ended December 31, 2014 and 2013, we experienced foreign currency losses of $1.1 million and $0.5 million, respectively. Fluctuations in currency exchange rates could have an adverse impact on our financial results in the future.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7"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taxation in multiple jurisdictions.</w:t>
      </w:r>
    </w:p>
    <w:p>
      <w:pPr>
        <w:spacing w:after="0" w:line="22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upon final adjudication of any disputes could have a material impact on our results of operations and financial position.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22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8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We believe our facilities located in Singapore, Canada, and California, are sufficient to meet our short-term manufacturing needs. The current lease for our manufacturing facility in Singapore expires in June 2022. In the event that we need to add to our existing manufacturing space in Singapore or move our manufacturing facility to a new location in Singapore, such a move will involve significant expense and efforts in connection with the establishment of new clean rooms and the recommissioning of key manufacturing equipment, and we cannot assure you that such a move would not delay or otherwise adversely affect our manufacturing activities. We cannot provide assurances that we will be able to secure a lease on a different manufacturing facility on acceptable terms and on a timely basis, if at all, to meet our future manufacturing needs.</w:t>
      </w:r>
    </w:p>
    <w:p>
      <w:pPr>
        <w:spacing w:after="0" w:line="178" w:lineRule="exact"/>
        <w:rPr>
          <w:sz w:val="20"/>
          <w:szCs w:val="20"/>
          <w:color w:val="auto"/>
        </w:rPr>
      </w:pPr>
    </w:p>
    <w:p>
      <w:pPr>
        <w:ind w:right="640" w:firstLine="432"/>
        <w:spacing w:after="0" w:line="264"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7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products could have unknown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jc w:val="both"/>
        <w:ind w:right="160" w:firstLine="432"/>
        <w:spacing w:after="0" w:line="302"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We also provide warranties relating to other parts of our systems. The costs incurred in correcting any defects or errors may be substantial and could adversely affect our operating margins.</w:t>
      </w:r>
    </w:p>
    <w:p>
      <w:pPr>
        <w:spacing w:after="0" w:line="154"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5620" w:right="5420" w:hanging="5180"/>
        <w:spacing w:after="0" w:line="941" w:lineRule="auto"/>
        <w:tabs>
          <w:tab w:leader="none" w:pos="7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failure to achieve market acceptance or expansion of our product sales; 22</w:t>
      </w:r>
    </w:p>
    <w:p>
      <w:pPr>
        <w:sectPr>
          <w:pgSz w:w="11900" w:h="16838" w:orient="portrait"/>
          <w:cols w:equalWidth="0" w:num="1">
            <w:col w:w="11420"/>
          </w:cols>
          <w:pgMar w:left="240" w:top="287"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4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all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To use our products, our Biomark and CyTOF systems in particular, customers typically need to purchase specialized reagents. Any interruption in the availability of these reagents for use in our products could limit our ability to market our products.</w:t>
      </w:r>
    </w:p>
    <w:p>
      <w:pPr>
        <w:spacing w:after="0" w:line="166"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Our products, our Biomark and CyTOF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78"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7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7"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6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17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16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may be adversely affected.</w:t>
      </w:r>
    </w:p>
    <w:p>
      <w:pPr>
        <w:spacing w:after="0" w:line="18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believe that our existing cash and cash equivalents will be sufficient to meet our anticipated cash requirements for at least the next 18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substantial additional capital for various purposes, including:</w:t>
      </w:r>
    </w:p>
    <w:p>
      <w:pPr>
        <w:spacing w:after="0" w:line="211" w:lineRule="exact"/>
        <w:rPr>
          <w:sz w:val="20"/>
          <w:szCs w:val="20"/>
          <w:color w:val="auto"/>
        </w:rPr>
      </w:pPr>
    </w:p>
    <w:p>
      <w:pPr>
        <w:ind w:left="760" w:hanging="320"/>
        <w:spacing w:after="0"/>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25" w:lineRule="exact"/>
        <w:rPr>
          <w:rFonts w:ascii="Arial" w:cs="Arial" w:eastAsia="Arial" w:hAnsi="Arial"/>
          <w:sz w:val="18"/>
          <w:szCs w:val="18"/>
          <w:color w:val="auto"/>
        </w:rPr>
      </w:pPr>
    </w:p>
    <w:p>
      <w:pPr>
        <w:jc w:val="center"/>
        <w:ind w:left="400" w:right="5740" w:firstLine="40"/>
        <w:spacing w:after="0" w:line="563" w:lineRule="auto"/>
        <w:tabs>
          <w:tab w:leader="none" w:pos="765" w:val="left"/>
        </w:tabs>
        <w:numPr>
          <w:ilvl w:val="1"/>
          <w:numId w:val="13"/>
        </w:numPr>
        <w:rPr>
          <w:rFonts w:ascii="Arial" w:cs="Arial" w:eastAsia="Arial" w:hAnsi="Arial"/>
          <w:sz w:val="16"/>
          <w:szCs w:val="16"/>
          <w:color w:val="auto"/>
        </w:rPr>
      </w:pPr>
      <w:r>
        <w:rPr>
          <w:rFonts w:ascii="Arial" w:cs="Arial" w:eastAsia="Arial" w:hAnsi="Arial"/>
          <w:sz w:val="16"/>
          <w:szCs w:val="16"/>
          <w:color w:val="auto"/>
        </w:rPr>
        <w:t>acquiring other businesses or assets and licensing technologies. Our future funding requirements will depend on many factors, including:</w:t>
      </w:r>
    </w:p>
    <w:p>
      <w:pPr>
        <w:spacing w:after="0" w:line="1" w:lineRule="exact"/>
        <w:rPr>
          <w:rFonts w:ascii="Arial" w:cs="Arial" w:eastAsia="Arial" w:hAnsi="Arial"/>
          <w:sz w:val="16"/>
          <w:szCs w:val="16"/>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7"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of defending, in litigation or otherwise, any claims that we infringe third-party patents or violate other intellectual property rights;</w:t>
      </w:r>
    </w:p>
    <w:p>
      <w:pPr>
        <w:spacing w:after="0" w:line="236" w:lineRule="exact"/>
        <w:rPr>
          <w:rFonts w:ascii="Arial" w:cs="Arial" w:eastAsia="Arial" w:hAnsi="Arial"/>
          <w:sz w:val="17"/>
          <w:szCs w:val="17"/>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right="440" w:hanging="320"/>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general, under Section 382 of the Internal Revenue Code, a corporation that undergoes an “ownership change” is subject to limitations on its ability to utilize its pre-change net operating losses, or NOLs, to offset future taxable income. If we undergo one or more ownership changes, our ability to utilize NOLs could be limited by Section 382 of the Internal Revenue Code. Future changes in our stock ownership, some of which are outside of our control, could result in an ownership change under Section 382 of the Internal Revenue Code.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7"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patent laws in the United States or other countries may diminish the value of our intellectual property. We cannot predict the breadth of claims that may be allowed or enforced in our patents or in third-party patents. For example:</w:t>
      </w:r>
    </w:p>
    <w:p>
      <w:pPr>
        <w:spacing w:after="0" w:line="170" w:lineRule="exact"/>
        <w:rPr>
          <w:sz w:val="20"/>
          <w:szCs w:val="20"/>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Inc. and collectively referred to as Life), asserting that our Biomark system for gene expression analysis infringes upon U.S. Patent No. 6,814,934, or the ‘934 patent, and its foreign counterparts in Europe and Canada. In June 2011, we resolved this dispute by entering into license agreements with Life which, among other matters, granted us a non-exclusive license to the ‘934 patent and its foreign counterparts.</w:t>
      </w:r>
    </w:p>
    <w:p>
      <w:pPr>
        <w:spacing w:after="0" w:line="18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7"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w:t>
      </w:r>
    </w:p>
    <w:p>
      <w:pPr>
        <w:spacing w:after="0" w:line="18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rights to use the technology we license are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For example, pursuant to the terms of a license agreement entered into with Life in June 2011, we were obligated to make a $1.0 million payment to Life upon satisfaction of certain conditions. On October 16, 2013, Life provided notice that the $1.0 million payment was due and payable under the license agreement. We believe that at least one of the conditions of the milestone payment remains unmet; however, we paid Life the amount due while reserving our rights with respect to such matter to, among other reasons, avoid what would have been, in our view, an improper termination of our license to certain Life patent filings under the agreement, which could have subjected our relevant product lines to risks associated with patent infringement litigation.</w:t>
      </w:r>
    </w:p>
    <w:p>
      <w:pPr>
        <w:spacing w:after="0" w:line="18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We license certain intellectual property rights covering our mass cytometry products under agreements with several third parties. Termination of or disputes relating to any of these license agreements would have a material adverse effect on our business, operating results, and financial condition and could result in our inability to sell our mass cytometry products.</w:t>
      </w:r>
    </w:p>
    <w:p>
      <w:pPr>
        <w:spacing w:after="0" w:line="180"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The intellectual property rights covering our mass cytometry products depend in substantial part on license agreements with third parties, in particular MDS, Inc., or MDS, and also with other third parties such as Nodality, Inc., or Nodality. The licensed intellectual property rights of MDS as well as MDS’s rights and obligations under the license agreement between Fluidigm Canada Inc., or Fluidigm Canada, an Ontario corporation and wholly-owned subsidiary of Fluidigm Sciences, and MDS were subsequently assigned to and are now held by PerkinElmer Health Sciences, Inc., or PerkinElmer. Under the PerkinElmer license agreement, Fluidigm Canada received an exclusive, royalty bearing, worldwide license to certain patents that are now owned by PerkinElmer in the field of ICP-based mass cytometry, including the analysis of elemental tagged materials in connection therewith, and a non-exclusive license for reagents outside the field of ICP-based mass cytometry. Fluidigm Canada was also party to an interim license agreement, now expired, under which Nodality granted Fluidigm Canada a worldwide, non-exclusive, research use only, royalty bearing license to certain cytometric reagents, instruments, and other products. Fluidigm Canada and Nodality are currently in negotiations with respect to reinstating the license agreement and we cannot provide assurances that we will be able to reinstate or secure a new license agreement on acceptable terms, if at all. In addition, we are party to additional in-license agreements with parties such as Stanford University that relate to significant intellectual property rights, and our business and product development plans anticipate and will substantially depend on future in-license agreements with additional third parties, some of which are currently in the early discussion phase.</w:t>
      </w:r>
    </w:p>
    <w:p>
      <w:pPr>
        <w:spacing w:after="0" w:line="188"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relating to ownership and enforcement of intellectual property rights. For example, under the PerkinElmer license, Fluidigm Canada is not granted any right, and we do not have any right to bring enforcement actions with respect to the patents licensed from PerkinElmer, which could materially impair our ability to preclude competitors and other third parties from activities that we consider to infringe on our exclusively licensed rights. In other cases such as with Nodality,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78"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In addition, Fluidigm Sciences’ licensors may generally terminate the applicable license agreement for uncured material breaches or if Fluidigm Sciences becomes insolvent, makes an assignment for the benefit of creditors, or has a petition in bankruptcy filed against it. Termination of material license agreements for any reason, including as a result of failure to obtain a required consent to assignment or as a result of an inability to negotiate a new or extended license where required, would result in a material loss of rights by us and would be expected to have a material adverse effect on our business, operating results, and financial condition. In particular, any such termination could prevent us from manufacturing and selling our products unless we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7"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can negotiate new license terms or develop or acquire alternative intellectual property rights that cover or enable similar functionality. While we do not believe that any existing material in-license agreements require the consent of the licensor in order for us to rely on these licenses, the question is not free from doubt, and one or more of our licensors could contend that the failure to obtain their consent constituted a breach or default under the applicable license agreement or require the negotiation of a new license. In particular, in May 2014, we received a written notice of PerkinElmer’s position that the license agreement between Fluidigm Canada and PerkinElmer requires, as a result of the acquisition, that PerkinElmer consent to negotiate a commercially reasonable license to Fluidigm. We have contacted PerkinElmer in an attempt to initiate negotiations regarding the license agreement and we are evaluating strategies and appropriate actions relating to our interests in the licensed intellectual property.</w:t>
      </w:r>
    </w:p>
    <w:p>
      <w:pPr>
        <w:spacing w:after="0" w:line="178"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In the case of a dispute over these or other terms of the applicable license agreements, including with respect to the license with PerkinElmer, we cannot provide assurances that we will be able to negotiate a new or amended license on commercially reasonable terms, if at all. Our potential dispute with PerkinElmer as well as any other disputes between us and one of Fluidigm Sciences’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proteomics product line; potential infringement claims against us and/or our customers, which could include efforts by a licensor to enjoin sales of our products; customer requests for indemnification by Fluidigm; and, in the event of an adverse determination, our inability to operate our business as currently operated. Any of these factors would be expected to have a material adverse effect on our business, operating results, and financial condition and could result in a substantial decline in our stock price.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right="120" w:firstLine="392"/>
        <w:spacing w:after="0" w:line="297"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7"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169"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Many of our employees were previously employed at universities or other life science or Ag-Bio companies, including our competitors or potential competitors. Although no claims against us are currently pending, we have in the past received notices from third parties alleging potential disclosures of confidential information.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including affiliated stockholders, who hold substantial blocks of our stock. As of December 31, 2014, we had 28,341,478 shares of common stock outstanding, and stockholders holding at least 5% of our stock, individually or with affiliated persons or entities, collectively beneficially owned or controlled approximately 63%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6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7"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in the life science, Ag-Bio, and clinical research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8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6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directors, executive officers, and large stockholders have substantial control over and could limit your ability to influence the outcome of key transactions, including changes of control.</w:t>
      </w:r>
    </w:p>
    <w:p>
      <w:pPr>
        <w:spacing w:after="0" w:line="1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As of December 31, 2014, our current executive officers, directors, stockholders holding at least 5% of our outstanding stock, and their respective affiliates, collectively beneficially owned or controlled approximately 64% of the outstanding shares of our common stock. Accordingly, these executive officers, directors, large stockholders, and their respective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7"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60" w:right="4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22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225"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effectively junior in right of payment to any of our secured indebtedness to the extent of the value of the assets securing such indebtedness; and</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7"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16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7"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8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6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1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166"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 governing the notes, and these limited covenants may not protect a noteholder's investment.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225" w:lineRule="exact"/>
        <w:rPr>
          <w:sz w:val="20"/>
          <w:szCs w:val="20"/>
          <w:color w:val="auto"/>
        </w:rPr>
      </w:pPr>
    </w:p>
    <w:p>
      <w:pPr>
        <w:ind w:left="760" w:right="440" w:hanging="320"/>
        <w:spacing w:after="0" w:line="308"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25" w:lineRule="exact"/>
        <w:rPr>
          <w:rFonts w:ascii="Arial" w:cs="Arial" w:eastAsia="Arial" w:hAnsi="Arial"/>
          <w:sz w:val="18"/>
          <w:szCs w:val="18"/>
          <w:color w:val="auto"/>
        </w:rPr>
      </w:pPr>
    </w:p>
    <w:p>
      <w:pPr>
        <w:ind w:left="760" w:right="4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7"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to convert their notes at an increased conversion rate. For these reasons, the limited covenants in the indenture governing the notes may not protect a noteholder's investment in the notes.</w:t>
      </w:r>
    </w:p>
    <w:p>
      <w:pPr>
        <w:spacing w:after="0" w:line="166"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4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16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1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193"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7"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16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166"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lease approximately 70,000 square feet of office and laboratory space at our headquarters in South San Francisco, California under a lease that expires in April 2020. The leases for approximately 42,000 square feet of manufacturing and office space at our facility in Singapore will expire in June 2022. Additionally, we lease office, laboratory, and manufacturing space in Markham, Ontario, Canada and Sunnyvale, California under leases that expire in January 2016 and July 2016, respectively. The Canada lease includes an option to renew the lease for an additional five years at the then prevailing market rent, and on similar terms as the existing lease; however, we currently intend to relocate our Canada operations to a new facility in the Ontario, Canada area during 2015. As of December 31, 2014, we also leased office space in Japan, China, and France, with various expiration dates through March 2016. We believe that our existing office, laboratory, and manufacturing space, together with additional space and facilities available on commercially reasonable terms, will be sufficient to meet our current needs through 2016. In addition, we believe that our properties are in good condition and are adequate and suitable for their purposes.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7"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49" w:lineRule="exact"/>
        <w:rPr>
          <w:sz w:val="20"/>
          <w:szCs w:val="20"/>
          <w:color w:val="auto"/>
        </w:rPr>
      </w:pPr>
    </w:p>
    <w:p>
      <w:pPr>
        <w:ind w:left="740" w:right="540" w:hanging="728"/>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Our Common Stock; Dividends</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Our common stock began trading on the NASDAQ Global Select Market under the symbol “FLDM” on February 10, 2011. The following table sets forth the range of high and low closing sales prices of our common stock for the periods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2014</w:t>
            </w: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8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0"/>
              </w:rPr>
              <w:t>$48.89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0"/>
              </w:rPr>
              <w:t>$36.70</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Second Quarter</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90"/>
              </w:rPr>
              <w:t>$45.72</w:t>
            </w:r>
          </w:p>
        </w:tc>
        <w:tc>
          <w:tcPr>
            <w:tcW w:w="100" w:type="dxa"/>
            <w:vAlign w:val="bottom"/>
          </w:tcPr>
          <w:p>
            <w:pPr>
              <w:spacing w:after="0"/>
              <w:rPr>
                <w:sz w:val="21"/>
                <w:szCs w:val="21"/>
                <w:color w:val="auto"/>
              </w:rPr>
            </w:pP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90"/>
              </w:rPr>
              <w:t>$25.46</w:t>
            </w: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8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0"/>
              </w:rPr>
              <w:t>$32.08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0"/>
              </w:rPr>
              <w:t>$24.50</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Fourth Quarter</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90"/>
              </w:rPr>
              <w:t>$33.73</w:t>
            </w:r>
          </w:p>
        </w:tc>
        <w:tc>
          <w:tcPr>
            <w:tcW w:w="100" w:type="dxa"/>
            <w:vAlign w:val="bottom"/>
          </w:tcPr>
          <w:p>
            <w:pPr>
              <w:spacing w:after="0"/>
              <w:rPr>
                <w:sz w:val="21"/>
                <w:szCs w:val="21"/>
                <w:color w:val="auto"/>
              </w:rPr>
            </w:pP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90"/>
              </w:rPr>
              <w:t>$22.06</w:t>
            </w:r>
          </w:p>
        </w:tc>
      </w:tr>
      <w:tr>
        <w:trPr>
          <w:trHeight w:val="392"/>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2013</w:t>
            </w: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8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0"/>
              </w:rPr>
              <w:t>$19.38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0"/>
              </w:rPr>
              <w:t>$14.27</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Second Quarter</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90"/>
              </w:rPr>
              <w:t>$19.04</w:t>
            </w:r>
          </w:p>
        </w:tc>
        <w:tc>
          <w:tcPr>
            <w:tcW w:w="100" w:type="dxa"/>
            <w:vAlign w:val="bottom"/>
          </w:tcPr>
          <w:p>
            <w:pPr>
              <w:spacing w:after="0"/>
              <w:rPr>
                <w:sz w:val="21"/>
                <w:szCs w:val="21"/>
                <w:color w:val="auto"/>
              </w:rPr>
            </w:pP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90"/>
              </w:rPr>
              <w:t>$16.00</w:t>
            </w: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8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0"/>
              </w:rPr>
              <w:t>$23.26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0"/>
              </w:rPr>
              <w:t>$16.59</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Fourth Quarter</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90"/>
              </w:rPr>
              <w:t>$39.37</w:t>
            </w:r>
          </w:p>
        </w:tc>
        <w:tc>
          <w:tcPr>
            <w:tcW w:w="100" w:type="dxa"/>
            <w:vAlign w:val="bottom"/>
          </w:tcPr>
          <w:p>
            <w:pPr>
              <w:spacing w:after="0"/>
              <w:rPr>
                <w:sz w:val="21"/>
                <w:szCs w:val="21"/>
                <w:color w:val="auto"/>
              </w:rPr>
            </w:pP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90"/>
              </w:rPr>
              <w:t>$21.55</w:t>
            </w:r>
          </w:p>
        </w:tc>
      </w:tr>
    </w:tbl>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had approximately 112 stockholders of record as of February 10, 2015; however, because many of our outstanding shares are held in accounts with brokers and other institutions, we believe we have more beneficial owners. We have never declared or paid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7"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Fluidigm Corporation under the Securities Act or the Exchange Act.</w:t>
      </w:r>
    </w:p>
    <w:p>
      <w:pPr>
        <w:spacing w:after="0" w:line="111" w:lineRule="exact"/>
        <w:rPr>
          <w:sz w:val="20"/>
          <w:szCs w:val="20"/>
          <w:color w:val="auto"/>
        </w:rPr>
      </w:pPr>
    </w:p>
    <w:p>
      <w:pPr>
        <w:jc w:val="both"/>
        <w:ind w:right="300" w:firstLine="432"/>
        <w:spacing w:after="0" w:line="259" w:lineRule="auto"/>
        <w:rPr>
          <w:sz w:val="20"/>
          <w:szCs w:val="20"/>
          <w:color w:val="auto"/>
        </w:rPr>
      </w:pPr>
      <w:r>
        <w:rPr>
          <w:rFonts w:ascii="Arial" w:cs="Arial" w:eastAsia="Arial" w:hAnsi="Arial"/>
          <w:sz w:val="18"/>
          <w:szCs w:val="18"/>
          <w:color w:val="auto"/>
        </w:rPr>
        <w:t>The following graph shows a comparison from February 10, 2011 (the date our common stock commenced trading on the NASDAQ Global Select Market) through December 31, 2014 of cumulative total return for our common stock, the NASDAQ Composite Total Return Index, and the ICB Medical Equipment Index. Such returns are based on historical results and are not intended to suggest future performance. Data for the NASDAQ Composite Total Return Index, and the ICB Medical Equipment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5848985" cy="3559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355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7"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related notes thereto appearing elsewhere in this Form 10-K. We have derived the consolidated statement of operations data for the years ended December 31, 2014, 2013, and 2012 and consolidated balance sheet data as of December 31, 2014 and 2013 from audited consolidated financial statements included elsewhere in this Form 10-K. The consolidated statement of operations data for the fiscal years ended December 31, 2011 and December 31, 2010 and the consolidated balance sheet data as of December 31, 2012, December 31, 2011, and December 31, 2010 were derived from audited consolidated financial statements that are not included in this Form 10-K.</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2"/>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3"/>
                <w:szCs w:val="13"/>
                <w:color w:val="auto"/>
              </w:rPr>
            </w:pPr>
          </w:p>
        </w:tc>
        <w:tc>
          <w:tcPr>
            <w:tcW w:w="104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3"/>
                <w:szCs w:val="13"/>
                <w:color w:val="auto"/>
              </w:rPr>
            </w:pPr>
          </w:p>
        </w:tc>
        <w:tc>
          <w:tcPr>
            <w:tcW w:w="104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3"/>
                <w:szCs w:val="13"/>
                <w:color w:val="auto"/>
              </w:rPr>
            </w:pPr>
          </w:p>
        </w:tc>
        <w:tc>
          <w:tcPr>
            <w:tcW w:w="104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3"/>
                <w:szCs w:val="13"/>
                <w:color w:val="auto"/>
              </w:rPr>
            </w:pPr>
          </w:p>
        </w:tc>
        <w:tc>
          <w:tcPr>
            <w:tcW w:w="1000" w:type="dxa"/>
            <w:vAlign w:val="bottom"/>
          </w:tcPr>
          <w:p>
            <w:pPr>
              <w:jc w:val="right"/>
              <w:ind w:right="53"/>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2010</w:t>
            </w:r>
          </w:p>
        </w:tc>
      </w:tr>
      <w:tr>
        <w:trPr>
          <w:trHeight w:val="250"/>
        </w:trPr>
        <w:tc>
          <w:tcPr>
            <w:tcW w:w="5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20" w:type="dxa"/>
            <w:vAlign w:val="bottom"/>
            <w:gridSpan w:val="5"/>
          </w:tcPr>
          <w:p>
            <w:pPr>
              <w:jc w:val="center"/>
              <w:ind w:right="113"/>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116,456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71,183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52,334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42,865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33,560</w:t>
            </w:r>
          </w:p>
        </w:tc>
      </w:tr>
      <w:tr>
        <w:trPr>
          <w:trHeight w:val="27"/>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(51,836)</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(18,653)</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(18,071)</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(18,566)</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(14,573)</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(52,830)</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(16,526)</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(19,024)</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(32,370)</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(16,902)</w:t>
            </w:r>
          </w:p>
        </w:tc>
      </w:tr>
      <w:tr>
        <w:trPr>
          <w:trHeight w:val="27"/>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(0.65)</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(0.86)</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 and long-term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142,800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86,286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83,677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54,967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5,723</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Working capital (1)</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133,440</w:t>
            </w:r>
          </w:p>
        </w:tc>
        <w:tc>
          <w:tcPr>
            <w:tcW w:w="2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89,354</w:t>
            </w:r>
          </w:p>
        </w:tc>
        <w:tc>
          <w:tcPr>
            <w:tcW w:w="20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91,500</w:t>
            </w:r>
          </w:p>
        </w:tc>
        <w:tc>
          <w:tcPr>
            <w:tcW w:w="2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51,873</w:t>
            </w: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3,705</w:t>
            </w:r>
          </w:p>
        </w:tc>
      </w:tr>
      <w:tr>
        <w:trPr>
          <w:trHeight w:val="27"/>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407,559</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116,915</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113,732</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79,326</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24,801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195,455</w:t>
            </w:r>
          </w:p>
        </w:tc>
        <w:tc>
          <w:tcPr>
            <w:tcW w:w="2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10,138</w:t>
            </w: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14,700</w:t>
            </w:r>
          </w:p>
        </w:tc>
      </w:tr>
      <w:tr>
        <w:trPr>
          <w:trHeight w:val="27"/>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184,550</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150,419</w:t>
            </w:r>
          </w:p>
        </w:tc>
        <w:tc>
          <w:tcPr>
            <w:tcW w:w="2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96,414</w:t>
            </w:r>
          </w:p>
        </w:tc>
        <w:tc>
          <w:tcPr>
            <w:tcW w:w="20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100,657</w:t>
            </w:r>
          </w:p>
        </w:tc>
        <w:tc>
          <w:tcPr>
            <w:tcW w:w="2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56,897</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(189,167)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Working capital excludes deferred revenue, current portion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7"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The following discussion and analysis should be read together with our consolidated financial statements and the notes to those statements included elsewhere in this Form 10-K. This discussion contains forward-looking statements based on our current expectations, assumptions, estimates and projections about Fluidigm and our industry. These forward-looking statements involve risks and uncertainties. Our actual results could differ materially from those indicated in these forward-looking statements as a result of certain factors, as more fully described in “Risk factors” in Item 1A of this Form 10-K, in this Item 7, and elsewhere in this Form 10-K. Except as may be required by law, we undertake no obligation to update publicly any forward-looking statements for any reason, even if new information becomes available or other events occur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or IFCs, assays, and reagents, to academic institutions, clinical laboratories, and pharmaceutical, biotechnology, and agricultural biotechnology, or Ag-Bio, companies.</w:t>
      </w:r>
    </w:p>
    <w:p>
      <w:pPr>
        <w:spacing w:after="0" w:line="13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and Canada. Our facility in Singapore manufactures our genomic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fabricated at our Singapore facility. Our proteomics analytical instruments are manufactured at our facility in Canada. We also manufacture IFCs for research and development, assays, and reagents at our facilities in South San Francisco, California.</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February 13, 2014, we completed our acquisition of DVS Sciences, Inc. or DVS, for $199.9 million.</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Our total revenue grew from $52.3 million in 2012 to $116.5 million in 2014. We have incurred significant net losses since our inception in 1999 and, as of December 31, 2014, our accumulated deficit was $310.2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consolidated financial statements and the related notes included elsewhere in this Form 10-K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24" w:lineRule="exact"/>
        <w:rPr>
          <w:sz w:val="20"/>
          <w:szCs w:val="20"/>
          <w:color w:val="auto"/>
        </w:rPr>
      </w:pPr>
    </w:p>
    <w:p>
      <w:pPr>
        <w:ind w:right="480" w:firstLine="432"/>
        <w:spacing w:after="0" w:line="286" w:lineRule="auto"/>
        <w:rPr>
          <w:sz w:val="20"/>
          <w:szCs w:val="20"/>
          <w:color w:val="auto"/>
        </w:rPr>
      </w:pPr>
      <w:r>
        <w:rPr>
          <w:rFonts w:ascii="Arial" w:cs="Arial" w:eastAsia="Arial" w:hAnsi="Arial"/>
          <w:sz w:val="17"/>
          <w:szCs w:val="17"/>
          <w:color w:val="auto"/>
        </w:rPr>
        <w:t>We believe that the following critical accounting policies involve a greater degree of judgment and complexity than our other accounting policies. Accordingly, these are the policies we believe are the most critical to understanding and evaluating our consolidated financial condition and results of operations. Our accounting policies are more fully described in Note 2 of the notes to our audited consolidated financial statements.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generate revenue from sales of our products, license agreements, and government grants. Our product revenue consists of sales of instruments and related services, and consumables, including IFCs, assays, and other reagents.</w:t>
      </w:r>
    </w:p>
    <w:p>
      <w:pPr>
        <w:spacing w:after="0" w:line="116"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recognize revenue when persuasive evidence of an arrangement exists, delivery has occurred or services have been rendered, the price to the customer is fixed or determinable, and collectability is reasonably assured. Revenue from the sales of our products that are not part of multiple element arrangements are recognized when no significant obligation remains undelivered and collection is reasonably assured, which is generally when delivery has occurred. Delivery occurs when there is a transfer of title and risk of loss passes to the customer. Payments received in advance of revenue recognition are classified as deferred revenue in the consolidated balance sheet.</w:t>
      </w:r>
    </w:p>
    <w:p>
      <w:pPr>
        <w:spacing w:after="0" w:line="13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evaluation of these revenue recognition criteria requires significant management judgment. For instance, we use judgment to assess collectability based on factors such as the customer’s creditworthiness and past collection history, if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7"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applicable. If we determine that collection is not reasonably assured, revenue recognition is deferred until receipt of payment. We also use judgment to assess whether a price is fixed or determinable by, among other things, reviewing contractual terms and conditions related to payment.</w:t>
      </w:r>
    </w:p>
    <w:p>
      <w:pPr>
        <w:spacing w:after="0" w:line="9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Certain of our sales contracts involve the delivery of multiple products or services within contractually binding arrangements. Multiple-deliverable sales transactions typically consist of the sale and delivery of one or more instruments and consumables together with one or more of our installation, training and/or customer support services. Significant judgment is sometimes required to determine the 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w:t>
      </w:r>
    </w:p>
    <w:p>
      <w:pPr>
        <w:spacing w:after="0" w:line="13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For sales contracts that include multiple deliverables, we allocate the contract consideration at the inception of the contract to each unit of accounting based upon their relative selling prices. We may use our best estimate of selling price for individual deliverables when vendor specific objective evidence or third-party evidence is unavailable. A delivered item is considered to be a separate unit of accounting when it has value to the customer on a stand-alone basis.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products, other than for service contracts, are delivered within a short time frame, generally within one to three months, of the contract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Service contracts are entered into for terms of one to three years, following the expiration of the warranty period.</w:t>
      </w:r>
    </w:p>
    <w:p>
      <w:pPr>
        <w:spacing w:after="0" w:line="157" w:lineRule="exact"/>
        <w:rPr>
          <w:sz w:val="20"/>
          <w:szCs w:val="20"/>
          <w:color w:val="auto"/>
        </w:rPr>
      </w:pPr>
    </w:p>
    <w:p>
      <w:pPr>
        <w:ind w:right="400" w:firstLine="432"/>
        <w:spacing w:after="0" w:line="286" w:lineRule="auto"/>
        <w:rPr>
          <w:sz w:val="20"/>
          <w:szCs w:val="20"/>
          <w:color w:val="auto"/>
        </w:rPr>
      </w:pPr>
      <w:r>
        <w:rPr>
          <w:rFonts w:ascii="Arial" w:cs="Arial" w:eastAsia="Arial" w:hAnsi="Arial"/>
          <w:sz w:val="17"/>
          <w:szCs w:val="17"/>
          <w:color w:val="auto"/>
        </w:rPr>
        <w:t>Our products are sold without the right of return. Accruals are provided for estimated warranty expenses at the time the associated revenue is recognized. We use judgment to estimate these accruals and, if we were to experience an increase in warranty claims or if costs of servicing our products under warranty were greater than our estimates, our cost of product revenue could be adversely affected in future periods.</w:t>
      </w:r>
    </w:p>
    <w:p>
      <w:pPr>
        <w:spacing w:after="0" w:line="111" w:lineRule="exact"/>
        <w:rPr>
          <w:sz w:val="20"/>
          <w:szCs w:val="20"/>
          <w:color w:val="auto"/>
        </w:rPr>
      </w:pPr>
    </w:p>
    <w:p>
      <w:pPr>
        <w:ind w:right="420" w:firstLine="432"/>
        <w:spacing w:after="0" w:line="312" w:lineRule="auto"/>
        <w:rPr>
          <w:sz w:val="20"/>
          <w:szCs w:val="20"/>
          <w:color w:val="auto"/>
        </w:rPr>
      </w:pPr>
      <w:r>
        <w:rPr>
          <w:rFonts w:ascii="Arial" w:cs="Arial" w:eastAsia="Arial" w:hAnsi="Arial"/>
          <w:sz w:val="16"/>
          <w:szCs w:val="16"/>
          <w:color w:val="auto"/>
        </w:rPr>
        <w:t>We have entered into license agreements with third parties that generally provide us with up-front and periodic milestone payments. Revenue from license agreements is generally recognized when received, upfront payments are generally recognized over the term of the underlying agreement and milestone payments are generally recognized based upon the achievement of the milestones as defined in the agreement.</w:t>
      </w:r>
    </w:p>
    <w:p>
      <w:pPr>
        <w:spacing w:after="0" w:line="93"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We receive grants from various governmental entities for research and related activities. Grants provide us with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we have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11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Changes in judgments and estimates regarding application of these revenue recognition guidelines as well as changes in facts and circumstances could result in a change in the timing or amount of revenue recognized in future periods.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measure the cost of employee services received in exchange for an award of equity instruments, including stock options and restricted stock units, based on the grant date fair value of the award. The fair value of options on the grant date is estimated using the Black-Scholes option-pricing model, which requires the use of certain subjective assumptions, including expected term, volatility, risk-free interest rate and the fair value of our common stock. These assumptions generally require significant judgment. Stock-based compensation cost for restricted stock units granted to employees is measured based on the closing fair market value of our common stock on the date of grant.</w:t>
      </w:r>
    </w:p>
    <w:p>
      <w:pPr>
        <w:spacing w:after="0" w:line="13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board of directors sets the terms, conditions, and restrictions related to the grant of stock options and restricted stock units, including the number of shares underlying the grants and the vesting criteria. With respect to performance-based stock options, depending on the extent to which the vesting criteria are met, our board of directors determines the number of shares that vest under the grants.</w:t>
      </w:r>
    </w:p>
    <w:p>
      <w:pPr>
        <w:spacing w:after="0" w:line="12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resulting costs of our equity awards, net of estimated forfeitures, are recognized over the period during which an employee is required to provide service in exchange for the award, usually a time-based vesting period. We amortize the fair value of stock-based compensation on a straight-line basis over the requisite service periods. For performance-based stock options, we recognize stock-based compensation over the requisite service periods using the accelerated attribution method.</w:t>
      </w:r>
    </w:p>
    <w:p>
      <w:pPr>
        <w:spacing w:after="0" w:line="13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common stock has a limited trading history because our common stock was not publicly traded until our initial public offering, or IPO, in February 2011. Accordingly, the expected volatility of our common stock is derived from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7"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historical volatilities of several unrelated public companies within the life science industry. When selecting our industry peer companies, we consider our stage of development, size, and financial leverage. These historical volatilities are weighted based on certain qualitative factors and combined to produce a single volatility factor. The risk-free interest rate is based on the U.S. Treasury yield in effect at the time of grant for zero coupon U.S. Treasury notes with maturities approximately equal to each grant’s expected life. We estimate the expected lives of employee options using the “simplified” method as the midpoint of the expected time-to-vest and the contractual term.</w:t>
      </w:r>
    </w:p>
    <w:p>
      <w:pPr>
        <w:spacing w:after="0" w:line="13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calculated fair value of our stock options could change significantly if we determine that another method is more reasonable, or if another method for calculating these input assumptions is prescribed by authoritative guidance. Higher volatility and longer expected lives result in an increase in stock-based compensation expense determined at the date of grant. Stock-based compensation expense affects our cost of product revenue, research and development expense, and selling, general and administrative expense.</w:t>
      </w:r>
    </w:p>
    <w:p>
      <w:pPr>
        <w:spacing w:after="0" w:line="133"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We estimate our forfeiture rate based on an analysis of our actual forfeitures and we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was insignificant during 2014, 2013, and 2012. We will continue to use judgment in evaluating the expected term, volatility, and forfeiture rate related to our stock-based compensation.</w:t>
      </w:r>
    </w:p>
    <w:p>
      <w:pPr>
        <w:spacing w:after="0" w:line="1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Also required to compute the fair value calculation of options is the fair value of the underlying common stock. We grant stock options at exercise prices not less than the fair value of our common stock at the date of grant. Prior to our IPO, our board of directors obtained contemporaneous valuations from an unrelated third-party valuation firm to determine the estimated fair value of common stock. There is inherent uncertainty in these estimates and if we or the valuation firm had made different assumptions, the amount of our stock-based compensation expense, net loss, and net loss per share amounts could have been significantly different. Following the completion of our IPO in February 2011, the fair value of options granted is based on the closing price of our common stock on the date of grant as quoted on the NASDAQ Global Select Market.</w:t>
      </w:r>
    </w:p>
    <w:p>
      <w:pPr>
        <w:spacing w:after="0" w:line="12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Historically, certain of our stock options were granted to officers with vesting acceleration features based upon the achievement of certain performance milestones. The timing of the attainment of these milestones affected the timing of expense recognition since we recognize compensation expense only for the portion of stock options that are expected to vest.</w:t>
      </w:r>
    </w:p>
    <w:p>
      <w:pPr>
        <w:spacing w:after="0" w:line="12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recorded stock-based compensation of $20.9 million, $6.4 million, and $4.1 million during 2014, 2013, and 2012, respectively. As of December 31, 2014, we have $29.8 million of total unrecognized compensation cost related to stock-based compensation arrangements that is expected to be recognized over an average period of 2.8 years.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We use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Significant management judgment is required in determining our provision for income taxes, our deferred tax assets and liabilities, and any valuation allowance recorded against our deferred tax assets. Our provision for income taxes generally consists of tax expense/benefit related to current period earnings/losses. As part of the process of preparing our consolidated financial statements, we continuously monitor the circumstances impacting the expected realization of our deferred tax assets for each jurisdiction. We consider all available evidence, including historical operating results in each jurisdiction, expectations and risks associated with estimates of future taxable income, and ongoing prudent and feasible tax planning strategies in assessing the need for a valuation allowance. To the extent a deferred tax asset cannot be recognized, a valuation allowance is established to reduce our deferred tax assets to the amount that is more likely than not to be realized. These deferred tax assets primarily consist of net operating loss carryforwards, research and development tax credits, and stock-based compensation. We intend to maintain this valuation allowance until sufficient evidence exists to support its reduction. Our deferred tax liabilities primarily consist of book and tax basis differences in fixed assets and acquired identifiable intangible assets.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7"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will be reflected in the income tax provision.</w:t>
      </w:r>
    </w:p>
    <w:p>
      <w:pPr>
        <w:spacing w:after="0" w:line="93"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We have not provided for U.S. federal and state income taxes on any of our non-U.S. subsidiaries’ undistributed earnings as of December 31, 2014 because such earnings are intended to be indefinitely reinvested. Upon distribution of such earnings in the form of dividends or otherwise, we believe there will be no material U.S. federal and state income tax liability as there are sufficient amount of tax losses or other attributes. Undistributed earnings of our foreign subsidiaries amounted to approximately $0.8 million, as of December 31, 2014. If these earning were to be repatriated, approximately $30,000 of withholding taxes may be due. However, since such subsidiaries’ earnings are permanently reinvested, no related deferred tax liabilities were accrued as of December 31, 2014.</w:t>
      </w:r>
    </w:p>
    <w:p>
      <w:pPr>
        <w:spacing w:after="0" w:line="139"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Effective January 1, 2010, we obtained approval for Pioneer Tax Status in Singapore. The Pioneer Tax Status allowed a full exemption from Singapore corporate tax related to contract manufacturing activities through the effective period subject to the achievement of certain milestones. We have not benefited from the tax exemption through December 31, 2014. Per discussions with the Singapore government, we expect our tax incentives under the Pioneer Tax Status to be terminated, effective as of December, 31, 2014. Effective January 1, 2015, we obtained a Development and Expansion Incentive from the Singapore government, which provides a reduced tax rate for qualifying income in Singapore through 2019, if certain milestones are met.</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record adjustments to inventory for potentially excess, obsolete, slow-moving, or impaired goods in order to state inventory at its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 including Goodwill</w:t>
      </w:r>
    </w:p>
    <w:p>
      <w:pPr>
        <w:spacing w:after="0" w:line="9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values. If the fair values of our reporting unit exceeds the carrying value of the net assets, goodwill is not considered impaired and no further analysis is required. If the carrying values of the net assets exceed the fair values of the reporting unit, then the second step of the impairment test must be performed in order to determine the implied fair value of the goodwill. If the carrying value of the goodwill exceeds the implied fair value, then an impairment loss equal to the difference would be recorded.</w:t>
      </w:r>
    </w:p>
    <w:p>
      <w:pPr>
        <w:spacing w:after="0" w:line="112"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7"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The following table presents our historical consolidated statements of operations data for the years ended December 31, 2014, 2013, and 2012, and as a percentage of total revenue for the respective years ($ in thousands):</w:t>
      </w:r>
    </w:p>
    <w:p>
      <w:pPr>
        <w:spacing w:after="0" w:line="338"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5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2012</w:t>
            </w: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116,456</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71,183</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52,334</w:t>
            </w:r>
          </w:p>
        </w:tc>
        <w:tc>
          <w:tcPr>
            <w:tcW w:w="8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42,849</w:t>
            </w:r>
          </w:p>
        </w:tc>
        <w:tc>
          <w:tcPr>
            <w:tcW w:w="12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20,204</w:t>
            </w:r>
          </w:p>
        </w:tc>
        <w:tc>
          <w:tcPr>
            <w:tcW w:w="12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15,325</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29</w:t>
            </w:r>
          </w:p>
        </w:tc>
      </w:tr>
      <w:tr>
        <w:trPr>
          <w:trHeight w:val="27"/>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43,423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19,953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16,602</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w:t>
            </w: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71,324</w:t>
            </w:r>
          </w:p>
        </w:tc>
        <w:tc>
          <w:tcPr>
            <w:tcW w:w="12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48,412</w:t>
            </w:r>
          </w:p>
        </w:tc>
        <w:tc>
          <w:tcPr>
            <w:tcW w:w="12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38,478</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74</w:t>
            </w:r>
          </w:p>
        </w:tc>
      </w:tr>
      <w:tr>
        <w:trPr>
          <w:trHeight w:val="27"/>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Acquisition-related expenses</w:t>
            </w: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10,696</w:t>
            </w:r>
          </w:p>
        </w:tc>
        <w:tc>
          <w:tcPr>
            <w:tcW w:w="12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168,292</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89,836</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70,405</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135</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(51,836)</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(18,653)</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(18,071)</w:t>
            </w: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(35)</w:t>
            </w:r>
          </w:p>
        </w:tc>
      </w:tr>
      <w:tr>
        <w:trPr>
          <w:trHeight w:val="27"/>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(628)</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Gain from sale of investment in Verinata</w:t>
            </w: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(189)</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(57,705)</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(16,389)</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(18,888)</w:t>
            </w: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(36)</w:t>
            </w:r>
          </w:p>
        </w:tc>
      </w:tr>
      <w:tr>
        <w:trPr>
          <w:trHeight w:val="27"/>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4,875</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(136)</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(52,830)</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(16,526)</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(19,024)</w:t>
            </w: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(36)</w:t>
            </w:r>
          </w:p>
        </w:tc>
      </w:tr>
      <w:tr>
        <w:trPr>
          <w:trHeight w:val="27"/>
        </w:trPr>
        <w:tc>
          <w:tcPr>
            <w:tcW w:w="4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generate revenue from sales of our products, license agreements, and government grants. Our product revenue consists of sales of instruments and related services, and consumables, including IFCs, assays, and other reagents. We have entered into license agreements and have received government grants to conduct research and development activities.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42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w w:val="94"/>
              </w:rPr>
              <w:t>Year Ended December 31,</w:t>
            </w:r>
          </w:p>
        </w:tc>
        <w:tc>
          <w:tcPr>
            <w:tcW w:w="720" w:type="dxa"/>
            <w:vAlign w:val="bottom"/>
            <w:tcBorders>
              <w:bottom w:val="single" w:sz="8" w:color="auto"/>
            </w:tcBorders>
          </w:tcPr>
          <w:p>
            <w:pPr>
              <w:spacing w:after="0"/>
              <w:rPr>
                <w:sz w:val="16"/>
                <w:szCs w:val="16"/>
                <w:color w:val="auto"/>
              </w:rPr>
            </w:pPr>
          </w:p>
        </w:tc>
      </w:tr>
      <w:tr>
        <w:trPr>
          <w:trHeight w:val="264"/>
        </w:trPr>
        <w:tc>
          <w:tcPr>
            <w:tcW w:w="81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Revenue: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$69,077</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$41,053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2"/>
              </w:rPr>
              <w:t>$29,152</w:t>
            </w:r>
          </w:p>
        </w:tc>
      </w:tr>
      <w:tr>
        <w:trPr>
          <w:trHeight w:val="27"/>
        </w:trPr>
        <w:tc>
          <w:tcPr>
            <w:tcW w:w="8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Consumables</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46,838</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22,336</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115,915</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70,198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51,488</w:t>
            </w:r>
          </w:p>
        </w:tc>
      </w:tr>
      <w:tr>
        <w:trPr>
          <w:trHeight w:val="27"/>
        </w:trPr>
        <w:tc>
          <w:tcPr>
            <w:tcW w:w="8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661</w:t>
            </w:r>
          </w:p>
        </w:tc>
      </w:tr>
      <w:tr>
        <w:trPr>
          <w:trHeight w:val="27"/>
        </w:trPr>
        <w:tc>
          <w:tcPr>
            <w:tcW w:w="8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$116,456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$52,334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$59,133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$36,308</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$27,325</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Europe</w:t>
            </w:r>
          </w:p>
        </w:tc>
        <w:tc>
          <w:tcPr>
            <w:tcW w:w="1160" w:type="dxa"/>
            <w:vAlign w:val="bottom"/>
          </w:tcPr>
          <w:p>
            <w:pPr>
              <w:jc w:val="right"/>
              <w:spacing w:after="0"/>
              <w:rPr>
                <w:sz w:val="20"/>
                <w:szCs w:val="20"/>
                <w:color w:val="auto"/>
              </w:rPr>
            </w:pPr>
            <w:r>
              <w:rPr>
                <w:rFonts w:ascii="Arial" w:cs="Arial" w:eastAsia="Arial" w:hAnsi="Arial"/>
                <w:sz w:val="18"/>
                <w:szCs w:val="18"/>
                <w:color w:val="auto"/>
              </w:rPr>
              <w:t>33,045</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18,472</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13,086</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Japan</w:t>
            </w:r>
          </w:p>
        </w:tc>
        <w:tc>
          <w:tcPr>
            <w:tcW w:w="1160" w:type="dxa"/>
            <w:vAlign w:val="bottom"/>
          </w:tcPr>
          <w:p>
            <w:pPr>
              <w:jc w:val="right"/>
              <w:spacing w:after="0"/>
              <w:rPr>
                <w:sz w:val="20"/>
                <w:szCs w:val="20"/>
                <w:color w:val="auto"/>
              </w:rPr>
            </w:pPr>
            <w:r>
              <w:rPr>
                <w:rFonts w:ascii="Arial" w:cs="Arial" w:eastAsia="Arial" w:hAnsi="Arial"/>
                <w:sz w:val="18"/>
                <w:szCs w:val="18"/>
                <w:color w:val="auto"/>
              </w:rPr>
              <w:t>6,932</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6,639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4040" w:type="dxa"/>
            <w:vAlign w:val="bottom"/>
          </w:tcPr>
          <w:p>
            <w:pPr>
              <w:ind w:left="3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$115,915</w:t>
            </w:r>
          </w:p>
        </w:tc>
        <w:tc>
          <w:tcPr>
            <w:tcW w:w="120" w:type="dxa"/>
            <w:vAlign w:val="bottom"/>
          </w:tcPr>
          <w:p>
            <w:pPr>
              <w:spacing w:after="0"/>
              <w:rPr>
                <w:sz w:val="22"/>
                <w:szCs w:val="2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$70,198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$51,488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287" w:right="299" w:bottom="1440" w:gutter="0" w:footer="0" w:header="0"/>
        </w:sectPr>
      </w:pP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60"/>
          </w:cols>
          <w:pgMar w:left="240" w:top="287" w:right="2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license and grant revenue is primarily generated in the United States.</w:t>
      </w:r>
    </w:p>
    <w:p>
      <w:pPr>
        <w:spacing w:after="0" w:line="171" w:lineRule="exact"/>
        <w:rPr>
          <w:sz w:val="20"/>
          <w:szCs w:val="20"/>
          <w:color w:val="auto"/>
        </w:rPr>
      </w:pPr>
    </w:p>
    <w:p>
      <w:pPr>
        <w:jc w:val="both"/>
        <w:ind w:right="280" w:firstLine="432"/>
        <w:spacing w:after="0" w:line="342" w:lineRule="auto"/>
        <w:rPr>
          <w:sz w:val="20"/>
          <w:szCs w:val="20"/>
          <w:color w:val="auto"/>
        </w:rPr>
      </w:pPr>
      <w:r>
        <w:rPr>
          <w:rFonts w:ascii="Arial" w:cs="Arial" w:eastAsia="Arial" w:hAnsi="Arial"/>
          <w:sz w:val="16"/>
          <w:szCs w:val="16"/>
          <w:color w:val="auto"/>
        </w:rPr>
        <w:t>Our customers include academic research institutions, clinical laboratories, pharmaceutical, biotechnology and Ag-Bio companies worldwide. Total revenue from our five largest customers in each of the periods presented comprised 15%, 18%, and 17% of revenue in 2014, 2013, and 2012,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2014 and December 31, 2013</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Total revenue increased by $45.3 million, or 64%, to $116.5 million for 2014, compared to $71.2 million for 2013 primarily due to an overall growth in our business, including revenue growth for both instruments and consumables. Revenue from the sale of CyTOF 2 systems and related consumables following our acquisition of DVS Sciences, Inc., or DVS, in February 2014, contributed $20.7 million to total revenue in 2014. This growth in revenues was impacted by generally unfavorable foreign exchange rate trends for the year 2014 and in particular during the fourth quarter of 2014. This had an unfavorable impact on revenues of approximately 3% during the fourth quarter of 2014. We expect this trend of unfavorable exchange rates to continue to have a negative impact on our revenues during 2015.</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 revenue increased by $45.7 million, or 65%, to $115.9 million for 2014, compared to $70.2 million for 2013.</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Instrument revenue increased by $28.0 million, or 68%, primarily driven by sales of our CyTOF 2 systems which we commenced selling upon the acquisition of DVS Sciences, Inc. or DVS, and net increases in unit sales of our preparatory systems, which include the C1 Single-Cell Auto Prep system, and to a lesser extent, net increases in unit sales of our analytical systems. Higher sales of service offerings, including service related to CyTOF 2 systems, also contributed to the increase in instrument revenue. Instrument revenue growth, excluding contribution from the acquired CyTOF 2 system, was 30% for 2014 compared to 2013.</w:t>
      </w:r>
    </w:p>
    <w:p>
      <w:pPr>
        <w:spacing w:after="0" w:line="134" w:lineRule="exact"/>
        <w:rPr>
          <w:sz w:val="20"/>
          <w:szCs w:val="20"/>
          <w:color w:val="auto"/>
        </w:rPr>
      </w:pPr>
    </w:p>
    <w:p>
      <w:pPr>
        <w:jc w:val="both"/>
        <w:ind w:right="400" w:firstLine="432"/>
        <w:spacing w:after="0" w:line="288" w:lineRule="auto"/>
        <w:rPr>
          <w:sz w:val="20"/>
          <w:szCs w:val="20"/>
          <w:color w:val="auto"/>
        </w:rPr>
      </w:pPr>
      <w:r>
        <w:rPr>
          <w:rFonts w:ascii="Arial" w:cs="Arial" w:eastAsia="Arial" w:hAnsi="Arial"/>
          <w:sz w:val="16"/>
          <w:szCs w:val="16"/>
          <w:color w:val="auto"/>
        </w:rPr>
        <w:t>Consumables revenue increased by $17.7 million, or 61%, primarily due to growth in overall IFC unit volume, driven mainly by increased sales to production genomics customers, and to a lesser extent, contribution from the acquired antibody consumables sales and increased sales to other genomics customers. Consumables revenue growth, excluding revenue attributable to the acquired operations of DVS, was 44% for 2014 compared to 2013.</w:t>
      </w:r>
    </w:p>
    <w:p>
      <w:pPr>
        <w:ind w:right="260"/>
        <w:spacing w:after="0" w:line="288" w:lineRule="auto"/>
        <w:rPr>
          <w:sz w:val="20"/>
          <w:szCs w:val="20"/>
          <w:color w:val="auto"/>
        </w:rPr>
      </w:pPr>
      <w:r>
        <w:rPr>
          <w:rFonts w:ascii="Arial" w:cs="Arial" w:eastAsia="Arial" w:hAnsi="Arial"/>
          <w:sz w:val="16"/>
          <w:szCs w:val="16"/>
          <w:color w:val="auto"/>
        </w:rPr>
        <w:t>Annualized IFC pull-through for our genomics analytical and preparatory systems was within our historical range of $40,000 to $50,000 per system and $10,000 to $15,000 per system, respectively. Annualized consumables pull-through for our proteomics analytical systems was above its historical range of $50,000 to $70,000 per system. IFC pull-through is determined by dividing the applicable IFC revenue for a specific period by the number of genomics analytical or preparatory systems, as applicable, in our installed base at the beginning of the period. Similarly, consumables pull-through for proteomics analytical systems is determined by dividing the related consumables revenue for a specific period by the number of proteomics analytical systems in our installed base at the beginning of the period. The IFC and consumables pull-through amounts are annualized by multiplying the pull-through amounts by a ratio, the numerator of which equals 12 and the denominator of which equals the number of months in the specific period.</w:t>
      </w:r>
    </w:p>
    <w:p>
      <w:pPr>
        <w:spacing w:after="0" w:line="11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expect total unit sales of both instruments and consumables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Grant and License Revenue</w:t>
      </w:r>
    </w:p>
    <w:p>
      <w:pPr>
        <w:spacing w:after="0" w:line="9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Grant revenue consists of a grant from the California Institute for Regenerative Medicine (CIRM). Grant revenue was $0.2 million and $0.7 million in 2014 and 2013, respectively. Our CIRM grant was awarded in 2011 in the amount of $1.9 million to be earned over a three-year period, which ended in April 2014. The CIRM grant revenue was recognized as the related research and development services were performed and costs associated with the grants were recognized as research and development expense during the period incurred.</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License revenue was $0.3 million in both 2014 and 2013.</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7"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036"/>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8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22"/>
                <w:szCs w:val="22"/>
                <w:color w:val="auto"/>
              </w:rPr>
            </w:pPr>
          </w:p>
        </w:tc>
        <w:tc>
          <w:tcPr>
            <w:tcW w:w="1320" w:type="dxa"/>
            <w:vAlign w:val="bottom"/>
          </w:tcPr>
          <w:p>
            <w:pPr>
              <w:jc w:val="right"/>
              <w:ind w:right="56"/>
              <w:spacing w:after="0"/>
              <w:rPr>
                <w:sz w:val="20"/>
                <w:szCs w:val="20"/>
                <w:color w:val="auto"/>
              </w:rPr>
            </w:pPr>
            <w:r>
              <w:rPr>
                <w:rFonts w:ascii="Arial" w:cs="Arial" w:eastAsia="Arial" w:hAnsi="Arial"/>
                <w:sz w:val="14"/>
                <w:szCs w:val="14"/>
                <w:b w:val="1"/>
                <w:bCs w:val="1"/>
                <w:color w:val="auto"/>
                <w:w w:val="91"/>
              </w:rPr>
              <w:t>December 31, 2013</w:t>
            </w:r>
          </w:p>
        </w:tc>
      </w:tr>
      <w:tr>
        <w:trPr>
          <w:trHeight w:val="250"/>
        </w:trPr>
        <w:tc>
          <w:tcPr>
            <w:tcW w:w="8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42,849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20,204</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7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royalty costs for licensed technologies included in our products, warranty, service, provisions for slow-moving and obsolete inventory, and stock-based compensation expense. Costs related to license and grant revenue are included in research and development expense.</w:t>
      </w:r>
    </w:p>
    <w:p>
      <w:pPr>
        <w:spacing w:after="0" w:line="133"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Cost of product revenue increased by $22.6 million, or 112%, to $42.8 million for 2014 from $20.2 million for 2013. Cost of product revenue for 2014 includes $10.7 million of amortization of acquired intangible assets and inventory fair-value write-up resulting from our acquisition of DVS with no corresponding charges in 2013. Cost of product revenue as a percentage of related revenue was 37% (including 9 percentage points related primarily to amortization of acquired intangible assets and inventory fair-value write-up) and 29% for 2014 and 2013, respectively.</w:t>
      </w:r>
    </w:p>
    <w:p>
      <w:pPr>
        <w:spacing w:after="0" w:line="117"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Excluding the impact of the acquisition-related costs, overall product margins improved by one percentage point as the product margins for both our instruments and consumables increased, offset by a shift in the sales mix from consumables to instruments, which have comparatively lower product margins.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spacing w:after="0"/>
              <w:rPr>
                <w:sz w:val="22"/>
                <w:szCs w:val="22"/>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2014</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71,324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48,412</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Acquisition-related expenses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10,696</w:t>
            </w:r>
          </w:p>
        </w:tc>
        <w:tc>
          <w:tcPr>
            <w:tcW w:w="100" w:type="dxa"/>
            <w:vAlign w:val="bottom"/>
          </w:tcPr>
          <w:p>
            <w:pPr>
              <w:spacing w:after="0"/>
              <w:rPr>
                <w:sz w:val="21"/>
                <w:szCs w:val="21"/>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125,443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69,632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Research and development expense was $43.4 million for 2014, an increase of $23.5 million, or 118%, compared to $20.0 million for 2013. The increase in research and development expense was primarily due to an increase in headcount and other compensation-related costs of $15.5 million, an increase in lab supplies and equipment costs of $5.1 million, increase in facilities-related expense of $1.7 million, and an increase in outside services of $1.1 million. These increased costs were primarily driven by the acquisition of DVS and in support of our development and commercialization of new and existing products and services.</w:t>
      </w:r>
    </w:p>
    <w:p>
      <w:pPr>
        <w:spacing w:after="0" w:line="13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these expenses will increase in future periods.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7"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Selling, general and administrative expense increased $22.9 million, or 47%, to $71.3 million for 2014, compared to $48.4 million for 2013. The increase was primarily attributable to higher headcount and other compensation-related costs of $13.2 million, increases in legal, accounting and other professional services of $5.6 million, trade shows and other marketing expenses of $2.2 million, integration expenses of $1.3 million, and other expenses of $0.6 million. These increases were primarily driven by the acquisition of DVS, the expansion of worldwide commercial capabilities and, to a lesser extent, general and administrative expense to support our growth. We expect selling, general and administrative expense to increase in future periods as we continue to grow our sales, technical support, marketing, and administrative headcount, support increased product sales, broaden our customer base, and incur additional costs to support our expanding global footprint and the overall growth in our business.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90"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1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Pursuant to the terms of a patent cross license agreement with Applied Biosystems, LLC (a subsidiary of Life Technologies Corporation, or Life, and now part of Thermo Fisher Scientific), we were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as of September 30, 2013 and on January 30, 2014, we paid Life the amount due while reserving our rights with respect to the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Acquisition-Related Expenses</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Acquisition-related expenses were $10.7 million for 2014 and primarily included accelerated vesting of certain DVS restricted stock and options, and consulting, legal, and investment banking fees.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Year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1,777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2,264</w:t>
            </w:r>
          </w:p>
        </w:tc>
      </w:tr>
      <w:tr>
        <w:trPr>
          <w:trHeight w:val="27"/>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3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Interest expense increased to $5.3 million for 2014, compared to $14,000 for 2013 due to interest expense under the terms of the Notes, which were issued in the first quarter of 2014, and amortization of debt discount related to the Notes.</w:t>
      </w:r>
    </w:p>
    <w:p>
      <w:pPr>
        <w:spacing w:after="0" w:line="116"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2015. In March 2013, we received cash proceeds of $3.1 million in exchange for our ownership interest in Verinata, resulting in a gain of $1.8 million. If the milestone payments become payable in the future, we could receive up to $3.2 million in additional proceeds. During 2014, we received cash proceeds of $0.3 million from the escrow account related to Verinata. We recorded the proceeds as "Gain from sale of investment in Verinata" in the accompanying consolidated statements of operations for the year ended December 31, 2014.</w:t>
      </w:r>
    </w:p>
    <w:p>
      <w:pPr>
        <w:spacing w:after="0" w:line="119" w:lineRule="exact"/>
        <w:rPr>
          <w:sz w:val="20"/>
          <w:szCs w:val="20"/>
          <w:color w:val="auto"/>
        </w:rPr>
      </w:pPr>
    </w:p>
    <w:p>
      <w:pPr>
        <w:ind w:right="720" w:firstLine="432"/>
        <w:spacing w:after="0" w:line="264" w:lineRule="auto"/>
        <w:rPr>
          <w:sz w:val="20"/>
          <w:szCs w:val="20"/>
          <w:color w:val="auto"/>
        </w:rPr>
      </w:pPr>
      <w:r>
        <w:rPr>
          <w:rFonts w:ascii="Arial" w:cs="Arial" w:eastAsia="Arial" w:hAnsi="Arial"/>
          <w:sz w:val="18"/>
          <w:szCs w:val="18"/>
          <w:color w:val="auto"/>
        </w:rPr>
        <w:t>Other expense, net increased by $1.4 million for the year ended December 31, 2014 compared to other income, net of $0.5 million for the year ended December 31, 2013. In 2013, the income was due primarily to a gain resulting from settlement of litigation filed by us against NanoString Technologies, Inc. In 2014, the other expense is primarily due to the foreign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7"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exchange losses resulting mainly from unfavorable changes in the Euro and Japanese Yen exchange rate relative to the U.S. dollar.</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71"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We recorded a tax benefit of $4.9 million, or an effective tax rate benefit of 8.5%, for the year ended December 31, 2014. The tax benefit for the year ended December 31, 2014 was primarily attributable to the amortization of our acquisition-related deferred tax liability and net income tax benefit from our foreign operations and release of valuation allowance on California deferred tax assets, as a result of the deferred tax liability related to its acquired intellectual property. We recorded tax expense of $0.1 million for the year ended December 31, 2013.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2013 and December 31, 2012</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revenue increased by $18.8 million, or 36%, to $71.2 million for 2013, compared to $52.3 million for 2012 primarily due to product revenue.</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 revenue increased by $18.7 million, or 36%, to $70.2 million for 2013, compared to $51.5 million for 2012.</w:t>
      </w:r>
    </w:p>
    <w:p>
      <w:pPr>
        <w:spacing w:after="0" w:line="171"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Instrument revenue increased by $11.9 million, or 41%, primarily driven by increases in unit sales of our preparatory systems, which include our C1 Single-Cell Auto Prep system, first sold as a new product in the third quarter of 2012, and to a lesser extent, increases in unit sales of our Biomark HD system. Increased sales of our service offerings and higher average selling prices of our instrument systems also contributed to the increase in instrument revenue. The revenue increase was offset in part by lower unit sales of our EP1 system.</w:t>
      </w:r>
    </w:p>
    <w:p>
      <w:pPr>
        <w:spacing w:after="0" w:line="133"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Consumables revenue increased by $6.8 million, or 30%, primarily due to growth in overall IFC unit volume, driven mainly by increased sales to production genomics customers. Annualized IFC pull-through for our analytical systems was within our historical range of $40,000 to $50,000 per system and above our historical range of $10,000 to $15,000 per system for preparatory systems. Going forward, we expect IFC pull-through for our preparatory systems to range from $15,000 to $25,000 per system per year. Increases in assays and reagents sales also contributed to the increase in consumables revenue.</w:t>
      </w:r>
    </w:p>
    <w:p>
      <w:pPr>
        <w:spacing w:after="0" w:line="10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expect total unit sales of both instruments and consumables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Grant revenue consists of a grant from CIRM. Grant revenue was $0.7 million in each of 2013 and 2012. Our CIRM grant was awarded in 2011 in the amount of $1.9 million to be earned over a three-year period. The CIRM grant revenue is recognized as the related research and development services are performed and costs associated with the grants are recognized as research and development expense during the period incurred.</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4"/>
                <w:szCs w:val="14"/>
                <w:b w:val="1"/>
                <w:bCs w:val="1"/>
                <w:color w:val="auto"/>
              </w:rPr>
              <w:t>Year Ended</w:t>
            </w:r>
          </w:p>
        </w:tc>
      </w:tr>
      <w:tr>
        <w:trPr>
          <w:trHeight w:val="152"/>
        </w:trPr>
        <w:tc>
          <w:tcPr>
            <w:tcW w:w="8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4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20,204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15,325</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17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royalty costs for licensed technologies included in our products, warranty, service, provisions for slow-moving and obsolete inventory, and stock-based compensation expense. Costs related to license and grant revenue are included in research and development expense.</w:t>
      </w:r>
    </w:p>
    <w:p>
      <w:pPr>
        <w:spacing w:after="0" w:line="133"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Cost of product revenue increased by $4.9 million, or 32%, to $20.2 million for 2013 from $15.3 million for 2012 primarily due to increased product revenue. Cost of product revenue as a percentage of related revenue was 29% and 30% for 2013 and 2012, respectively. This improvement was driven by higher average unit selling prices for instruments and IFCs;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7"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favorable change in the instruments sales mix primarily due to increased sales of our higher margin C1 system, first sold as a new product in the third quarter of 2012; and higher IFC capacity utilization and improved production yields. This was offset in part primarily by higher inventory reserves and write-offs and higher service costs.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Year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16,602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48,412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38,478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69,632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55,080</w:t>
            </w:r>
          </w:p>
        </w:tc>
      </w:tr>
      <w:tr>
        <w:trPr>
          <w:trHeight w:val="27"/>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Research and development expense was $20.0 million for 2013, an increase of $3.4 million, or 20%, compared to $16.6 million for 2012. The increase in research and development expense was primarily due to an increase in headcount and other compensation-related costs of $2.2 million, an increase in facility expenses of $0.7 million, and an increase in outside services of $0.3 million. These increased costs were in support of our development and commercialization of new and existing products and services.</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Selling, general and administrative expense increased $9.9 million, or 26%, to $48.4 million for 2013, compared to $38.5 million for 2012. The increase was primarily due to headcount and other compensation-related costs of $7.1 million, higher sales and marketing activities of $1.1 million, and an increase in legal fees of $0.9 million. The increase was primarily driven by expansion of worldwide commercial capabilities and, to a lesser extent, general and administrative expense to support our growth.</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90"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12"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Pursuant to the terms of a patent cross license agreement with Life, we were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as of September 30, 2013 and on January 30, 2014, we paid Life the amount due while reserving our rights with respect to the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7"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Gain From Sale of Investment in Verinata, and Other Income and Expense, Net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Year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w:t>
            </w:r>
          </w:p>
        </w:tc>
      </w:tr>
      <w:tr>
        <w:trPr>
          <w:trHeight w:val="27"/>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Interest expense decreased $614,000, or 98%, to $14,000 for 2013, compared to $628,000 for 2012. In September 2012, we paid the remaining balance due under our long-term debt. Accordingly, we did not incur any interest expense on long-term debt during 2013.</w:t>
      </w:r>
    </w:p>
    <w:p>
      <w:pPr>
        <w:spacing w:after="0" w:line="116"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In February 2013, Illumina, Inc. acquired Verinata Health, Inc., or Verinata, for $350 million in cash and up to an additional $100 million in milestone payments through 2015. In March 2013, we received cash proceeds of $3.1 million in exchange for our ownership interest in Verinata, resulting in a gain of $1.8 million. If the milestone payments become payable in the future, we could receive up to $3.2 million in additional proceeds. The $1.8 million gain we recognized did not include any amounts that may be received upon the achievement of future milestones.</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Other income, net increased $0.7 million to $0.5 million for 2013, compared to other expense, net of $0.2 million for 2012 primarily because of the $0.6 million gain resulting from settlement of litigation filed by us against NanoString Technologies, Inc., partially offset by net foreign exchange losses resulting primarily from unfavorable change in the Japanese Yen exchange rate relative to the U.S. dollar.</w:t>
      </w:r>
    </w:p>
    <w:p>
      <w:pPr>
        <w:spacing w:after="0" w:line="127"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On February 4, 2014, we closed an underwritten public offering of $201.3 million aggregate principal amount of our 2.75% Senior Convertible Notes due 2034.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As of December 31, 2014, our principal sources of liquidity consisted of $33.7 million of cash and cash equivalents and $109.1 million of short-term and long-term investments. As of December 31, 2014, our working capital (excluding deferred revenue, current portion) totaled $133.4 million.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flow summary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(22,623)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(17,478)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14,001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200,326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5,806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48,521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45,096</w:t>
            </w:r>
          </w:p>
        </w:tc>
      </w:tr>
      <w:tr>
        <w:trPr>
          <w:trHeight w:val="27"/>
        </w:trPr>
        <w:tc>
          <w:tcPr>
            <w:tcW w:w="7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license agreements, and grants from certain government entities. Our cash flows from operating activities are also significantly influenced by our use of cash for operating expenses and working capital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33"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Net cash used in operating activities was $22.6 million, $1.6 million, and $17.5 million in 2014, 2013, and 2012, respectively. Net cash used in operating activities during 2014 resulted from a net loss of $52.8 million, adjusted for $38.1 million in non-cash charges and a $7.8 million increase in net operating assets. Significant non-cash charges included stock-based compensation expense, depreciation and amortization, amortization of developed technology, and acquisition-related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7"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share-based awards acceleration expense. The net change in assets and liabilities was driven primarily by higher inventory and accounts receivables offset by a net increase in operating liabilities. Cash used in operating activities included $8.0 million of cash outflows related to the DVS acquisition.</w:t>
      </w:r>
    </w:p>
    <w:p>
      <w:pPr>
        <w:spacing w:after="0" w:line="93"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Net cash used in operating activities during 2013 resulted from a net loss of $16.5 million, adjusted for $7.5 million in non-cash charges and a $7.4 million decrease in net operating assets. Significant non-cash charges included stock-based compensation expense, and depreciation and amortization. The net change in assets and liabilities was driven primarily by an increase in deferred revenue and other liabilities.</w:t>
      </w:r>
    </w:p>
    <w:p>
      <w:pPr>
        <w:spacing w:after="0" w:line="11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Net cash used in operating activities during 2012 resulted from a net loss of $19.0 million adjusted for $6.3 million in non-cash charges and a $4.8 million increase in net operating assets. Significant non-cash charges included stock-based compensation expense and depreciation and amortization. The net change in assets and liabilities was driven primarily by higher inventory and accounts receivables.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90"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Our primary investing activities consist of purchases, sales, and maturities of our short-term and long-term investments and to a much lesser extent, capital expenditures for manufacturing, laboratory, computer equipment and software to support our expanding infrastructure and work force. We expect to continue to expand our manufacturing capability, including improvements in manufacturing productivity, and expect to incur additional costs for capital expenditures related to these efforts in future periods. In addition, we expect to continue to incur costs for capital expenditures for demonstration units and loaner equipment to support our sales and service efforts, and computer equipment and software to support our growth.</w:t>
      </w:r>
    </w:p>
    <w:p>
      <w:pPr>
        <w:spacing w:after="0" w:line="11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Net cash used in investing activities was $178.4 million and $27.6 million in 2014 and 2013 respectively, and net cash provided by investing activities was $14.0 million in 2012.</w:t>
      </w:r>
    </w:p>
    <w:p>
      <w:pPr>
        <w:spacing w:after="0" w:line="170"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used $178.4 million of cash in investing activities during 2014, including $113.2 million in connection with the DVS acquisition, net of acquired cash of $8.4 million classified as cash used in operating activities; purchases of investments of $132.6 million; capital expenditures of $7.4 million primarily to support growth in our manufacturing operations; partially offset by proceeds from sales and maturities of investments of $74.5 million; and additional proceeds of $0.3 million from the 2013 sale of our investment in Verinata.</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used $27.6 million of cash in investing activities during 2013 primarily for purchases of investments of $59.4 million; purchase of intangible assets from Helicos Biosciences Corporation and related transaction costs of $1.2 million; purchases of capital equipment of $3.4 million to support growth in our commercial and manufacturing operations; partially offset by proceeds from sales and maturities of investments of $33.4 million; and proceeds from the sale of our investment in Verinata of $3.1 million.</w:t>
      </w:r>
    </w:p>
    <w:p>
      <w:pPr>
        <w:spacing w:after="0" w:line="13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generated $14.0 million of cash from investing activities during 2012 primarily from proceeds from sales and maturities of investments of $51.8 million; partially offset by purchases of investments of $35.4 million; and purchases of capital equipment of $2.4 million to support growth in our commercial and manufacturing operations.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7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Net cash provided by financing activities was $200.3 million during 2014 consisting of net proceeds of $195.2 million from the issuance of the Notes and proceeds received in connection with the exercise of options for our common stock of $5.1 million.</w:t>
      </w:r>
    </w:p>
    <w:p>
      <w:pPr>
        <w:spacing w:after="0" w:line="3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We generated $5.8 million of cash from financing activities during 2013 from proceeds received in connection with the exercise of options for our common stock.</w:t>
      </w:r>
    </w:p>
    <w:p>
      <w:pPr>
        <w:spacing w:after="0" w:line="3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generated $48.5 million of cash from financing activities during 2012 primarily from proceeds of approximately $56.0 million, net of underwriting commissions and issuance costs, from our underwritten public offering of our common stock, and proceeds of $2.7 million from the exercise of options to purchase our common stock, partially offset by repayment of principal on our long-term debt of $10.2 million.</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At December 31, 2014, December 31, 2013, and December 31, 2012, our working capital, excluding deferred revenues, was $133.4 million, $89.4 million, and $91.5 million, respectively, including cash and cash equivalents of $33.7 million, $35.3 million, and $58.6 million, respectively, and short-term and long-term investments of $109.1 million, $51.0 million, and $25.0 million, respectively. On February 4, 2014, we closed an underwritten public offering of approximately $201.3 million aggregate principal amount of our Notes and received cash proceeds of $195.2 million, net of underwriting discounts. Debt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7"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issuance costs were approximately $1.1 million. We used $113.2 million of the net proceeds to fund the cash portion of the consideration payable by us in connection with our acquisition of DVS.</w:t>
      </w:r>
    </w:p>
    <w:p>
      <w:pPr>
        <w:spacing w:after="0" w:line="35"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expand the commercialization of our products, expand and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material commitments or agreements relating to any such acquisitions.</w:t>
      </w:r>
    </w:p>
    <w:p>
      <w:pPr>
        <w:spacing w:after="0" w:line="19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Since our inception, we have not had any off-balance sheet arrangements as defined in Item 303(a)(4) of the Securities and Exchange Commission’s Regulation S-K.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our contractual obligations as of December 31, 2014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center"/>
              <w:ind w:left="678"/>
              <w:spacing w:after="0"/>
              <w:rPr>
                <w:sz w:val="20"/>
                <w:szCs w:val="20"/>
                <w:color w:val="auto"/>
              </w:rPr>
            </w:pPr>
            <w:r>
              <w:rPr>
                <w:rFonts w:ascii="Arial" w:cs="Arial" w:eastAsia="Arial" w:hAnsi="Arial"/>
                <w:sz w:val="14"/>
                <w:szCs w:val="14"/>
                <w:b w:val="1"/>
                <w:bCs w:val="1"/>
                <w:color w:val="auto"/>
                <w:w w:val="91"/>
              </w:rPr>
              <w:t>Payments Due by Period</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Less than 1</w:t>
            </w:r>
          </w:p>
        </w:tc>
        <w:tc>
          <w:tcPr>
            <w:tcW w:w="16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1-3 Years</w:t>
            </w:r>
          </w:p>
        </w:tc>
        <w:tc>
          <w:tcPr>
            <w:tcW w:w="2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3"/>
                <w:szCs w:val="13"/>
                <w:color w:val="auto"/>
              </w:rPr>
            </w:pPr>
          </w:p>
        </w:tc>
        <w:tc>
          <w:tcPr>
            <w:tcW w:w="9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279,192</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42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333,056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281,363</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Debt obligations include the principal amount of the Notes and interest payments to be made under the Notes. Although the Notes mature in 2034, they can be converted into cash and shares of our common stock prior to maturity if certain conditions are met. See Note 7 to our consolidated financial statements for additional information regarding the terms of the Notes.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operating lease obligations relate to a lease for our current headquarters and leases for manufacturing and office space for our foreign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consist of contractual and legally binding commitments to purchase goods and services.</w:t>
      </w:r>
    </w:p>
    <w:p>
      <w:pPr>
        <w:spacing w:after="0" w:line="15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On April 9, 2013, we entered into an amendment (the 2013 Amendment) to the lease agreement dated September 4, 2010 (as amended, the Lease) relating to the lease of office and laboratory space at our headquarters located in South San Francisco, California. The Amendment provides for an expansion of the premises covered under the Lease to include space that is currently being subleased by us from a third party through March 31, 2014; an extension of the term of the Lease to April 30, 2020 with an option to renew for an additional five years; payment of base rent with rent escalation; and payment of certain operating expenses during the term of the Lease. The Amendment also provides for an allowance of approximately $0.7 million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7"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tenant improvements, which, to the extent not used by March 31, 2015, will be used to offset base rent obligations, and an additional allowance of approximately $0.5 million for tenant improvements, which, if used, will be repaid in equal monthly payments with interest at a rate of 9% per annum over the remaining term of the Lease.</w:t>
      </w:r>
    </w:p>
    <w:p>
      <w:pPr>
        <w:spacing w:after="0" w:line="12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On June 4, 2014, we entered into an additional amendment to the Lease (the June 2014 Amendment), which provided for an expansion of the premises covered under the Lease by approximately 13,000 square feet, effective October 1, 2014; payment of base rent with rent escalation; and payment of certain operating expenses during the term of the Lease. The June 2014 Amendment also provided for an allowance of approximately $0.2 million for tenant improvements, which, to the extent not used by March 31, 2015, will be used to offset base rent obligations, and an additional allowance of approximately $0.1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$2.4 million as of December 31, 2014.</w:t>
      </w:r>
    </w:p>
    <w:p>
      <w:pPr>
        <w:spacing w:after="0" w:line="13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On September 15, 2014, we entered into an additional amendment to the Lease (the September 2014 Amendment), which provided for an expansion of the premises covered under the Lease by approximately 9,000 square feet, effective October 1, 2014; payment of base rent with rent escalation; and payment of certain operating expenses during the term of the Lease. The September 2014 Amendment also provided for an allowance of approximately $0.2 million for tenant improvements. The total future minimum lease payments for the additional space, which will be paid through April 2020, are approximately $1.6 million as of December 31, 2014.</w:t>
      </w:r>
    </w:p>
    <w:p>
      <w:pPr>
        <w:spacing w:after="0" w:line="134"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October 14, 2013, Fluidigm Singapore Pte. Ltd., our wholly-owned subsidiary, Fluidigm Singapore, accepted an offer of tenancy (Lease) from HSBC Institutional Trust Services (Singapore) Limited, as trustee of Ascendas Real Estate Investment Trust (Landlord), relating to the lease of a new facility located in Singapore. Pursuant to the terms of the Lease, Fluidigm Singapore took possession of the facility commencing on March 3, 2014 for a term of 99 months, and the Lease and rental obligations thereunder commenced on June 3, 2014. The Lease also provides Fluidigm Singapore with an option to renew the Lease for an additional 60 months at the then prevailing market rent, and on similar terms as the existing Lease. In June 2014, Fluidigm Singapore leased additional space of approximately 2,400 square feet in the same building as the new facility on the same terms as the Lease. We completed the consolidation of our Singapore manufacturing operations in the new space in July 2014 and the site qualification was completed in August 2014. The leases relating to our prior manufacturing facility in Singapore terminated on August 31, 2014. The total future minimum lease payments for the new facility, which will be paid through June 2022, are approximately $4.1 million as of December 31, 2014.</w:t>
      </w:r>
    </w:p>
    <w:p>
      <w:pPr>
        <w:spacing w:after="0" w:line="47"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We obtained operating leases for facilities in Markham, Ontario, Canada and Sunnyvale, California, which expire in January 2016 and July 2016, respectively, in connection with our acquisition of DVS (See Note 4 to our audited consolidated financial statements for additional information). The Canada lease includes an option to renew the lease for an additional five years at the then prevailing market rent, and on similar terms as the existing lease. We recognize rent expense on a straight-line basis over the non-cancelable lease terms. The total future minimum lease payments for the operating leases in Sunnyvale, California and Markham, Ontario, Canada are approximately $460,000 as of December 31, 2014.</w:t>
      </w:r>
    </w:p>
    <w:p>
      <w:pPr>
        <w:spacing w:after="0" w:line="20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Future payments related to these license agreements have not been included in the contractual obligations table above as the period of time over which the future license payments will be required to be made, and the amount of such payments, are indeterminable. We do not expect the license payments to be material in any particular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287" w:right="2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recorded. For the years ended December 31, 2014 and 2013, we experienced foreign currency losses of $1.1 million and $0.5 million, respectively. To date, we have not entered into any foreign currency hedging contracts although we may do so in the future. As our international operations grow, we will continue to reassess our approach to manage our risk relating to fluctuations in currency rates.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had cash and cash equivalents of $33.7 million at December 31, 2014. These amounts were held primarily in cash on deposit with banks and money market funds which are short-term. We had $109.1 million in investments at December 31, 2014 held primarily in U.S. government agency securities. The contractual maturity periods of $81.6 million of our investments are within one year from December 31, 2014. The contractual maturity periods of our remaining investments are less than eighteen months from December 31, 2014.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We may adopt specific hedging strategies in the future.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7"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4280" w:type="dxa"/>
            <w:vAlign w:val="bottom"/>
            <w:gridSpan w:val="6"/>
          </w:tcPr>
          <w:p>
            <w:pPr>
              <w:spacing w:after="0" w:line="170" w:lineRule="exact"/>
              <w:rPr>
                <w:rFonts w:ascii="Arial" w:cs="Arial" w:eastAsia="Arial" w:hAnsi="Arial"/>
                <w:sz w:val="18"/>
                <w:szCs w:val="18"/>
                <w:color w:val="0000FF"/>
                <w:w w:val="90"/>
              </w:rPr>
            </w:pPr>
            <w:hyperlink w:anchor="page57">
              <w:r>
                <w:rPr>
                  <w:rFonts w:ascii="Arial" w:cs="Arial" w:eastAsia="Arial" w:hAnsi="Arial"/>
                  <w:sz w:val="18"/>
                  <w:szCs w:val="18"/>
                  <w:color w:val="0000FF"/>
                  <w:w w:val="90"/>
                </w:rPr>
                <w:t>Reports of Independent Registered Public Accounting Firm</w:t>
              </w:r>
            </w:hyperlink>
          </w:p>
        </w:tc>
        <w:tc>
          <w:tcPr>
            <w:tcW w:w="660" w:type="dxa"/>
            <w:vAlign w:val="bottom"/>
          </w:tcPr>
          <w:p>
            <w:pPr>
              <w:spacing w:after="0"/>
              <w:rPr>
                <w:sz w:val="16"/>
                <w:szCs w:val="16"/>
                <w:color w:val="auto"/>
              </w:rPr>
            </w:pPr>
          </w:p>
        </w:tc>
        <w:tc>
          <w:tcPr>
            <w:tcW w:w="6200" w:type="dxa"/>
            <w:vAlign w:val="bottom"/>
            <w:gridSpan w:val="2"/>
          </w:tcPr>
          <w:p>
            <w:pPr>
              <w:spacing w:after="0"/>
              <w:rPr>
                <w:sz w:val="16"/>
                <w:szCs w:val="16"/>
                <w:color w:val="auto"/>
              </w:rPr>
            </w:pPr>
          </w:p>
        </w:tc>
        <w:tc>
          <w:tcPr>
            <w:tcW w:w="220" w:type="dxa"/>
            <w:vAlign w:val="bottom"/>
            <w:gridSpan w:val="2"/>
          </w:tcPr>
          <w:p>
            <w:pPr>
              <w:jc w:val="right"/>
              <w:ind w:right="40"/>
              <w:spacing w:after="0" w:line="189" w:lineRule="exact"/>
              <w:rPr>
                <w:rFonts w:ascii="Arial" w:cs="Arial" w:eastAsia="Arial" w:hAnsi="Arial"/>
                <w:sz w:val="18"/>
                <w:szCs w:val="18"/>
                <w:color w:val="0000FF"/>
                <w:w w:val="79"/>
              </w:rPr>
            </w:pPr>
            <w:hyperlink w:anchor="page57">
              <w:r>
                <w:rPr>
                  <w:rFonts w:ascii="Arial" w:cs="Arial" w:eastAsia="Arial" w:hAnsi="Arial"/>
                  <w:sz w:val="18"/>
                  <w:szCs w:val="18"/>
                  <w:color w:val="0000FF"/>
                  <w:w w:val="79"/>
                </w:rPr>
                <w:t>55</w:t>
              </w:r>
            </w:hyperlink>
          </w:p>
        </w:tc>
      </w:tr>
      <w:tr>
        <w:trPr>
          <w:trHeight w:val="27"/>
        </w:trPr>
        <w:tc>
          <w:tcPr>
            <w:tcW w:w="208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20" w:type="dxa"/>
            <w:vAlign w:val="bottom"/>
            <w:tcBorders>
              <w:left w:val="single" w:sz="8" w:color="0000FF"/>
            </w:tcBorders>
            <w:gridSpan w:val="2"/>
            <w:shd w:val="clear" w:color="auto" w:fill="0000FF"/>
          </w:tcPr>
          <w:p>
            <w:pPr>
              <w:spacing w:after="0"/>
              <w:rPr>
                <w:sz w:val="2"/>
                <w:szCs w:val="2"/>
                <w:color w:val="auto"/>
              </w:rPr>
            </w:pPr>
          </w:p>
        </w:tc>
        <w:tc>
          <w:tcPr>
            <w:tcW w:w="6200" w:type="dxa"/>
            <w:vAlign w:val="bottom"/>
            <w:gridSpan w:val="2"/>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378"/>
        </w:trPr>
        <w:tc>
          <w:tcPr>
            <w:tcW w:w="4940" w:type="dxa"/>
            <w:vAlign w:val="bottom"/>
            <w:gridSpan w:val="7"/>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Consolidated Balance Sheets</w:t>
              </w:r>
            </w:hyperlink>
          </w:p>
        </w:tc>
        <w:tc>
          <w:tcPr>
            <w:tcW w:w="6200" w:type="dxa"/>
            <w:vAlign w:val="bottom"/>
            <w:gridSpan w:val="2"/>
          </w:tcPr>
          <w:p>
            <w:pPr>
              <w:spacing w:after="0"/>
              <w:rPr>
                <w:sz w:val="24"/>
                <w:szCs w:val="24"/>
                <w:color w:val="auto"/>
              </w:rPr>
            </w:pPr>
          </w:p>
        </w:tc>
        <w:tc>
          <w:tcPr>
            <w:tcW w:w="220" w:type="dxa"/>
            <w:vAlign w:val="bottom"/>
            <w:gridSpan w:val="2"/>
          </w:tcPr>
          <w:p>
            <w:pPr>
              <w:jc w:val="right"/>
              <w:ind w:right="4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57</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4940" w:type="dxa"/>
            <w:vAlign w:val="bottom"/>
            <w:gridSpan w:val="7"/>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Consolidated Statements of Operations</w:t>
              </w:r>
            </w:hyperlink>
          </w:p>
        </w:tc>
        <w:tc>
          <w:tcPr>
            <w:tcW w:w="6420" w:type="dxa"/>
            <w:vAlign w:val="bottom"/>
            <w:gridSpan w:val="4"/>
          </w:tcPr>
          <w:p>
            <w:pPr>
              <w:jc w:val="right"/>
              <w:ind w:right="40"/>
              <w:spacing w:after="0"/>
              <w:rPr>
                <w:rFonts w:ascii="Arial" w:cs="Arial" w:eastAsia="Arial" w:hAnsi="Arial"/>
                <w:sz w:val="18"/>
                <w:szCs w:val="18"/>
                <w:color w:val="0000FF"/>
              </w:rPr>
            </w:pPr>
            <w:hyperlink w:anchor="page60">
              <w:r>
                <w:rPr>
                  <w:rFonts w:ascii="Arial" w:cs="Arial" w:eastAsia="Arial" w:hAnsi="Arial"/>
                  <w:sz w:val="18"/>
                  <w:szCs w:val="18"/>
                  <w:color w:val="0000FF"/>
                </w:rPr>
                <w:t>58</w:t>
              </w:r>
            </w:hyperlink>
          </w:p>
        </w:tc>
      </w:tr>
      <w:tr>
        <w:trPr>
          <w:trHeight w:val="20"/>
        </w:trPr>
        <w:tc>
          <w:tcPr>
            <w:tcW w:w="28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520" w:type="dxa"/>
            <w:vAlign w:val="bottom"/>
            <w:gridSpan w:val="5"/>
          </w:tcPr>
          <w:p>
            <w:pPr>
              <w:spacing w:after="0"/>
              <w:rPr>
                <w:rFonts w:ascii="Arial" w:cs="Arial" w:eastAsia="Arial" w:hAnsi="Arial"/>
                <w:sz w:val="18"/>
                <w:szCs w:val="18"/>
                <w:color w:val="0000FF"/>
                <w:w w:val="88"/>
              </w:rPr>
            </w:pPr>
            <w:hyperlink w:anchor="page61">
              <w:r>
                <w:rPr>
                  <w:rFonts w:ascii="Arial" w:cs="Arial" w:eastAsia="Arial" w:hAnsi="Arial"/>
                  <w:sz w:val="18"/>
                  <w:szCs w:val="18"/>
                  <w:color w:val="0000FF"/>
                  <w:w w:val="88"/>
                </w:rPr>
                <w:t>Consolidated Statements of Comprehensive Loss</w:t>
              </w:r>
            </w:hyperlink>
          </w:p>
        </w:tc>
        <w:tc>
          <w:tcPr>
            <w:tcW w:w="1420" w:type="dxa"/>
            <w:vAlign w:val="bottom"/>
            <w:gridSpan w:val="2"/>
          </w:tcPr>
          <w:p>
            <w:pPr>
              <w:spacing w:after="0"/>
              <w:rPr>
                <w:sz w:val="24"/>
                <w:szCs w:val="24"/>
                <w:color w:val="auto"/>
              </w:rPr>
            </w:pPr>
          </w:p>
        </w:tc>
        <w:tc>
          <w:tcPr>
            <w:tcW w:w="6200" w:type="dxa"/>
            <w:vAlign w:val="bottom"/>
            <w:gridSpan w:val="2"/>
          </w:tcPr>
          <w:p>
            <w:pPr>
              <w:spacing w:after="0"/>
              <w:rPr>
                <w:sz w:val="24"/>
                <w:szCs w:val="24"/>
                <w:color w:val="auto"/>
              </w:rPr>
            </w:pPr>
          </w:p>
        </w:tc>
        <w:tc>
          <w:tcPr>
            <w:tcW w:w="220" w:type="dxa"/>
            <w:vAlign w:val="bottom"/>
            <w:gridSpan w:val="2"/>
          </w:tcPr>
          <w:p>
            <w:pPr>
              <w:jc w:val="right"/>
              <w:ind w:right="40"/>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59</w:t>
              </w:r>
            </w:hyperlink>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2"/>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520" w:type="dxa"/>
            <w:vAlign w:val="bottom"/>
            <w:gridSpan w:val="5"/>
          </w:tcPr>
          <w:p>
            <w:pPr>
              <w:spacing w:after="0"/>
              <w:rPr>
                <w:sz w:val="20"/>
                <w:szCs w:val="20"/>
                <w:color w:val="auto"/>
              </w:rPr>
            </w:pPr>
            <w:r>
              <w:rPr>
                <w:rFonts w:ascii="Arial" w:cs="Arial" w:eastAsia="Arial" w:hAnsi="Arial"/>
                <w:sz w:val="18"/>
                <w:szCs w:val="18"/>
                <w:color w:val="0000FF"/>
                <w:w w:val="89"/>
              </w:rPr>
              <w:t>Consolidated Statements of Stockholders' Equity</w:t>
            </w:r>
          </w:p>
        </w:tc>
        <w:tc>
          <w:tcPr>
            <w:tcW w:w="1420" w:type="dxa"/>
            <w:vAlign w:val="bottom"/>
            <w:gridSpan w:val="2"/>
          </w:tcPr>
          <w:p>
            <w:pPr>
              <w:spacing w:after="0"/>
              <w:rPr>
                <w:sz w:val="24"/>
                <w:szCs w:val="24"/>
                <w:color w:val="auto"/>
              </w:rPr>
            </w:pPr>
          </w:p>
        </w:tc>
        <w:tc>
          <w:tcPr>
            <w:tcW w:w="6200" w:type="dxa"/>
            <w:vAlign w:val="bottom"/>
            <w:gridSpan w:val="2"/>
          </w:tcPr>
          <w:p>
            <w:pPr>
              <w:spacing w:after="0"/>
              <w:rPr>
                <w:sz w:val="24"/>
                <w:szCs w:val="24"/>
                <w:color w:val="auto"/>
              </w:rPr>
            </w:pPr>
          </w:p>
        </w:tc>
        <w:tc>
          <w:tcPr>
            <w:tcW w:w="220" w:type="dxa"/>
            <w:vAlign w:val="bottom"/>
            <w:gridSpan w:val="2"/>
          </w:tcPr>
          <w:p>
            <w:pPr>
              <w:jc w:val="right"/>
              <w:ind w:right="40"/>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60</w:t>
              </w:r>
            </w:hyperlink>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520" w:type="dxa"/>
            <w:vAlign w:val="bottom"/>
            <w:gridSpan w:val="5"/>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Consolidated Statements of Cash Flows</w:t>
              </w:r>
            </w:hyperlink>
          </w:p>
        </w:tc>
        <w:tc>
          <w:tcPr>
            <w:tcW w:w="1420" w:type="dxa"/>
            <w:vAlign w:val="bottom"/>
            <w:gridSpan w:val="2"/>
          </w:tcPr>
          <w:p>
            <w:pPr>
              <w:spacing w:after="0"/>
              <w:rPr>
                <w:sz w:val="24"/>
                <w:szCs w:val="24"/>
                <w:color w:val="auto"/>
              </w:rPr>
            </w:pPr>
          </w:p>
        </w:tc>
        <w:tc>
          <w:tcPr>
            <w:tcW w:w="6200" w:type="dxa"/>
            <w:vAlign w:val="bottom"/>
            <w:gridSpan w:val="2"/>
          </w:tcPr>
          <w:p>
            <w:pPr>
              <w:spacing w:after="0"/>
              <w:rPr>
                <w:sz w:val="24"/>
                <w:szCs w:val="24"/>
                <w:color w:val="auto"/>
              </w:rPr>
            </w:pPr>
          </w:p>
        </w:tc>
        <w:tc>
          <w:tcPr>
            <w:tcW w:w="220" w:type="dxa"/>
            <w:vAlign w:val="bottom"/>
            <w:gridSpan w:val="2"/>
          </w:tcPr>
          <w:p>
            <w:pPr>
              <w:jc w:val="right"/>
              <w:ind w:right="40"/>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63</w:t>
              </w:r>
            </w:hyperlink>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4940" w:type="dxa"/>
            <w:vAlign w:val="bottom"/>
            <w:gridSpan w:val="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Notes to Consolidated Financial Statements</w:t>
              </w:r>
            </w:hyperlink>
          </w:p>
        </w:tc>
        <w:tc>
          <w:tcPr>
            <w:tcW w:w="6420" w:type="dxa"/>
            <w:vAlign w:val="bottom"/>
            <w:gridSpan w:val="4"/>
          </w:tcPr>
          <w:p>
            <w:pPr>
              <w:jc w:val="right"/>
              <w:ind w:right="40"/>
              <w:spacing w:after="0"/>
              <w:rPr>
                <w:rFonts w:ascii="Arial" w:cs="Arial" w:eastAsia="Arial" w:hAnsi="Arial"/>
                <w:sz w:val="18"/>
                <w:szCs w:val="18"/>
                <w:color w:val="0000FF"/>
              </w:rPr>
            </w:pPr>
            <w:hyperlink w:anchor="page66">
              <w:r>
                <w:rPr>
                  <w:rFonts w:ascii="Arial" w:cs="Arial" w:eastAsia="Arial" w:hAnsi="Arial"/>
                  <w:sz w:val="18"/>
                  <w:szCs w:val="18"/>
                  <w:color w:val="0000FF"/>
                </w:rPr>
                <w:t>64</w:t>
              </w:r>
            </w:hyperlink>
          </w:p>
        </w:tc>
      </w:tr>
      <w:tr>
        <w:trPr>
          <w:trHeight w:val="507"/>
        </w:trPr>
        <w:tc>
          <w:tcPr>
            <w:tcW w:w="20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40" w:type="dxa"/>
            <w:vAlign w:val="bottom"/>
          </w:tcPr>
          <w:p>
            <w:pPr>
              <w:jc w:val="right"/>
              <w:ind w:right="493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287"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3460" w:firstLine="3453"/>
        <w:spacing w:after="0" w:line="39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Fluidigm Corporation</w:t>
      </w:r>
    </w:p>
    <w:p>
      <w:pPr>
        <w:spacing w:after="0" w:line="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have audited the accompanying consolidated balance sheets of Fluidigm Corporation as of December 31, 2014 and 2013, and the related consolidated statements of operations, comprehensive loss, stockholders’ equity, and cash flows for each of the three years in the period ended December 31, 2014. Our audits also included the financial statement schedule listed in the Index at Item 15(2). These financial statements and schedule are the responsibility of the Company’s management. Our responsibility is to express an opinion on these financial statements and schedule based on our audits.</w:t>
      </w:r>
    </w:p>
    <w:p>
      <w:pPr>
        <w:spacing w:after="0" w:line="10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Fluidigm Corporation at December 31, 2014 and 2013, and the consolidated results of its operations and its cash flows for each of the three years in the period ended December 31,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0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Fluidigm Corporation’s internal control over financial reporting as of December 31, 2014, based on criteria established in Internal Control-Integrated Framework issued by the Committee of Sponsoring Organizations of the Treadway Commission (2013 framework) and our report dated February 26, 2015 expressed an unqualified opinion thereon.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7"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3440" w:firstLine="3453"/>
        <w:spacing w:after="0" w:line="39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Fluidigm Corporation</w:t>
      </w:r>
    </w:p>
    <w:p>
      <w:pPr>
        <w:spacing w:after="0" w:line="1"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have audited Fluidigm Corporation’s internal control over financial reporting as of December 31, 2014, based on criteria established in Internal Control—Integrated Framework issued by the Committee of Sponsoring Organizations of the Treadway Commission (2013 framework) (the COSO criteria). Fluidigm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40" w:right="20" w:firstLine="405"/>
        <w:spacing w:after="0" w:line="276" w:lineRule="auto"/>
        <w:rPr>
          <w:sz w:val="20"/>
          <w:szCs w:val="20"/>
          <w:color w:val="auto"/>
        </w:rPr>
      </w:pPr>
      <w:r>
        <w:rPr>
          <w:rFonts w:ascii="Arial" w:cs="Arial" w:eastAsia="Arial" w:hAnsi="Arial"/>
          <w:sz w:val="17"/>
          <w:szCs w:val="17"/>
          <w:color w:val="auto"/>
        </w:rPr>
        <w:t>As indicated in the accompanying Management's Report on Internal Control Over Financial Reporting, management's assessment of and conclusion on the effectiveness of internal control over financial reporting did not include the internal controls of DVS Sciences, Inc., which is included in the 2014 consolidated financial statements of Fluidigm Corporation and constituted $23.7 million and $6.7 million of total and net assets, respectively, as of December 31, 2014, and $20.7 million of revenues for the year then ended. Our audit of internal control over financial reporting of Fluidigm Corporation also did not include an evaluation of the internal control over financial reporting of DVS Sciences, Inc.</w:t>
      </w:r>
    </w:p>
    <w:p>
      <w:pPr>
        <w:spacing w:after="0" w:line="11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 our opinion, Fluidigm Corporation maintained, in all material respects, effective internal control over financial reporting as of December 31, 2014, based on the COSO criteria.</w:t>
      </w:r>
    </w:p>
    <w:p>
      <w:pPr>
        <w:spacing w:after="0" w:line="11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Fluidigm Corporation as of December 31, 2014 and 2013, and the related consolidated statements of operations, comprehensive loss, stockholders’ equity, and cash flows for each of the three years in the period ended December 31, 2014 of Fluidigm Corporation and our report dated February 26, 2015 expressed an unqualified opinion thereon.</w:t>
      </w:r>
    </w:p>
    <w:p>
      <w:pPr>
        <w:spacing w:after="0" w:line="13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7"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9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35,261</w:t>
            </w: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81,588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49,083</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allowances of $120 and $36 at December 31, 2014 and 2013,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10,552</w:t>
            </w: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15,991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8,148</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155,897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104,584</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1,942</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13,889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6,818</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3,571</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102,200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407,559</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116,915</w:t>
            </w:r>
          </w:p>
        </w:tc>
      </w:tr>
      <w:tr>
        <w:trPr>
          <w:trHeight w:val="67"/>
        </w:trPr>
        <w:tc>
          <w:tcPr>
            <w:tcW w:w="90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9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4,353</w:t>
            </w: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5,485</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5,392</w:t>
            </w: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6,928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2,721</w:t>
            </w:r>
          </w:p>
        </w:tc>
      </w:tr>
      <w:tr>
        <w:trPr>
          <w:trHeight w:val="27"/>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17,951</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195,455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1,899</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257,140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20,501</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90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Preferred stock, $0.001 par value, 10,000 shares authorized, no shares issued and outstanding at either December 31,</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2014 or 2013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9"/>
        </w:trPr>
        <w:tc>
          <w:tcPr>
            <w:tcW w:w="9040" w:type="dxa"/>
            <w:vAlign w:val="bottom"/>
          </w:tcPr>
          <w:p>
            <w:pPr>
              <w:ind w:left="380"/>
              <w:spacing w:after="0"/>
              <w:rPr>
                <w:sz w:val="20"/>
                <w:szCs w:val="20"/>
                <w:color w:val="auto"/>
              </w:rPr>
            </w:pPr>
            <w:r>
              <w:rPr>
                <w:rFonts w:ascii="Arial" w:cs="Arial" w:eastAsia="Arial" w:hAnsi="Arial"/>
                <w:sz w:val="18"/>
                <w:szCs w:val="18"/>
                <w:color w:val="auto"/>
                <w:w w:val="94"/>
              </w:rPr>
              <w:t>Common stock: $0.001 par value, 200,000 shares authorized at December 31, 2014 and 2013; 28,341 and 25,811</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30"/>
        </w:trPr>
        <w:tc>
          <w:tcPr>
            <w:tcW w:w="9040" w:type="dxa"/>
            <w:vAlign w:val="bottom"/>
          </w:tcPr>
          <w:p>
            <w:pPr>
              <w:ind w:left="380"/>
              <w:spacing w:after="0"/>
              <w:rPr>
                <w:sz w:val="20"/>
                <w:szCs w:val="20"/>
                <w:color w:val="auto"/>
              </w:rPr>
            </w:pPr>
            <w:r>
              <w:rPr>
                <w:rFonts w:ascii="Arial" w:cs="Arial" w:eastAsia="Arial" w:hAnsi="Arial"/>
                <w:sz w:val="18"/>
                <w:szCs w:val="18"/>
                <w:color w:val="auto"/>
              </w:rPr>
              <w:t>shares issued and outstanding at December 31, 2014 and 2013, respectively</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461,362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354,465</w:t>
            </w: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(257,347)</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150,419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96,414</w:t>
            </w:r>
          </w:p>
        </w:tc>
      </w:tr>
      <w:tr>
        <w:trPr>
          <w:trHeight w:val="27"/>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407,559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116,915</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28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287"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115,915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70,198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51,488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License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Grant revenue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116,456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52,334</w:t>
            </w:r>
          </w:p>
        </w:tc>
        <w:tc>
          <w:tcPr>
            <w:tcW w:w="0" w:type="dxa"/>
            <w:vAlign w:val="bottom"/>
          </w:tcPr>
          <w:p>
            <w:pPr>
              <w:spacing w:after="0"/>
              <w:rPr>
                <w:sz w:val="1"/>
                <w:szCs w:val="1"/>
                <w:color w:val="auto"/>
              </w:rPr>
            </w:pP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15,325</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43,423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19,953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16,602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38,478</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Acquisition-related expenses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168,292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89,836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70,405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loss per share,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22,136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7"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Unrealized (loss) gain on available-for-sale securities,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(52,894)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(19,039)</w:t>
            </w:r>
          </w:p>
        </w:tc>
      </w:tr>
      <w:tr>
        <w:trPr>
          <w:trHeight w:val="27"/>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7"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20" w:type="dxa"/>
            <w:vAlign w:val="bottom"/>
            <w:gridSpan w:val="4"/>
            <w:vMerge w:val="restart"/>
          </w:tcPr>
          <w:p>
            <w:pPr>
              <w:jc w:val="right"/>
              <w:ind w:right="27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8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279,428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56,897</w:t>
            </w:r>
          </w:p>
        </w:tc>
        <w:tc>
          <w:tcPr>
            <w:tcW w:w="0" w:type="dxa"/>
            <w:vAlign w:val="bottom"/>
          </w:tcPr>
          <w:p>
            <w:pPr>
              <w:spacing w:after="0"/>
              <w:rPr>
                <w:sz w:val="1"/>
                <w:szCs w:val="1"/>
                <w:color w:val="auto"/>
              </w:rPr>
            </w:pPr>
          </w:p>
        </w:tc>
      </w:tr>
      <w:tr>
        <w:trPr>
          <w:trHeight w:val="229"/>
        </w:trPr>
        <w:tc>
          <w:tcPr>
            <w:tcW w:w="4540" w:type="dxa"/>
            <w:vAlign w:val="bottom"/>
          </w:tcPr>
          <w:p>
            <w:pPr>
              <w:ind w:left="380"/>
              <w:spacing w:after="0"/>
              <w:rPr>
                <w:sz w:val="20"/>
                <w:szCs w:val="20"/>
                <w:color w:val="auto"/>
              </w:rPr>
            </w:pPr>
            <w:r>
              <w:rPr>
                <w:rFonts w:ascii="Arial" w:cs="Arial" w:eastAsia="Arial" w:hAnsi="Arial"/>
                <w:sz w:val="18"/>
                <w:szCs w:val="18"/>
                <w:color w:val="auto"/>
              </w:rPr>
              <w:t>Issuance of common stock, net of issuance costs of</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4,209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56,004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56,008</w:t>
            </w:r>
          </w:p>
        </w:tc>
        <w:tc>
          <w:tcPr>
            <w:tcW w:w="0" w:type="dxa"/>
            <w:vAlign w:val="bottom"/>
          </w:tcPr>
          <w:p>
            <w:pPr>
              <w:spacing w:after="0"/>
              <w:rPr>
                <w:sz w:val="1"/>
                <w:szCs w:val="1"/>
                <w:color w:val="auto"/>
              </w:rPr>
            </w:pPr>
          </w:p>
        </w:tc>
      </w:tr>
      <w:tr>
        <w:trPr>
          <w:trHeight w:val="230"/>
        </w:trPr>
        <w:tc>
          <w:tcPr>
            <w:tcW w:w="4540" w:type="dxa"/>
            <w:vAlign w:val="bottom"/>
          </w:tcPr>
          <w:p>
            <w:pPr>
              <w:ind w:left="380"/>
              <w:spacing w:after="0"/>
              <w:rPr>
                <w:sz w:val="20"/>
                <w:szCs w:val="20"/>
                <w:color w:val="auto"/>
              </w:rPr>
            </w:pPr>
            <w:r>
              <w:rPr>
                <w:rFonts w:ascii="Arial" w:cs="Arial" w:eastAsia="Arial" w:hAnsi="Arial"/>
                <w:sz w:val="18"/>
                <w:szCs w:val="18"/>
                <w:color w:val="auto"/>
              </w:rPr>
              <w:t>$3,970</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Issuance of common stock upon exercise of stock</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for cash</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(19,024)</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Other comprehensive loss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at December 31, 2012</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342,222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100,657</w:t>
            </w:r>
          </w:p>
        </w:tc>
        <w:tc>
          <w:tcPr>
            <w:tcW w:w="0" w:type="dxa"/>
            <w:vAlign w:val="bottom"/>
          </w:tcPr>
          <w:p>
            <w:pPr>
              <w:spacing w:after="0"/>
              <w:rPr>
                <w:sz w:val="1"/>
                <w:szCs w:val="1"/>
                <w:color w:val="auto"/>
              </w:rPr>
            </w:pPr>
          </w:p>
        </w:tc>
      </w:tr>
      <w:tr>
        <w:trPr>
          <w:trHeight w:val="459"/>
        </w:trPr>
        <w:tc>
          <w:tcPr>
            <w:tcW w:w="4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87"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6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CONSOLIDATED STATEMENTS OF STOCKHOLDERS’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740" w:type="dxa"/>
            <w:vAlign w:val="bottom"/>
            <w:gridSpan w:val="5"/>
            <w:vMerge w:val="restart"/>
          </w:tcPr>
          <w:p>
            <w:pPr>
              <w:jc w:val="right"/>
              <w:ind w:right="29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4820" w:type="dxa"/>
            <w:vAlign w:val="bottom"/>
          </w:tcPr>
          <w:p>
            <w:pPr>
              <w:spacing w:after="0"/>
              <w:rPr>
                <w:sz w:val="13"/>
                <w:szCs w:val="13"/>
                <w:color w:val="auto"/>
              </w:rPr>
            </w:pPr>
          </w:p>
        </w:tc>
        <w:tc>
          <w:tcPr>
            <w:tcW w:w="1740" w:type="dxa"/>
            <w:vAlign w:val="bottom"/>
            <w:tcBorders>
              <w:bottom w:val="single" w:sz="8" w:color="auto"/>
            </w:tcBorders>
            <w:gridSpan w:val="5"/>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1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0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342,222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100,657</w:t>
            </w:r>
          </w:p>
        </w:tc>
        <w:tc>
          <w:tcPr>
            <w:tcW w:w="0" w:type="dxa"/>
            <w:vAlign w:val="bottom"/>
          </w:tcPr>
          <w:p>
            <w:pPr>
              <w:spacing w:after="0"/>
              <w:rPr>
                <w:sz w:val="1"/>
                <w:szCs w:val="1"/>
                <w:color w:val="auto"/>
              </w:rPr>
            </w:pPr>
          </w:p>
        </w:tc>
      </w:tr>
      <w:tr>
        <w:trPr>
          <w:trHeight w:val="229"/>
        </w:trPr>
        <w:tc>
          <w:tcPr>
            <w:tcW w:w="4820" w:type="dxa"/>
            <w:vAlign w:val="bottom"/>
          </w:tcPr>
          <w:p>
            <w:pPr>
              <w:ind w:left="380"/>
              <w:spacing w:after="0"/>
              <w:rPr>
                <w:sz w:val="20"/>
                <w:szCs w:val="20"/>
                <w:color w:val="auto"/>
              </w:rPr>
            </w:pPr>
            <w:r>
              <w:rPr>
                <w:rFonts w:ascii="Arial" w:cs="Arial" w:eastAsia="Arial" w:hAnsi="Arial"/>
                <w:sz w:val="18"/>
                <w:szCs w:val="18"/>
                <w:color w:val="auto"/>
                <w:w w:val="96"/>
              </w:rPr>
              <w:t>Issuance of common stock upon exercise of stock options</w:t>
            </w:r>
          </w:p>
        </w:tc>
        <w:tc>
          <w:tcPr>
            <w:tcW w:w="740" w:type="dxa"/>
            <w:vAlign w:val="bottom"/>
          </w:tcPr>
          <w:p>
            <w:pPr>
              <w:jc w:val="right"/>
              <w:spacing w:after="0"/>
              <w:rPr>
                <w:sz w:val="20"/>
                <w:szCs w:val="20"/>
                <w:color w:val="auto"/>
              </w:rPr>
            </w:pPr>
            <w:r>
              <w:rPr>
                <w:rFonts w:ascii="Arial" w:cs="Arial" w:eastAsia="Arial" w:hAnsi="Arial"/>
                <w:sz w:val="18"/>
                <w:szCs w:val="18"/>
                <w:color w:val="auto"/>
              </w:rPr>
              <w:t>696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5,805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230"/>
        </w:trPr>
        <w:tc>
          <w:tcPr>
            <w:tcW w:w="4820" w:type="dxa"/>
            <w:vAlign w:val="bottom"/>
          </w:tcPr>
          <w:p>
            <w:pPr>
              <w:ind w:left="380"/>
              <w:spacing w:after="0"/>
              <w:rPr>
                <w:sz w:val="20"/>
                <w:szCs w:val="20"/>
                <w:color w:val="auto"/>
              </w:rPr>
            </w:pPr>
            <w:r>
              <w:rPr>
                <w:rFonts w:ascii="Arial" w:cs="Arial" w:eastAsia="Arial" w:hAnsi="Arial"/>
                <w:sz w:val="18"/>
                <w:szCs w:val="18"/>
                <w:color w:val="auto"/>
              </w:rPr>
              <w:t>for cash</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(16,526)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Balance at December 31, 2013</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354,465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(257,347)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96,414</w:t>
            </w:r>
          </w:p>
        </w:tc>
        <w:tc>
          <w:tcPr>
            <w:tcW w:w="0" w:type="dxa"/>
            <w:vAlign w:val="bottom"/>
          </w:tcPr>
          <w:p>
            <w:pPr>
              <w:spacing w:after="0"/>
              <w:rPr>
                <w:sz w:val="1"/>
                <w:szCs w:val="1"/>
                <w:color w:val="auto"/>
              </w:rPr>
            </w:pPr>
          </w:p>
        </w:tc>
      </w:tr>
      <w:tr>
        <w:trPr>
          <w:trHeight w:val="486"/>
        </w:trPr>
        <w:tc>
          <w:tcPr>
            <w:tcW w:w="4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6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CONSOLIDATED STATEMENTS OF STOCKHOLDERS’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60" w:type="dxa"/>
            <w:vAlign w:val="bottom"/>
            <w:gridSpan w:val="4"/>
            <w:vMerge w:val="restart"/>
          </w:tcPr>
          <w:p>
            <w:pPr>
              <w:jc w:val="right"/>
              <w:ind w:right="31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00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00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8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354,465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96,414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Issuance of common stock upon purchase of DVS</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76,805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76,807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Vested DVS stock options converted to equivalent vested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3"/>
              </w:rPr>
              <w:t>Issuance of common stock upon exercise of stock options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for cash and release of restricted stock units</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5,113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20,940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20,940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28,341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461,362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(310,177)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150,419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7"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jc w:val="right"/>
        <w:ind w:righ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2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Adjustments to reconcile net loss to net cash used in operating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Acquisition-related share-based awards acceleration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developed technology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Non-cash charges for sale of inventory revalued at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on disposal of property and equipment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Gain from sale of investment in Verinata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Changes in assets and liabilities: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Investing activities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of investments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sales and maturities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sale of investment in Verinata</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of property and equipment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Financing activities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issuance of convertible notes,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issuance of common stock, net of issuance costs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Repayment of long-term debt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Repayment of line of credit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2"/>
          <w:szCs w:val="12"/>
          <w:color w:val="auto"/>
        </w:rPr>
        <w:t>Effect of foreign exchange rate fluctuations on cash and cash equivalents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and cash equivalents at beginning of period</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1878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r>
      <w:tr>
        <w:trPr>
          <w:trHeight w:val="528"/>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(52,830)</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(16,526)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(19,024)</w:t>
            </w:r>
          </w:p>
        </w:tc>
      </w:tr>
      <w:tr>
        <w:trPr>
          <w:trHeight w:val="540"/>
        </w:trPr>
        <w:tc>
          <w:tcPr>
            <w:tcW w:w="20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4,061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2,551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2,191</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20,940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6,438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4,088</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2,648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9,800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540"/>
        </w:trPr>
        <w:tc>
          <w:tcPr>
            <w:tcW w:w="2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(3,393)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(3,702)</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(6,162)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(1,682)</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201</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(1,815)</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3,191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449</w:t>
            </w:r>
          </w:p>
        </w:tc>
      </w:tr>
      <w:tr>
        <w:trPr>
          <w:trHeight w:val="276"/>
        </w:trPr>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1,790</w:t>
            </w:r>
          </w:p>
        </w:tc>
      </w:tr>
      <w:tr>
        <w:trPr>
          <w:trHeight w:val="244"/>
        </w:trPr>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(22,623)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(17,478)</w:t>
            </w:r>
          </w:p>
        </w:tc>
      </w:tr>
      <w:tr>
        <w:trPr>
          <w:trHeight w:val="540"/>
        </w:trPr>
        <w:tc>
          <w:tcPr>
            <w:tcW w:w="2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(113,190)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(132,644)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(59,436)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(35,385)</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74,520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33,440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51,770</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(7,403)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(2,384)</w:t>
            </w:r>
          </w:p>
        </w:tc>
      </w:tr>
      <w:tr>
        <w:trPr>
          <w:trHeight w:val="244"/>
        </w:trPr>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(178,385)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(27,565)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14,001</w:t>
            </w:r>
          </w:p>
        </w:tc>
      </w:tr>
      <w:tr>
        <w:trPr>
          <w:trHeight w:val="540"/>
        </w:trPr>
        <w:tc>
          <w:tcPr>
            <w:tcW w:w="20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195,213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56,008</w:t>
            </w:r>
          </w:p>
        </w:tc>
      </w:tr>
      <w:tr>
        <w:trPr>
          <w:trHeight w:val="270"/>
        </w:trPr>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5,113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5,806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2,703</w:t>
            </w:r>
          </w:p>
        </w:tc>
      </w:tr>
      <w:tr>
        <w:trPr>
          <w:trHeight w:val="270"/>
        </w:trPr>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(10,190)</w:t>
            </w:r>
          </w:p>
        </w:tc>
      </w:tr>
      <w:tr>
        <w:trPr>
          <w:trHeight w:val="270"/>
        </w:trPr>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1,875</w:t>
            </w:r>
          </w:p>
        </w:tc>
      </w:tr>
      <w:tr>
        <w:trPr>
          <w:trHeight w:val="276"/>
        </w:trPr>
        <w:tc>
          <w:tcPr>
            <w:tcW w:w="2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(1,875)</w:t>
            </w:r>
          </w:p>
        </w:tc>
      </w:tr>
      <w:tr>
        <w:trPr>
          <w:trHeight w:val="244"/>
        </w:trPr>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200,326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5,806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48,521</w:t>
            </w:r>
          </w:p>
        </w:tc>
      </w:tr>
      <w:tr>
        <w:trPr>
          <w:trHeight w:val="276"/>
        </w:trPr>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r>
      <w:tr>
        <w:trPr>
          <w:trHeight w:val="244"/>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(1,548)</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(23,388)</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45,096</w:t>
            </w:r>
          </w:p>
        </w:tc>
      </w:tr>
      <w:tr>
        <w:trPr>
          <w:trHeight w:val="276"/>
        </w:trPr>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35,261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58,649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13,553</w:t>
            </w:r>
          </w:p>
        </w:tc>
      </w:tr>
      <w:tr>
        <w:trPr>
          <w:trHeight w:val="237"/>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33,713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35,261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58,649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ectPr>
          <w:pgSz w:w="11900" w:h="16838" w:orient="portrait"/>
          <w:cols w:equalWidth="0" w:num="2">
            <w:col w:w="7740" w:space="720"/>
            <w:col w:w="2960"/>
          </w:cols>
          <w:pgMar w:left="240" w:top="287"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8460" w:type="dxa"/>
            <w:vAlign w:val="bottom"/>
          </w:tcPr>
          <w:p>
            <w:pPr>
              <w:ind w:left="40"/>
              <w:spacing w:after="0"/>
              <w:rPr>
                <w:sz w:val="20"/>
                <w:szCs w:val="20"/>
                <w:color w:val="auto"/>
              </w:rPr>
            </w:pPr>
            <w:r>
              <w:rPr>
                <w:rFonts w:ascii="Arial" w:cs="Arial" w:eastAsia="Arial" w:hAnsi="Arial"/>
                <w:sz w:val="14"/>
                <w:szCs w:val="14"/>
                <w:color w:val="auto"/>
              </w:rPr>
              <w:t>Cash paid for interest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2,750</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00"/>
        </w:trPr>
        <w:tc>
          <w:tcPr>
            <w:tcW w:w="846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46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Cash paid for income taxes</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60"/>
        </w:trPr>
        <w:tc>
          <w:tcPr>
            <w:tcW w:w="846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5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5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4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6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rPr>
              <w:t>Issuance of common stock and options related to acquisition</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78,196</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846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66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287"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287"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2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(IFCs), assays, and reagents, to academic institutions, clinical laboratories, and pharmaceutical, biotechnology, and agricultural biotechnology (Ag-Bio) companies.</w:t>
      </w:r>
    </w:p>
    <w:p>
      <w:pPr>
        <w:spacing w:after="0" w:line="133" w:lineRule="exact"/>
        <w:rPr>
          <w:sz w:val="20"/>
          <w:szCs w:val="20"/>
          <w:color w:val="auto"/>
        </w:rPr>
      </w:pPr>
    </w:p>
    <w:p>
      <w:pPr>
        <w:ind w:right="500" w:firstLine="405"/>
        <w:spacing w:after="0" w:line="308" w:lineRule="auto"/>
        <w:rPr>
          <w:sz w:val="20"/>
          <w:szCs w:val="20"/>
          <w:color w:val="auto"/>
        </w:rPr>
      </w:pPr>
      <w:r>
        <w:rPr>
          <w:rFonts w:ascii="Arial" w:cs="Arial" w:eastAsia="Arial" w:hAnsi="Arial"/>
          <w:sz w:val="17"/>
          <w:szCs w:val="17"/>
          <w:color w:val="auto"/>
        </w:rPr>
        <w:t>On February 13, 2014, we completed our acquisition of DVS Sciences, Inc., a Delaware corporation (DVS) for approximately $199.9 million and assumed all outstanding DVS stock options and unvested restricted stock, pursuant to a merger agreement dated as of January 28, 2014.</w:t>
      </w:r>
    </w:p>
    <w:p>
      <w:pPr>
        <w:spacing w:after="0" w:line="34" w:lineRule="exact"/>
        <w:rPr>
          <w:sz w:val="20"/>
          <w:szCs w:val="20"/>
          <w:color w:val="auto"/>
        </w:rPr>
      </w:pPr>
    </w:p>
    <w:p>
      <w:pPr>
        <w:ind w:right="7860" w:firstLine="8"/>
        <w:spacing w:after="0" w:line="390" w:lineRule="auto"/>
        <w:tabs>
          <w:tab w:leader="none" w:pos="18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 and Consolidation</w:t>
      </w:r>
    </w:p>
    <w:p>
      <w:pPr>
        <w:ind w:right="160" w:firstLine="432"/>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and include the accounts of our wholly-owned subsidiaries. As of December 31, 2014, we had wholly-owned subsidiaries in Singapore, Canada, the Netherlands, Japan, France, the United Kingdom, China, and Germany.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80"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Certain prior year amounts on the accompanying Consolidated Statements of Cash Flows have been reclassified to conform to the current period presentation.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our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4"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on the balance sheet date. The adjustments resulting from the foreign currency translations are recorded in accumulated other comprehensive income/loss, a separate component of stockholders’ equity. Income and expense accounts are translated at monthly average exchange rates during the year.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consider all highly liquid financial instruments with maturities at the time of purchase of three months or less to be cash equivalents. Cash and cash equivalents may consist of cash on deposit with banks, money market funds, and notes from government-sponsored agencies.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Short and long-term investments are comprised of notes from government-sponsored agencies. All investments are recorded at estimated fair value. Any unrealized gains and losses from investments are reported in accumulated other comprehensive loss, a separate component of stockholders’ equity. We evaluate our investments to assess whether investments with unrealized loss positions are other than temporarily impaired. An investment is considered to be other than temporarily impaired if the impairment is related to deterioration in credit risk or if it is likely that we will sell the securities before the recovery of their cost basis. No investment has been assessed as other than temporarily impaired, and realized gains and losses were immaterial during the years presented. The cost of securities sold or the amount reclassified out of accumulated other comprehensive income into earnings is based on the specific-identification method.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financial instruments consist primarily of cash and cash equivalents, investments, accounts receivable, accounts payable, and convertible notes. Our cash equivalents, investments, accounts receivable, and accounts payable have short maturity or payment periods. Accordingly, their carrying values approximated their fair values at December 31, 2014 and 2013. The convertible notes are presented at their carrying value, with fair value disclosures made in Note 5. As a basis for considering fair value, we follow a three-tier value hierarchy, which prioritizes the inputs used in measuring fair value as follows: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III: unobservable inputs in which there is little or no market data, which requires us to develop our own assumptions.</w:t>
      </w:r>
    </w:p>
    <w:p>
      <w:pPr>
        <w:spacing w:after="0" w:line="17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This hierarchy requires us to use observable market data, when available, and to minimize the use of unobservable inputs when determining fair value. Our cash equivalents, which include money market funds, are classified as Level I because they are valued using quoted market prices. Our investments and convertible notes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9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primarily in securities issued by the U.S. government. The goals of our investment policy, in order of priority, are as follows: preservation of capital, meet liquidity needs, and optimize returns.</w:t>
      </w:r>
    </w:p>
    <w:p>
      <w:pPr>
        <w:spacing w:after="0" w:line="13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generally do not require collateral to support credit sales. To reduce credit risk, we perform credit evaluations of our customers. No single customer represented more than 10% of total revenue for 2014, 2013, or 2012, and no single customer represented more than 10% of total accounts receivable at December 31, 2014, or 2013.</w:t>
      </w:r>
    </w:p>
    <w:p>
      <w:pPr>
        <w:spacing w:after="0" w:line="12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Our products include components that are currently procured from a single source or a limited number of sources. We believe that other vendors would be able to provide similar components; however, the qualification of such vendors may require start-up time. In order to mitigate any adverse impacts from a disruption of supply, we attempt to maintain an adequate supply of critical limited-source components.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Inventories are stated at the lower of cost (on a first-in, first-out basis) or market. Inventories include raw materials, work-in-process, and finished goods. Inventory costs include direct materials, direct labor, and normal manufacturing overhead. Finished goods that are used for research and development are expensed as consumed or depreciated over period of use. Provisions for slow-moving, excess, and obsolete inventories are recorded when required to reduce inventory values to their estimated net realizable values based on product life cycle, development plans, product expiration, and quality issues.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4" w:lineRule="exact"/>
        <w:rPr>
          <w:sz w:val="20"/>
          <w:szCs w:val="20"/>
          <w:color w:val="auto"/>
        </w:rPr>
      </w:pPr>
    </w:p>
    <w:p>
      <w:pPr>
        <w:jc w:val="both"/>
        <w:ind w:right="260" w:firstLine="432"/>
        <w:spacing w:after="0" w:line="312" w:lineRule="auto"/>
        <w:rPr>
          <w:sz w:val="20"/>
          <w:szCs w:val="20"/>
          <w:color w:val="auto"/>
        </w:rPr>
      </w:pPr>
      <w:r>
        <w:rPr>
          <w:rFonts w:ascii="Arial" w:cs="Arial" w:eastAsia="Arial" w:hAnsi="Arial"/>
          <w:sz w:val="16"/>
          <w:szCs w:val="16"/>
          <w:color w:val="auto"/>
        </w:rPr>
        <w:t>Property and equipment, including leasehold improvements, are stated at cost less accumulated depreciation. Accumulated depreciation is calculated using the straight-line method over the estimated useful lives of the assets, which range from three to seven years. Leasehold improvements are amortized using the straight-line method over the estimated useful lives of the assets or the remaining term of the lease, whichever is shorter.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2014</w:t>
      </w:r>
    </w:p>
    <w:p>
      <w:pPr>
        <w:spacing w:after="0" w:line="40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evaluate our long-lived assets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long-lived assets for any of the periods presented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9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At December 31, 2012, we had a minority equity investment in Verinata Health, Inc. (Verinata), a privately-held company, that was included in other non-current assets and accounted for under the cost method of accounting. In February 2013, Illumina, Inc. acquired Verinata for $350 million in cash and up to an additional $100 million in milestone payments through 2015. In March 2013, we received cash proceeds of $3.1 million in exchange for our ownership interest in Verinata resulting in a gain of $1.8 million. During 2014, we received cash proceeds of $0.3 million from the escrow account related to our investment in Verinata. We recorded the proceeds as "Gain from sale of investment in Verinata" in the consolidated statements of operations for the years ended December 31, 2014 and 2013. If the milestone payments become payable in the future, we could receive up to $3.2 million in additional proceeds.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94"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In connection with the acquisition of DVS in February 2014, we acquired developed technology with a gross fair value of $112 million. These acquired intangible assets from DVS are being amortized to cost of product revenue over their useful life of ten years. Related amortization expense for the year ended December 31, 2014 was $9.8 million. For further discussion related to intangible assets acquired in 2014 from the DVS acquisition, see Note 4.</w:t>
      </w:r>
    </w:p>
    <w:p>
      <w:pPr>
        <w:spacing w:after="0" w:line="12"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On June 28, 2013, we acquired certain patents, patent applications, and licenses from Helicos Biosciences Corporation (Helicos) relating to Helicos’ next-generation sequencing technology. The rights acquired by us are subject to certain licenses and sublicenses granted by Helicos prior to or contemporaneously with our acquisition. The assets were acquired for $1.0 million and we incurred transaction costs of approximately $0.3 million. The patents, patent applications, and licenses have an alternative future use and, as a result, the acquired assets and transaction costs are capitalized as intangible assets and are included in other non-current assets. The acquired assets from Helicos are being amortized to research and development expense over their useful life of ten years. Related amortization expense for the years ended December 31, 2014 and 2013 was $127,000 and $63,000, respectively.</w:t>
      </w:r>
    </w:p>
    <w:p>
      <w:pPr>
        <w:spacing w:after="0" w:line="3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We evaluate our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on intangible assets for any of the periods presented herein.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generally provide a one-year warranty on our instruments. We review our exposure to estimated warranty expense associated with instrument sales and establish an accrual based on historical product failure rates and actual warranty costs incurred. This expense is recorded as a component of cost of product revenue in the consolidated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We generate revenue from sales of our products, license agreements, and government grants. Our products consist of instruments and consumables, including IFCs, assays, and other reagents, related to our systems. Product revenue includes services for instrument installation, training, and customer support services.</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recognize revenue when persuasive evidence of an arrangement exists, delivery has occurred or services have been rendered, the price to the customer is fixed or determinable, and collectability is reasonably assured. We assess collectability based on factors such as the customer’s creditworthiness and past collection history, if applicable. If collection is not reasonably assured, revenue recognition is deferred until receipt of payment. We also assess whether a price is fixed or determinable by, among other things, reviewing contractual terms and conditions related to payment. Delivery occurs when there is a transfer of title and risk of loss passes to the customer.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2014</w:t>
      </w: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Certain of our sales contracts involve the delivery of multiple products and services within contractually binding arrangements. Multiple-deliverable sales transactions typically consist of the sale and delivery of one or more instruments and consumables together with one or more of our installation, training and/or customer support services. Significant judgment is sometimes required to determine the 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w:t>
      </w:r>
    </w:p>
    <w:p>
      <w:pPr>
        <w:spacing w:after="0" w:line="139" w:lineRule="exact"/>
        <w:rPr>
          <w:sz w:val="20"/>
          <w:szCs w:val="20"/>
          <w:color w:val="auto"/>
        </w:rPr>
      </w:pPr>
    </w:p>
    <w:p>
      <w:pPr>
        <w:ind w:right="180" w:firstLine="432"/>
        <w:spacing w:after="0" w:line="258" w:lineRule="auto"/>
        <w:rPr>
          <w:sz w:val="20"/>
          <w:szCs w:val="20"/>
          <w:color w:val="auto"/>
        </w:rPr>
      </w:pPr>
      <w:r>
        <w:rPr>
          <w:rFonts w:ascii="Arial" w:cs="Arial" w:eastAsia="Arial" w:hAnsi="Arial"/>
          <w:sz w:val="18"/>
          <w:szCs w:val="18"/>
          <w:color w:val="auto"/>
        </w:rPr>
        <w:t>For sales contracts that include multiple deliverables, we allocate the contract consideration at the inception of the contract to each unit of accounting based upon its relative selling price. We may use our best estimate of selling price for</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individual deliverables when vendor specific objective evidence or third-party evidence is unavailable. A delivered item is considered to be a separate unit of accounting when it has value to the customer on a stand-alone basis.</w:t>
      </w:r>
    </w:p>
    <w:p>
      <w:pPr>
        <w:spacing w:after="0" w:line="13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products, other than service contracts, are delivered within a short time frame, generally within one to three months, of the contract date. Service contracts are entered into for terms of one to three years, following the expiration of the warranty period.</w:t>
      </w:r>
    </w:p>
    <w:p>
      <w:pPr>
        <w:spacing w:after="0" w:line="11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Our products are sold without the right of return. Amounts received before revenue recognition criteria are met are classified in the consolidated balance sheets as deferred revenue or customer deposits, depending on the terms of the arrangement.</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License and royalty revenue from license agreements is recognized when received, which is generally in the quarter following the quarter in which the corresponding sales occur.</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receive grants from various governmental entities for research and related activities. Grants provide us with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we have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Shipping and handling costs incurred for product shipments are included within cost of product revenue in the consolidated statements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We recognize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9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expense advertising costs as incurred. We incurred advertising costs of $4.2 million, $2.4 million, and $1.3 million during 2014, 2013, and 2012,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use the asset and liability method to account for income taxes.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Valuation allowances are provided when the expected realization of deferred tax assets does not meet a “more likely than not” criterion. We make estimates and judgments about our future taxable income that are based on assumptions that are consistent with our plans and estimates. Should the actual amounts differ from our estimates, the amount of our valuation allowance could</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125"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 materially impacted. Changes in these estimates may result in significant increases or decreases to our tax provision in a period in which such estimates are changed, which in turn would affect net income or loss.</w:t>
      </w:r>
    </w:p>
    <w:p>
      <w:pPr>
        <w:spacing w:after="0" w:line="116"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account for stock options and restricted stock units granted to employees and directors based on the fair value of the awards. We recognize stock-based compensation expense on a straight-line basis over the requisite service periods. For performance-based stock options, we recognize stock-based compensation expense over the requisite service period using the accelerated attribution method.</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Comprehensive Loss</w:t>
      </w:r>
    </w:p>
    <w:p>
      <w:pPr>
        <w:spacing w:after="0" w:line="10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Comprehensive loss is comprised of net loss and other comprehensive income (loss). Other comprehensive income (loss) consists of unrealized gains and losses on our investments and foreign currency translation adjustments. Total comprehensive loss for all periods presented has been disclosed in the consolidated statements of comprehensive loss.</w:t>
      </w:r>
    </w:p>
    <w:p>
      <w:pPr>
        <w:spacing w:after="0" w:line="181"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years ended December 31, 2014, 2013, and 2012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Foreign currency</w:t>
            </w:r>
          </w:p>
        </w:tc>
        <w:tc>
          <w:tcPr>
            <w:tcW w:w="250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Unrealized gain (loss) on investments</w:t>
            </w:r>
          </w:p>
        </w:tc>
        <w:tc>
          <w:tcPr>
            <w:tcW w:w="120" w:type="dxa"/>
            <w:vAlign w:val="bottom"/>
          </w:tcPr>
          <w:p>
            <w:pPr>
              <w:spacing w:after="0"/>
              <w:rPr>
                <w:sz w:val="14"/>
                <w:szCs w:val="14"/>
                <w:color w:val="auto"/>
              </w:rPr>
            </w:pPr>
          </w:p>
        </w:tc>
        <w:tc>
          <w:tcPr>
            <w:tcW w:w="238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Accumulated Other Comprehensive</w:t>
            </w:r>
          </w:p>
        </w:tc>
      </w:tr>
      <w:tr>
        <w:trPr>
          <w:trHeight w:val="186"/>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translation adjustment</w:t>
            </w: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jc w:val="right"/>
              <w:ind w:right="735"/>
              <w:spacing w:after="0"/>
              <w:rPr>
                <w:sz w:val="20"/>
                <w:szCs w:val="20"/>
                <w:color w:val="auto"/>
              </w:rPr>
            </w:pPr>
            <w:r>
              <w:rPr>
                <w:rFonts w:ascii="Arial" w:cs="Arial" w:eastAsia="Arial" w:hAnsi="Arial"/>
                <w:sz w:val="14"/>
                <w:szCs w:val="14"/>
                <w:b w:val="1"/>
                <w:bCs w:val="1"/>
                <w:color w:val="auto"/>
              </w:rPr>
              <w:t>Income (Loss)</w:t>
            </w:r>
          </w:p>
        </w:tc>
      </w:tr>
      <w:tr>
        <w:trPr>
          <w:trHeight w:val="161"/>
        </w:trPr>
        <w:tc>
          <w:tcPr>
            <w:tcW w:w="40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Change during the year</w:t>
            </w:r>
          </w:p>
        </w:tc>
        <w:tc>
          <w:tcPr>
            <w:tcW w:w="14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right"/>
              <w:ind w:right="35"/>
              <w:spacing w:after="0"/>
              <w:rPr>
                <w:sz w:val="20"/>
                <w:szCs w:val="20"/>
                <w:color w:val="auto"/>
              </w:rPr>
            </w:pPr>
            <w:r>
              <w:rPr>
                <w:rFonts w:ascii="Arial" w:cs="Arial" w:eastAsia="Arial" w:hAnsi="Arial"/>
                <w:sz w:val="18"/>
                <w:szCs w:val="18"/>
                <w:color w:val="auto"/>
              </w:rPr>
              <w:t>39</w:t>
            </w: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2013</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Change during the year</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 of the above amounts have been reclassified to the consolidated statement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Assets acquired and liabilities assumed as part of a business combination are generally recorded at their fair values at the date of acquisition. The excess of purchase price over the fair value of assets acquired and liabilities assumed is recorded as goodwill. Determining fair value of identifiable assets, particularly intangibles, and liabilities acquired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 See Note 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94"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values of the reporting unit exceed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1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We evaluate our finite lived intangible assets for indicators of possible impairment when events or changes in circumstances indicate that the carrying amount of an asset may not be recoverable. If any indicator of impairment exists, we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40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assess the recoverability of the affected intangible asset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our common stock are considered to be potentially dilutive common shares but have been excluded from the calculation of diluted net loss per share, as their effect is anti-dilutive for all periods presented.</w:t>
      </w:r>
    </w:p>
    <w:p>
      <w:pPr>
        <w:spacing w:after="0" w:line="12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0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6"/>
              </w:rPr>
              <w:t>At December 31,</w:t>
            </w:r>
          </w:p>
        </w:tc>
        <w:tc>
          <w:tcPr>
            <w:tcW w:w="600" w:type="dxa"/>
            <w:vAlign w:val="bottom"/>
            <w:tcBorders>
              <w:bottom w:val="single" w:sz="8" w:color="auto"/>
            </w:tcBorders>
          </w:tcPr>
          <w:p>
            <w:pPr>
              <w:spacing w:after="0"/>
              <w:rPr>
                <w:sz w:val="16"/>
                <w:szCs w:val="16"/>
                <w:color w:val="auto"/>
              </w:rPr>
            </w:pPr>
          </w:p>
        </w:tc>
      </w:tr>
      <w:tr>
        <w:trPr>
          <w:trHeight w:val="264"/>
        </w:trPr>
        <w:tc>
          <w:tcPr>
            <w:tcW w:w="90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units and restricted stock awards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8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2,945</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640" w:type="dxa"/>
            <w:vAlign w:val="bottom"/>
          </w:tcPr>
          <w:p>
            <w:pPr>
              <w:jc w:val="right"/>
              <w:spacing w:after="0"/>
              <w:rPr>
                <w:sz w:val="20"/>
                <w:szCs w:val="20"/>
                <w:color w:val="auto"/>
              </w:rPr>
            </w:pPr>
            <w:r>
              <w:rPr>
                <w:rFonts w:ascii="Arial" w:cs="Arial" w:eastAsia="Arial" w:hAnsi="Arial"/>
                <w:sz w:val="18"/>
                <w:szCs w:val="18"/>
                <w:color w:val="auto"/>
              </w:rPr>
              <w:t>3,598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0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8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2,945</w:t>
            </w:r>
          </w:p>
        </w:tc>
      </w:tr>
      <w:tr>
        <w:trPr>
          <w:trHeight w:val="20"/>
        </w:trPr>
        <w:tc>
          <w:tcPr>
            <w:tcW w:w="9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60" w:firstLine="405"/>
        <w:spacing w:after="0" w:line="302" w:lineRule="auto"/>
        <w:rPr>
          <w:sz w:val="20"/>
          <w:szCs w:val="20"/>
          <w:color w:val="auto"/>
        </w:rPr>
      </w:pPr>
      <w:r>
        <w:rPr>
          <w:rFonts w:ascii="Arial" w:cs="Arial" w:eastAsia="Arial" w:hAnsi="Arial"/>
          <w:sz w:val="16"/>
          <w:szCs w:val="16"/>
          <w:color w:val="auto"/>
        </w:rPr>
        <w:t>In May 2014, the FASB issued Accounting Standards Update No. 2014-09, Revenue from Contracts with Customers (Topic 606). This guidance, which was issued jointly with the International Accounting Standards Board, is intended to improve the financial reporting of revenue and improve comparability of reported revenue in financial statements globally. It will be effective for our interim and annual financial statements beginning in the first quarter of 2017 and early adoption is not permitted. We are currently evaluating the impact of adoption of this new accounting pronouncement on our financial statements.</w:t>
      </w:r>
    </w:p>
    <w:p>
      <w:pPr>
        <w:spacing w:after="0" w:line="154"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In August 2014, the FASB issued Accounting Standard Update No. 2014-15, Disclosure of Uncertainties about an Entity's Ability to Continue as a Going Concern, which requires an entity to evaluate whether conditions or events, in the aggregate, raise substantial doubt about the entity's ability to continue as a going concern for one year from the date the financial statements are issued or are available to be issued. The guidance will be effective for us beginning with our annual report for fiscal 2016 and interim periods thereafter. We are currently evaluating the impact that ASU 2014-15 will have on our financial statements.</w:t>
      </w:r>
    </w:p>
    <w:p>
      <w:pPr>
        <w:spacing w:after="0" w:line="130" w:lineRule="exact"/>
        <w:rPr>
          <w:sz w:val="20"/>
          <w:szCs w:val="20"/>
          <w:color w:val="auto"/>
        </w:rPr>
      </w:pPr>
    </w:p>
    <w:p>
      <w:pPr>
        <w:ind w:right="8840" w:firstLine="8"/>
        <w:spacing w:after="0" w:line="443" w:lineRule="auto"/>
        <w:tabs>
          <w:tab w:leader="none" w:pos="18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License and Grant Agreements License Agreements</w:t>
      </w:r>
    </w:p>
    <w:p>
      <w:pPr>
        <w:ind w:firstLine="405"/>
        <w:spacing w:after="0" w:line="269" w:lineRule="auto"/>
        <w:rPr>
          <w:sz w:val="20"/>
          <w:szCs w:val="20"/>
          <w:color w:val="auto"/>
        </w:rPr>
      </w:pPr>
      <w:r>
        <w:rPr>
          <w:rFonts w:ascii="Arial" w:cs="Arial" w:eastAsia="Arial" w:hAnsi="Arial"/>
          <w:sz w:val="17"/>
          <w:szCs w:val="17"/>
          <w:color w:val="auto"/>
        </w:rPr>
        <w:t>On June 30, 2011, we settled certain litigation and entered into a series of patent license agreements with Life Technologies Corporation (now part of Thermo Fisher Scientific) and its subsidiary, Applied Biosystems, LLC (collectively, Life). The agreements resulted in a net $3.0 million payment by us to Life, which was recognized as a litigation settlement expense. The agreements also provide for various royalty payments on future sales of certain products by each of the parties. Such royalty payments or receipts have not been and are not expected to be material to us. Under the terms of the agreements, in July 2011, we paid Life $2.0 million in connection with the exercise of our option to limit or preclude certain patent litigation between us and Life for a period of two to four years. As a result, subject to certain exceptions, Life may not initiate litigation under its patents existing as of June 30, 2011 against us, with respect to its current products and equivalent future products, for a period of four years. The additional payment was included in other assets and is being amortized to selling, general and administrative expense over four years on a straight-line basis beginning in July 2011. The additional payment is being amortized to selling, general and administrative expense because it precludes Life from initiating litigation for a period of four years under its relevant patents for any alleged prior and future infringement by us, and because such preclusion relates to our equivalent future products. We recognized $0.5 million of amortization expense during each of 2014, 2013, and 2012.</w:t>
      </w:r>
    </w:p>
    <w:p>
      <w:pPr>
        <w:spacing w:after="0" w:line="12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May 2011, we entered into an agreement with Caliper Life Sciences, Inc., which subsequently became a PerkinElmer company (Caliper), to license Caliper’s existing patent portfolio in certain fields, including non-invasive prenatal diagnostics, and obtained an option to extend this license to cover additional fields. Additional payments are due if we exercise our option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2014</w:t>
      </w:r>
    </w:p>
    <w:p>
      <w:pPr>
        <w:spacing w:after="0" w:line="40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extend the license. Under this agreement, we made an up-front payment of $0.6 million and our obligation to pay royalties to Caliper commenced in January 2012. In August 2011, we entered into an amendment to the agreement with Caliper and made an additional up-front payment of $0.5 million. Pursuant to the amendment, the rates for royalties payable to Caliper were substantially reduced and the period for which we are obligated to make royalty payments was shortened, with the last payment due in mid-2018 for our existing products at the time of amendment and their future equivalents. If any of our future products are determined to infringe Caliper’s patents, the same reduced royalty rates will apply until the respective patents expire. The aggregate $1.1 million of payments to Caliper are being amortized to cost of product revenue on a straight-line basis through July 2018, when our royalty payment obligations are expected to terminate based upon our current products. We recognized $0.3 million in cost of product revenue during each of 2014, 2013, and 2012. Our future royalty payments are not expected to be material.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California Institute for Regenerative Medicine</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May 2011, we were awarded a grant from the California Institute for Regenerative Medicine (CIRM) in the amount of $1.9 million to be earned over a three-year period. Under this grant, we designed and developed prototype microfluidic systems for use in stem cell research. The CIRM grant revenue is recognized as the related research and development services are performed and costs associated with this grant were recognized as research and development expense during the period incurred. We recognized $0.2 million of CIRM grant revenue in 2014 and $0.6 million during each of 2013 and 2012. This grant terminated in April 2014.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February 13, 2014 (Acquisition Date), we acquired DVS primarily to broaden our addressable single-cell biology market opportunity and complement our existing product offerings. DVS develops, manufactures, markets, and sells high-parameter single-cell protein analysis systems and related reagents and data analysis tools. DVS’s principal market is the life sciences research market consisting of drug development companies, government research centers, and universities worldwide.</w:t>
      </w:r>
    </w:p>
    <w:p>
      <w:pPr>
        <w:spacing w:after="0" w:line="79"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contractual price for the acquisition was $207.5 million, subject to certain adjustments as specified in the merger agreement. The aggregate purchase price was determined to be $199.9 million, as detailed in the table below (in thousands):</w:t>
      </w:r>
    </w:p>
    <w:p>
      <w:pPr>
        <w:spacing w:after="0" w:line="112"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Estimated Fair Value</w:t>
            </w:r>
          </w:p>
        </w:tc>
      </w:tr>
      <w:tr>
        <w:trPr>
          <w:trHeight w:val="27"/>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126,048</w:t>
            </w:r>
          </w:p>
        </w:tc>
      </w:tr>
      <w:tr>
        <w:trPr>
          <w:trHeight w:val="270"/>
        </w:trPr>
        <w:tc>
          <w:tcPr>
            <w:tcW w:w="77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Issued 1,759,007 shares of Fluidigm common stock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76,805</w:t>
            </w: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consideration paid at Acquisition Date</w:t>
            </w:r>
          </w:p>
        </w:tc>
        <w:tc>
          <w:tcPr>
            <w:tcW w:w="2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202,853</w:t>
            </w:r>
          </w:p>
        </w:tc>
      </w:tr>
      <w:tr>
        <w:trPr>
          <w:trHeight w:val="270"/>
        </w:trPr>
        <w:tc>
          <w:tcPr>
            <w:tcW w:w="77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Accelerated stock compensation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(6,690)</w:t>
            </w:r>
          </w:p>
        </w:tc>
      </w:tr>
      <w:tr>
        <w:trPr>
          <w:trHeight w:val="270"/>
        </w:trPr>
        <w:tc>
          <w:tcPr>
            <w:tcW w:w="77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Estimated fair value of vested Fluidigm equivalent stock options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Working capital adjustment</w:t>
            </w:r>
          </w:p>
        </w:tc>
        <w:tc>
          <w:tcPr>
            <w:tcW w:w="26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57"/>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Aggregate purchase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80" w:hanging="328"/>
        <w:spacing w:after="0" w:line="271"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a part of the acquisition, we accelerated vesting of certain DVS stock options and shares of restricted stock, and incurred a $6.7 million expense, based upon the per share consideration paid to holders of shares of DVS common stock as of February 13, 2014. This expense is accounted for as a separate transaction and reflected in the acquisition-related expenses line of the consolidated statements of operations.</w:t>
      </w:r>
    </w:p>
    <w:p>
      <w:pPr>
        <w:ind w:left="660" w:hanging="328"/>
        <w:spacing w:after="0" w:line="287"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conjunction with the acquisition, we assumed all outstanding DVS stock options and unvested shares of restricted stock and converted, as of the Acquisition Date, the unvested stock options outstanding under the DVS stock option plan into unvested stock options to purchase approximately 143,000 shares of Fluidigm common stock and the unvested DVS restricted stock into approximately 186,000 shares of restricted Fluidigm common stock, retaining the original vesting schedules. These restricted shares have been included in the "Issuance of common stock upon purchase of DVS" line item in the Consolidated Statement of Stockholders' Equity. The fair value of all converted share-based awards was $14.6 million, of which $4.0 million was attributed to the pre-combination service period and was included in the calculation of the purchase price. The remaining fair value will be recognized over the awards’ remaining vesting periods subsequent to the acquisition. The fair value of the Fluidigm equivalent share-based awards as of the Acquisition Date was estimated using the Black-Scholes valuation model.</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5"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Approximately 885,000 shares of Fluidigm common stock, with a fair value of $38.6 million, representing 50.3030% of the shares otherwise payable to the former stockholders of DVS, were deposited into escrow. These shares comprise a portion of the merger consideration and will be held in escrow to secure indemnification obligations under the merger agreement, if any, for a period of 13 to 18 months following the Acquisition Date, subject to any then pending indemnification claims. Under the terms of the merger agreement, fifty percent (50.0%) of the aggregate shares subject to the indemnification escrow are eligible for release on March 13, 2015, and the balance of the shares are subject to release on August 13, 2015, provided that in each case shares will continue to be held in escrow in amounts that we may reasonably determine in good faith to be necessary to satisfy any claims for which we have delivered a notice of claim which has not been fully resolved between us and the representative of the former stockholders of DVS. As of the filing of our Annual Report on Form 10-K, we have not made a determination with respect to the amount of any claims for which we may deliver notice under the terms of the merger agreement. If and when we deliver such a notice, the stockholder representative may object to the amount or nature of our claims. As a result, we are unable at this time to estimate the amount, if any, of shares that we may recover from the escrow.</w:t>
      </w:r>
    </w:p>
    <w:p>
      <w:pPr>
        <w:spacing w:after="0" w:line="6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results of DVS's operations have been included in the consolidated financial statements for the period from February 13, 2014 to December 31, 2014, including $20.7 million in revenue for the year ended December 31,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Acquired</w:t>
      </w:r>
    </w:p>
    <w:p>
      <w:pPr>
        <w:spacing w:after="0" w:line="121"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that assets acquired and liabilities assumed be recognized at their fair values as of the Acquisition Date. The following table summarizes the assets acquired and liabilities assumed as of the Acquisition Date (in thousands):</w:t>
      </w:r>
    </w:p>
    <w:p>
      <w:pPr>
        <w:spacing w:after="0" w:line="123"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Allocation of purchase price</w:t>
            </w:r>
          </w:p>
        </w:tc>
      </w:tr>
      <w:tr>
        <w:trPr>
          <w:trHeight w:val="27"/>
        </w:trPr>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8,405</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7,698</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1,482</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112,000</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104,108</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238,472</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Tax payable</w:t>
            </w:r>
          </w:p>
        </w:tc>
        <w:tc>
          <w:tcPr>
            <w:tcW w:w="14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(31,942)</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
        </w:trPr>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57"/>
        </w:trPr>
        <w:tc>
          <w:tcPr>
            <w:tcW w:w="7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provides details of intangible assets acquired in connection with the DVS acquisition as of December 31, 2014 (in thousands, except years):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fair value</w:t>
            </w:r>
          </w:p>
        </w:tc>
        <w:tc>
          <w:tcPr>
            <w:tcW w:w="22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Useful life in</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50"/>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6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102,200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4960" w:type="dxa"/>
            <w:vAlign w:val="bottom"/>
          </w:tcPr>
          <w:p>
            <w:pPr>
              <w:spacing w:after="0"/>
              <w:rPr>
                <w:sz w:val="24"/>
                <w:szCs w:val="24"/>
                <w:color w:val="auto"/>
              </w:rPr>
            </w:pP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71</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recognized $9.8 million in intangible asset amortization expense during the year ended December 31, 2014.</w:t>
      </w:r>
    </w:p>
    <w:p>
      <w:pPr>
        <w:spacing w:after="0" w:line="22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$104.2 million of goodwill recognized as part of the transaction is attributable primarily to expected synergies and other benefits from the acquisition, including expansion of our addressable market from the single-cell genomics market to the larger single-cell biology market and the ability to leverage our larger global commercial sales organization and infrastructure to expand awareness of DVS's products and technology. Goodwill is not expected to be deductible for income tax purposes. The only change to goodwill between the Acquisition Date and December 31, 2014 was an adjustment of $0.1 million to the deferred taxes liability resulting from the final tax analysis during the measurement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Costs</w:t>
      </w:r>
    </w:p>
    <w:p>
      <w:pPr>
        <w:spacing w:after="0" w:line="17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Acquisition-related expenses were $10.7 million for the year ended December 31, 2014 and primarily included accelerated vesting of certain DVS restricted stock and options, and consulting, legal, and investment banking fees. These costs are included within the acquisition-related expenses line of the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Results</w:t>
      </w:r>
    </w:p>
    <w:p>
      <w:pPr>
        <w:spacing w:after="0" w:line="229"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The unaudited financial information in the table below summarizes our results of operations combined with DVS's as though the companies were combined as of the beginning of each of the years presented. The unaudited pro forma information does not necessarily reflect the actual results of operations had the acquisition been consummated at the beginning of the fiscal reporting periods indicated nor is it indicative of future operating results.</w:t>
      </w:r>
    </w:p>
    <w:p>
      <w:pPr>
        <w:spacing w:after="0" w:line="309"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43"/>
        </w:trPr>
        <w:tc>
          <w:tcPr>
            <w:tcW w:w="8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43"/>
        </w:trPr>
        <w:tc>
          <w:tcPr>
            <w:tcW w:w="85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total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98,459</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Pro forma 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(55,249)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(37,906)</w:t>
            </w:r>
          </w:p>
        </w:tc>
      </w:tr>
    </w:tbl>
    <w:p>
      <w:pPr>
        <w:spacing w:after="0" w:line="229"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The unaudited pro forma financial information for the year ended December 31, 2014 includes adjustments related to stock-based compensation, amortization of developed technology, interest expense, and deferred tax liability of $1.4 million, $1.4 million, $1.0 million, and $371,000, respectively, and includes non-recurring adjustments representing the total acquisition-related expenses discussed above. The unaudited pro forma financial information for the year ended December 31, 2013 includes adjustments related to stock-based compensation, amortization of developed technology, interest expense, and deferred tax liability of $9.2 million, $11.2 million, $5.8 million, and $3.0 million,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financial instruments that were measured at fair value by level within the fair value hierarchy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2013</w:t>
            </w:r>
          </w:p>
        </w:tc>
        <w:tc>
          <w:tcPr>
            <w:tcW w:w="80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w:t>
            </w:r>
          </w:p>
        </w:tc>
        <w:tc>
          <w:tcPr>
            <w:tcW w:w="220" w:type="dxa"/>
            <w:vAlign w:val="bottom"/>
          </w:tcPr>
          <w:p>
            <w:pPr>
              <w:spacing w:after="0"/>
              <w:rPr>
                <w:sz w:val="22"/>
                <w:szCs w:val="22"/>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II</w:t>
            </w:r>
          </w:p>
        </w:tc>
        <w:tc>
          <w:tcPr>
            <w:tcW w:w="16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III</w:t>
            </w:r>
          </w:p>
        </w:tc>
        <w:tc>
          <w:tcPr>
            <w:tcW w:w="22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w:t>
            </w:r>
          </w:p>
        </w:tc>
        <w:tc>
          <w:tcPr>
            <w:tcW w:w="1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II</w:t>
            </w:r>
          </w:p>
        </w:tc>
        <w:tc>
          <w:tcPr>
            <w:tcW w:w="12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III</w:t>
            </w: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Money market funds (See Note 6)</w:t>
            </w: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17,547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w w:val="96"/>
              </w:rPr>
              <w:t>$ 17,547</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U.S. government and agency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109,087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109,087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51,025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51,025</w:t>
            </w: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109,087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119,307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17,547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51,025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6"/>
              </w:rPr>
              <w:t>$ 68,572</w:t>
            </w:r>
          </w:p>
        </w:tc>
      </w:tr>
      <w:tr>
        <w:trPr>
          <w:trHeight w:val="27"/>
        </w:trPr>
        <w:tc>
          <w:tcPr>
            <w:tcW w:w="3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As of December 31, 2014, the amortized cost basis, aggregate fair value, and gross unrealized gains and losses of our investments were as follows (in thousands):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0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6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10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w w:val="99"/>
              </w:rPr>
              <w:t>$   109,136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0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w w:val="99"/>
              </w:rPr>
              <w:t>$   109,087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As of December 31, 2013, the amortized cost basis, aggregate fair value, and gross unrealized gains and losses of our investments were as follows (in thousands):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51,012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51,025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The contractual maturity periods of $81.6 million of our investments are within one year from December 31, 2014. The contractual maturity periods of our remaining securities are less than eighteen months from December 31, 2014.</w:t>
      </w:r>
    </w:p>
    <w:p>
      <w:pPr>
        <w:spacing w:after="0" w:line="3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There were no transfers between Level 1 and Level 2 measurements during the year ended December 31, 2014, and there were no changes in the valuation techniques used.</w:t>
      </w:r>
    </w:p>
    <w:p>
      <w:pPr>
        <w:spacing w:after="0" w:line="116"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Based on an evaluation of securities that were in a loss position, we did not recognize any other-than-temporary impairment charges for the years ended December 31, 2014, 2013, and 2012. None of the investments have been in a continuous loss position for more than 12 months. Our conclusion that these losses are not “other-than-temporary” is based on the high credit quality of the securities, their short remaining maturity periods, and our intent and ability to hold such securities until the date of recovery of their respective market values or maturity.</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estimated fair value of the 2.75% Convertible Senior Notes Due 2034, (Notes), is based on a market approach. The estimated fair value was approximately $182.2 million (par value $201.3 million) as of December 31, 2014 and represents a Level II valuation. When determining the estimated fair value of our long-term debt, we used a commonly accepted valuation methodology and market-based risk measurements that are indirectly observable, such as credit risk.</w:t>
      </w:r>
    </w:p>
    <w:p>
      <w:pPr>
        <w:spacing w:after="0" w:line="264" w:lineRule="exact"/>
        <w:rPr>
          <w:sz w:val="20"/>
          <w:szCs w:val="20"/>
          <w:color w:val="auto"/>
        </w:rPr>
      </w:pPr>
    </w:p>
    <w:p>
      <w:pPr>
        <w:ind w:right="9280" w:firstLine="8"/>
        <w:spacing w:after="0" w:line="390" w:lineRule="auto"/>
        <w:tabs>
          <w:tab w:leader="none" w:pos="18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Data Cash and Cash Equivalents</w:t>
      </w: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The following are summaries of cash and cash equivalents (in thousands):</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Amortized Cost</w:t>
            </w:r>
          </w:p>
        </w:tc>
      </w:tr>
      <w:tr>
        <w:trPr>
          <w:trHeight w:val="149"/>
        </w:trPr>
        <w:tc>
          <w:tcPr>
            <w:tcW w:w="9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8"/>
              </w:rPr>
              <w:t>and</w:t>
            </w:r>
          </w:p>
        </w:tc>
      </w:tr>
      <w:tr>
        <w:trPr>
          <w:trHeight w:val="149"/>
        </w:trPr>
        <w:tc>
          <w:tcPr>
            <w:tcW w:w="9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7"/>
              </w:rPr>
              <w:t>Estimated Fair</w:t>
            </w:r>
          </w:p>
        </w:tc>
      </w:tr>
      <w:tr>
        <w:trPr>
          <w:trHeight w:val="192"/>
        </w:trPr>
        <w:tc>
          <w:tcPr>
            <w:tcW w:w="9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2014:</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23,493</w:t>
            </w:r>
          </w:p>
        </w:tc>
      </w:tr>
      <w:tr>
        <w:trPr>
          <w:trHeight w:val="27"/>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10,220</w:t>
            </w:r>
          </w:p>
        </w:tc>
      </w:tr>
      <w:tr>
        <w:trPr>
          <w:trHeight w:val="237"/>
        </w:trPr>
        <w:tc>
          <w:tcPr>
            <w:tcW w:w="99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33,713</w:t>
            </w:r>
          </w:p>
        </w:tc>
      </w:tr>
      <w:tr>
        <w:trPr>
          <w:trHeight w:val="67"/>
        </w:trPr>
        <w:tc>
          <w:tcPr>
            <w:tcW w:w="99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99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As of December 31, 2013:</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17,714</w:t>
            </w:r>
          </w:p>
        </w:tc>
      </w:tr>
      <w:tr>
        <w:trPr>
          <w:trHeight w:val="27"/>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17,547</w:t>
            </w:r>
          </w:p>
        </w:tc>
      </w:tr>
      <w:tr>
        <w:trPr>
          <w:trHeight w:val="237"/>
        </w:trPr>
        <w:tc>
          <w:tcPr>
            <w:tcW w:w="99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35,261</w:t>
            </w:r>
          </w:p>
        </w:tc>
      </w:tr>
      <w:tr>
        <w:trPr>
          <w:trHeight w:val="27"/>
        </w:trPr>
        <w:tc>
          <w:tcPr>
            <w:tcW w:w="9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125" w:right="25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 as of:</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8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20"/>
                <w:szCs w:val="20"/>
                <w:color w:val="auto"/>
              </w:rPr>
              <w:t>4,670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78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20"/>
                <w:szCs w:val="20"/>
                <w:color w:val="auto"/>
              </w:rPr>
              <w:t>3,524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20"/>
                <w:szCs w:val="20"/>
                <w:color w:val="auto"/>
              </w:rPr>
              <w:t>7,797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gridSpan w:val="2"/>
          </w:tcPr>
          <w:p>
            <w:pPr>
              <w:ind w:left="20"/>
              <w:spacing w:after="0"/>
              <w:rPr>
                <w:sz w:val="20"/>
                <w:szCs w:val="20"/>
                <w:color w:val="auto"/>
              </w:rPr>
            </w:pPr>
            <w:r>
              <w:rPr>
                <w:rFonts w:ascii="Arial" w:cs="Arial" w:eastAsia="Arial" w:hAnsi="Arial"/>
                <w:sz w:val="18"/>
                <w:szCs w:val="18"/>
                <w:color w:val="auto"/>
              </w:rPr>
              <w:t>Total inventories, net</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15,991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7"/>
        </w:trPr>
        <w:tc>
          <w:tcPr>
            <w:tcW w:w="8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780" w:type="dxa"/>
            <w:vAlign w:val="bottom"/>
            <w:gridSpan w:val="2"/>
          </w:tcPr>
          <w:p>
            <w:pPr>
              <w:ind w:left="420"/>
              <w:spacing w:after="0"/>
              <w:rPr>
                <w:sz w:val="20"/>
                <w:szCs w:val="20"/>
                <w:color w:val="auto"/>
              </w:rPr>
            </w:pPr>
            <w:r>
              <w:rPr>
                <w:rFonts w:ascii="Arial" w:cs="Arial" w:eastAsia="Arial" w:hAnsi="Arial"/>
                <w:sz w:val="18"/>
                <w:szCs w:val="18"/>
                <w:color w:val="auto"/>
              </w:rPr>
              <w:t>Property and equipment consists of the following (in thousands) as of:</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2014</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gridSpan w:val="2"/>
          </w:tcPr>
          <w:p>
            <w:pPr>
              <w:ind w:left="20"/>
              <w:spacing w:after="0"/>
              <w:rPr>
                <w:sz w:val="20"/>
                <w:szCs w:val="20"/>
                <w:color w:val="auto"/>
              </w:rPr>
            </w:pPr>
            <w:r>
              <w:rPr>
                <w:rFonts w:ascii="Arial" w:cs="Arial" w:eastAsia="Arial" w:hAnsi="Arial"/>
                <w:sz w:val="18"/>
                <w:szCs w:val="18"/>
                <w:color w:val="auto"/>
              </w:rPr>
              <w:t>Laboratory and manufacturing equipment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17,592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gridSpan w:val="2"/>
          </w:tcPr>
          <w:p>
            <w:pPr>
              <w:ind w:left="20"/>
              <w:spacing w:after="0"/>
              <w:rPr>
                <w:sz w:val="20"/>
                <w:szCs w:val="20"/>
                <w:color w:val="auto"/>
              </w:rPr>
            </w:pPr>
            <w:r>
              <w:rPr>
                <w:rFonts w:ascii="Arial" w:cs="Arial" w:eastAsia="Arial" w:hAnsi="Arial"/>
                <w:sz w:val="18"/>
                <w:szCs w:val="18"/>
                <w:color w:val="auto"/>
              </w:rPr>
              <w:t>Office furniture and fixtures</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13,889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total intangible assets, which includes developed technology as a result of the DVS acquisition and other intangible assets included in Other non-current assets, was $104.1 million as of December 31, 2014.</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future amortization expense of these intangible assets as of December 31, 2014 is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2500" w:type="dxa"/>
            <w:vAlign w:val="bottom"/>
            <w:tcBorders>
              <w:bottom w:val="single" w:sz="8" w:color="CCEEFF"/>
            </w:tcBorders>
          </w:tcPr>
          <w:p>
            <w:pPr>
              <w:spacing w:after="0"/>
              <w:rPr>
                <w:sz w:val="16"/>
                <w:szCs w:val="16"/>
                <w:color w:val="auto"/>
              </w:rPr>
            </w:pPr>
          </w:p>
        </w:tc>
        <w:tc>
          <w:tcPr>
            <w:tcW w:w="4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5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11,747</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2016</w:t>
            </w:r>
          </w:p>
        </w:tc>
        <w:tc>
          <w:tcPr>
            <w:tcW w:w="4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11,496</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4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11,481</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2018</w:t>
            </w:r>
          </w:p>
        </w:tc>
        <w:tc>
          <w:tcPr>
            <w:tcW w:w="4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11,417</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46,654</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860" w:type="dxa"/>
            <w:vAlign w:val="bottom"/>
            <w:vMerge w:val="restart"/>
          </w:tcPr>
          <w:p>
            <w:pPr>
              <w:jc w:val="right"/>
              <w:ind w:right="287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50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Activity for our warranty accrual for the years ended December 31, 2014 and 2013, which are included in other accrued liabilities, is summarized below (in thousands):</w:t>
      </w:r>
    </w:p>
    <w:p>
      <w:pPr>
        <w:spacing w:after="0" w:line="189"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13335</wp:posOffset>
            </wp:positionV>
            <wp:extent cx="18008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68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257</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Acquired warranty obligation from DVS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Accrual for current period warranties</w:t>
            </w: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648</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7"/>
        </w:trPr>
        <w:tc>
          <w:tcPr>
            <w:tcW w:w="68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8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344</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Notes</w:t>
      </w:r>
    </w:p>
    <w:p>
      <w:pPr>
        <w:spacing w:after="0" w:line="22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(Notes) pursuant to an underwriting agreement, dated January 29, 2014.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 The initial conversion rate of the Notes is 17.8750 shares of our common stock, par value $0.001 per share, per $1,000 principal amount of Notes (which is equivalent to an initial conversion price of approximately $55.94 per share). The conversion rate will be subject to adjustment upon the occurrence of certain specified events. Holders may surrender their Notes for conversion at any time prior to the stated maturity date. On 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8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We received $195.2 million, net of underwriting discounts, from the issuance of the Notes and incurred approximately $1.1 million in offering-related expenses. The underwriting discount of $6.0 million was recorded as an offset to the proceeds. Debt issuance costs of $1.1 million are included in “Other assets” on the Consolidated Balance Sheets as of the issuance date.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used $113.2 million of the net proceeds to fund the cash portion of the consideration payable by us in connection with our acquisition of DVS (now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Fluidigm Sciences Inc.) (See Note 4). Interest expense related to the Notes was approximately $5.3 million for the year ended December 31, 2014.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$2.7 million of interest under the Notes was paid during 2014.</w:t>
      </w:r>
    </w:p>
    <w:p>
      <w:pPr>
        <w:spacing w:after="0" w:line="103"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The balance of unamortized debt discount and debt issuance costs was $6.8 million of which $5.8 million is included in "Convertible Notes" and $1.0 million is included within “Other non-current assets” as of December 31, 2014 on the accompanying Consolidated Balance Sheets.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 of Credit</w:t>
      </w:r>
    </w:p>
    <w:p>
      <w:pPr>
        <w:spacing w:after="0" w:line="229"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In December 2012, we entered into a two-year line of credit agreement (as amended, the Line of Credit) that provided us with the ability to borrow up to $10.0 million, of which $6.0 million was available on a non-formula basis, subject to certain covenants and other restrictions. The balance of $4.0 million was available based on eligible receivables. The line of credit was collateralized by our assets, excluding our intellectual property, and bore interest at a rate equal to the greater of (i) 3.75% or (ii) the prime rate plus 0.50% per year. On May 9, 2014, we entered into a modification agreement with the lender to amend and waive certain financial covenants under the financing agreement, effective as of March 31, 2014. On July 31, 2014, we entered into a modification agreement with the lender to amend and waive the financial covenant under the financing agreement regarding our effective tangible net worth amount, which could not at any time exceed a deficit of more than $100.0 million,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2014</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effective as of June 30, 2014. There were no amounts outstanding on the line of credit during 2014, 2013, or 2012. The line of credit expired in December 2014 and the lien on the collateral was released in January 2015.</w:t>
      </w:r>
    </w:p>
    <w:p>
      <w:pPr>
        <w:spacing w:after="0" w:line="166" w:lineRule="exact"/>
        <w:rPr>
          <w:sz w:val="20"/>
          <w:szCs w:val="20"/>
          <w:color w:val="auto"/>
        </w:rPr>
      </w:pPr>
    </w:p>
    <w:p>
      <w:pPr>
        <w:ind w:right="8600" w:firstLine="8"/>
        <w:spacing w:after="0" w:line="367" w:lineRule="auto"/>
        <w:tabs>
          <w:tab w:leader="none" w:pos="1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ind w:left="440"/>
        <w:spacing w:after="0"/>
        <w:rPr>
          <w:sz w:val="20"/>
          <w:szCs w:val="20"/>
          <w:color w:val="auto"/>
        </w:rPr>
      </w:pPr>
      <w:r>
        <w:rPr>
          <w:rFonts w:ascii="Arial" w:cs="Arial" w:eastAsia="Arial" w:hAnsi="Arial"/>
          <w:sz w:val="18"/>
          <w:szCs w:val="18"/>
          <w:color w:val="auto"/>
        </w:rPr>
        <w:t>We have entered into various long-term non-cancelable operating leases for equipment and facilities.</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April 9, 2013, we entered into an amendment (the 2013 Amendment) to the lease agreement dated September 4, 2010 (as amended, the Lease) relating to the lease of office and laboratory space at our headquarters located in South San Francisco, California. The Amendment provides for an expansion of the premises covered under the Lease to include space that was being subleased by us from a third party through March 31, 2014; an extension of the term of the Lease to April 30, 2020 with an option to renew for an additional five years; payment of base rent with rent escalation; and payment of certain operating expenses during the term of the Lease. The Amendment also provides for an allowance of approximately $0.7 million for tenant improvements, which, to the extent not used by March 31, 2015, will be used to offset base rent obligations, and an additional allowance of approximately $0.5 million for tenant improvements, which, if used, will be repaid in equal monthly payments with interest at a rate of 9% per annum over the remaining term of the Lease.</w:t>
      </w:r>
    </w:p>
    <w:p>
      <w:pPr>
        <w:spacing w:after="0" w:line="11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 June 4, 2014, we entered into an additional amendment to the Lease (the June 2014 Amendment), which provided for an expansion of the premises covered under the Lease by approximately 13,000 square feet, effective October 1, 2014; payment of base rent with rent escalation; and payment of certain operating expenses during the term of the Lease. The June 2014 Amendment also provided for an allowance of approximately $0.2 million for tenant improvements, which, to the extent not used by March 31, 2015, will be used to offset base rent obligations, and an additional allowance of approximately $0.1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$2.4 million as of December 31, 2014.</w:t>
      </w:r>
    </w:p>
    <w:p>
      <w:pPr>
        <w:spacing w:after="0" w:line="13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 September 15, 2014, we entered into an additional amendment to the Lease (the September 2014 Amendment), which provided for an expansion of the premises covered under the Lease by approximately 9,000 square feet, effective October 1, 2014; payment of base rent with rent escalation; and payment of certain operating expenses during the term of the Lease. The September 2014 Amendment also provided for an allowance of approximately $0.2 million for tenant improvements. The total future minimum lease payments for the additional space, which will be paid through April 2020, are approximately $1.6 million as of December 31, 2014.</w:t>
      </w:r>
    </w:p>
    <w:p>
      <w:pPr>
        <w:spacing w:after="0" w:line="13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October 14, 2013, Fluidigm Singapore Pte. Ltd., our wholly-owned subsidiary (Fluidigm Singapore), accepted an offer of tenancy (Lease) from HSBC Institutional Trust Services (Singapore) Limited, as trustee of Ascendas Real Estate Investment Trust (Landlord), relating to the lease of a new facility located in Singapore. Pursuant to the terms of the Lease, Fluidigm Singapore took possession of the facility commencing on March 3, 2014 for a term of 99 months, and the Lease and rental obligations thereunder commenced on June 3, 2014. The Lease also provides Fluidigm Singapore with an option to renew the Lease for an additional 60 months at the then prevailing market rent, and on similar terms as the existing Lease. In June 2014, Fluidigm Singapore leased additional space of approximately 2,400 square feet in the same building as the new facility on the same terms as the Lease. We completed the consolidation of our Singapore manufacturing operations in the new space in July 2014 and the site qualification was completed in August 2014. The leases relating to our prior manufacturing facility in Singapore terminated on August 31, 2014. The total future minimum lease payments for the new facility, which will be paid through June 2022, are approximately $4.1 million as of December 31, 2014.</w:t>
      </w:r>
    </w:p>
    <w:p>
      <w:pPr>
        <w:spacing w:after="0" w:line="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connection with our acquisition of DVS (See Note 4), we acquired the operating leases for facilities in Markham, Ontario, Canada and Sunnyvale, California, which expire in January 2016 and July 2016, respectively. The Canada lease includes an option to renew the lease for an additional five years at the then prevailing market rent, and on similar terms as the existing lease. We recognize rent expense on a straight-line basis over the non-cancelable lease term. The total future minimum lease payments for the operating leases in Sunnyvale, California and Markham, Ontario, Canada are approximately $460,000 as of December 31, 2014.</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40"/>
          </w:cols>
          <w:pgMar w:left="240" w:top="125" w:right="3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31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As of December 31, 2014, we also leased office space under non-cancelable leases in Japan, China, and France, with various expiration dates through March 2016. Certain facility leases also contain rent escalation clauses. Future minimum lease payments under non-cancelable operating leases as of December 31, 2014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124460</wp:posOffset>
            </wp:positionV>
            <wp:extent cx="69037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Years ending December 31:</w:t>
      </w:r>
    </w:p>
    <w:p>
      <w:pPr>
        <w:spacing w:after="0" w:line="63"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9660" w:type="dxa"/>
            <w:vAlign w:val="bottom"/>
          </w:tcPr>
          <w:p>
            <w:pPr>
              <w:ind w:left="380"/>
              <w:spacing w:after="0"/>
              <w:rPr>
                <w:sz w:val="20"/>
                <w:szCs w:val="20"/>
                <w:color w:val="auto"/>
              </w:rPr>
            </w:pPr>
            <w:r>
              <w:rPr>
                <w:rFonts w:ascii="Arial" w:cs="Arial" w:eastAsia="Arial" w:hAnsi="Arial"/>
                <w:sz w:val="18"/>
                <w:szCs w:val="18"/>
                <w:color w:val="auto"/>
              </w:rPr>
              <w:t>2015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3,146</w:t>
            </w:r>
          </w:p>
        </w:tc>
      </w:tr>
      <w:tr>
        <w:trPr>
          <w:trHeight w:val="27"/>
        </w:trPr>
        <w:tc>
          <w:tcPr>
            <w:tcW w:w="9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3,016</w:t>
            </w:r>
          </w:p>
        </w:tc>
      </w:tr>
      <w:tr>
        <w:trPr>
          <w:trHeight w:val="243"/>
        </w:trPr>
        <w:tc>
          <w:tcPr>
            <w:tcW w:w="9660" w:type="dxa"/>
            <w:vAlign w:val="bottom"/>
          </w:tcPr>
          <w:p>
            <w:pPr>
              <w:ind w:left="38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2,871</w:t>
            </w:r>
          </w:p>
        </w:tc>
      </w:tr>
      <w:tr>
        <w:trPr>
          <w:trHeight w:val="27"/>
        </w:trPr>
        <w:tc>
          <w:tcPr>
            <w:tcW w:w="9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r>
      <w:tr>
        <w:trPr>
          <w:trHeight w:val="243"/>
        </w:trPr>
        <w:tc>
          <w:tcPr>
            <w:tcW w:w="9660" w:type="dxa"/>
            <w:vAlign w:val="bottom"/>
          </w:tcPr>
          <w:p>
            <w:pPr>
              <w:ind w:left="38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2,965</w:t>
            </w:r>
          </w:p>
        </w:tc>
      </w:tr>
      <w:tr>
        <w:trPr>
          <w:trHeight w:val="27"/>
        </w:trPr>
        <w:tc>
          <w:tcPr>
            <w:tcW w:w="9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2,171</w:t>
            </w:r>
          </w:p>
        </w:tc>
      </w:tr>
      <w:tr>
        <w:trPr>
          <w:trHeight w:val="237"/>
        </w:trPr>
        <w:tc>
          <w:tcPr>
            <w:tcW w:w="9660" w:type="dxa"/>
            <w:vAlign w:val="bottom"/>
          </w:tcPr>
          <w:p>
            <w:pPr>
              <w:ind w:left="380"/>
              <w:spacing w:after="0"/>
              <w:rPr>
                <w:sz w:val="20"/>
                <w:szCs w:val="20"/>
                <w:color w:val="auto"/>
              </w:rPr>
            </w:pPr>
            <w:r>
              <w:rPr>
                <w:rFonts w:ascii="Arial" w:cs="Arial" w:eastAsia="Arial" w:hAnsi="Arial"/>
                <w:sz w:val="18"/>
                <w:szCs w:val="18"/>
                <w:color w:val="auto"/>
              </w:rPr>
              <w:t>Total minimum payments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17,068</w:t>
            </w:r>
          </w:p>
        </w:tc>
      </w:tr>
      <w:tr>
        <w:trPr>
          <w:trHeight w:val="27"/>
        </w:trPr>
        <w:tc>
          <w:tcPr>
            <w:tcW w:w="9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9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lease payments are expensed on a straight-line basis over the life of the leases. Rental expense under operating leases, net of amortization of lease incentive, totaled $4.0 million, $2.7 million, and $1.9 million for 2014, 2013, and 2012,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94"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In the normal course of business, we enter into various contractual and legally binding purchase commitments. As of December 31, 2014, these commitments for the next year were approximately $9.1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and directors. We have not incurred material costs to defend lawsuits or settle claims related to these indemnification provisions. As of December 31, 2014, we had no accrued liabilities for these indemnification provisions.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4"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93"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On November 6, 2012, we filed a complaint against NanoString Technologies, Inc., or NanoString, in the United States District Court in the Northern District of California (Civil Action No. 12-5712), alleging claims of false advertising, unfair competition, and unlawful trade practice in violation of the Lanham Act and corresponding sections of the California Business &amp; Professions Code. Our complaint sought to enjoin NanoString from continuing to make or disseminate any of the false and misleading claims, misrepresenting and/or exaggerating the performance of its product in comparison with our Biomark system, to require NanoString to retract, remove, or correct the false and misleading advertising claims, and to recover damages and other relief for harm caused to us by NanoString. We also filed a lawsuit against NanoString in the High Court of the Republic of Singapore (Case No. S 282/2013) on April 5, 2013 alleging malicious falsehood in advertising and trademark infringement and sought relief similar to the relief sought in our complaint filed in the United States. On September 30, 2013, we and NanoString agreed to settle the lawsuits. The terms of the settlement require NanoString to, among other things, pay us $0.6 million, remove all references - from its marketing materials, website, and promotional activities - to a single-cell comparison study comparing Fluidigm and NanoString single-cell products, as well as recall and destroy all materials related to and/or based on the study. The case brought in the United States District Court in the Northern District of California was dismissed on October 22, 2013, and the case brought in Singapore was discontinued on October 29, 2013.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2014</w:t>
      </w:r>
    </w:p>
    <w:p>
      <w:pPr>
        <w:spacing w:after="0" w:line="400"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Pursuant to the terms of a patent cross license agreement with Applied Biosystems, LLC (a subsidiary of Life Technologies Corporation, or Life, and now part of Thermo Fisher Scientific), we were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on September 30, 2013 and on January 30, 2014, we paid Life the amount due while reserving our rights with respect to such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w:t>
      </w:r>
    </w:p>
    <w:p>
      <w:pPr>
        <w:spacing w:after="0" w:line="174" w:lineRule="exact"/>
        <w:rPr>
          <w:sz w:val="20"/>
          <w:szCs w:val="20"/>
          <w:color w:val="auto"/>
        </w:rPr>
      </w:pPr>
    </w:p>
    <w:p>
      <w:pPr>
        <w:ind w:right="9020" w:firstLine="8"/>
        <w:spacing w:after="0" w:line="416" w:lineRule="auto"/>
        <w:tabs>
          <w:tab w:leader="none" w:pos="270"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2011 Equity Incentive Plan</w:t>
      </w:r>
    </w:p>
    <w:p>
      <w:pPr>
        <w:ind w:right="20" w:firstLine="432"/>
        <w:spacing w:after="0" w:line="264" w:lineRule="auto"/>
        <w:rPr>
          <w:sz w:val="20"/>
          <w:szCs w:val="20"/>
          <w:color w:val="auto"/>
        </w:rPr>
      </w:pPr>
      <w:r>
        <w:rPr>
          <w:rFonts w:ascii="Arial" w:cs="Arial" w:eastAsia="Arial" w:hAnsi="Arial"/>
          <w:sz w:val="18"/>
          <w:szCs w:val="18"/>
          <w:color w:val="auto"/>
        </w:rPr>
        <w:t>On January 28, 2011, our board of directors adopted the 2011 Equity Incentive Plan (the 2011 Plan) under which incentive stock options, nonstatutory stock options, restricted stock units (RSUs), stock appreciation rights, performance units, and performance shares may be granted to our employees, directors, and consultants.</w:t>
      </w:r>
    </w:p>
    <w:p>
      <w:pPr>
        <w:spacing w:after="0" w:line="127"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Incentive stock options and nonstatutory stock options granted under the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outstanding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11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board of directors sets the terms, conditions, and restrictions related to the grant of restricted stock units, including the number of restricted stock units to grant. Our board of directors also sets vesting criteria and, depending on the extent to which the criteria are met, our board of directors will determine the number of restricted stock units to be paid out. In general, RSUs vest on a quarterly basis over a period of four years from the date of grant, provided that no shares will vest during the first year of employment, at the end of which the shares that would have vested during the year will vest and the remaining shares will vest over the remaining 12 quarters, subject to the employees' continued employment.</w:t>
      </w:r>
    </w:p>
    <w:p>
      <w:pPr>
        <w:spacing w:after="0" w:line="11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exercise price of any stock appreciation right shall be determined by our board of directors but will be no less than 100% of the fair market value of the underlying common stock on the date of grant. The stock appreciation rights expire upon the date determined by our board of directors but no later than ten years from the date of grant.</w:t>
      </w:r>
    </w:p>
    <w:p>
      <w:pPr>
        <w:spacing w:after="0" w:line="12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2014, the 2011 Plan had a total of 4,319,443 awards authorized for issuance.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Equity Incentive Plan and 1999 Stock Option Plan</w:t>
      </w:r>
    </w:p>
    <w:p>
      <w:pPr>
        <w:spacing w:after="0" w:line="9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Our 2009 Equity Incentive Plan (the 2009 Plan) terminated on the date the 2011 Plan was adopted and the 1999 Stock Option Plan (the 1999 Plan) expired in 2009. Options granted or shares issued under the 2009 Plan and the 1999 Plan that were outstanding on the date the 2011 Plan became effective remained subject to the terms of their respective plans.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Activity under the 2011 Plan, the 2009 Plan, and the 1999 Plan is as follows (in thousands, except per share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52"/>
        </w:trPr>
        <w:tc>
          <w:tcPr>
            <w:tcW w:w="7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560" w:type="dxa"/>
            <w:vAlign w:val="bottom"/>
          </w:tcPr>
          <w:p>
            <w:pPr>
              <w:spacing w:after="0"/>
              <w:rPr>
                <w:sz w:val="12"/>
                <w:szCs w:val="12"/>
                <w:color w:val="auto"/>
              </w:rPr>
            </w:pPr>
          </w:p>
        </w:tc>
        <w:tc>
          <w:tcPr>
            <w:tcW w:w="16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 Available</w:t>
            </w:r>
          </w:p>
        </w:tc>
        <w:tc>
          <w:tcPr>
            <w:tcW w:w="10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5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92"/>
        </w:trPr>
        <w:tc>
          <w:tcPr>
            <w:tcW w:w="75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for Grant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3,432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Additional shares authorized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granted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Options assumed from acquisition</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exercised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Options canceled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3,407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312"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7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9"/>
              </w:rPr>
              <w:t>Number Nonvested and</w:t>
            </w:r>
          </w:p>
        </w:tc>
        <w:tc>
          <w:tcPr>
            <w:tcW w:w="280" w:type="dxa"/>
            <w:vAlign w:val="bottom"/>
          </w:tcPr>
          <w:p>
            <w:pPr>
              <w:spacing w:after="0"/>
              <w:rPr>
                <w:sz w:val="14"/>
                <w:szCs w:val="14"/>
                <w:color w:val="auto"/>
              </w:rPr>
            </w:pPr>
          </w:p>
        </w:tc>
        <w:tc>
          <w:tcPr>
            <w:tcW w:w="152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Grant date fair value per</w:t>
            </w:r>
          </w:p>
        </w:tc>
        <w:tc>
          <w:tcPr>
            <w:tcW w:w="0" w:type="dxa"/>
            <w:vAlign w:val="bottom"/>
          </w:tcPr>
          <w:p>
            <w:pPr>
              <w:spacing w:after="0"/>
              <w:rPr>
                <w:sz w:val="1"/>
                <w:szCs w:val="1"/>
                <w:color w:val="auto"/>
              </w:rPr>
            </w:pPr>
          </w:p>
        </w:tc>
      </w:tr>
      <w:tr>
        <w:trPr>
          <w:trHeight w:val="192"/>
        </w:trPr>
        <w:tc>
          <w:tcPr>
            <w:tcW w:w="7300" w:type="dxa"/>
            <w:vAlign w:val="bottom"/>
          </w:tcPr>
          <w:p>
            <w:pPr>
              <w:spacing w:after="0"/>
              <w:rPr>
                <w:sz w:val="16"/>
                <w:szCs w:val="16"/>
                <w:color w:val="auto"/>
              </w:rPr>
            </w:pPr>
          </w:p>
        </w:tc>
        <w:tc>
          <w:tcPr>
            <w:tcW w:w="17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Balance as of December 31, 2013</w:t>
            </w:r>
          </w:p>
        </w:tc>
        <w:tc>
          <w:tcPr>
            <w:tcW w:w="17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RSUs granted</w:t>
            </w:r>
          </w:p>
        </w:tc>
        <w:tc>
          <w:tcPr>
            <w:tcW w:w="1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395</w:t>
            </w:r>
          </w:p>
        </w:tc>
        <w:tc>
          <w:tcPr>
            <w:tcW w:w="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RSUs vested</w:t>
            </w:r>
          </w:p>
        </w:tc>
        <w:tc>
          <w:tcPr>
            <w:tcW w:w="176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RSUs canceled</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Balance as of December 31, 2014</w:t>
            </w:r>
          </w:p>
        </w:tc>
        <w:tc>
          <w:tcPr>
            <w:tcW w:w="17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329</w:t>
            </w:r>
          </w:p>
        </w:tc>
        <w:tc>
          <w:tcPr>
            <w:tcW w:w="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We determine stock-based compensation expense using the Black-Scholes option-pricing model and the following weighted-average assumptions: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6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2012</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240" w:type="dxa"/>
            <w:vAlign w:val="bottom"/>
          </w:tcPr>
          <w:p>
            <w:pPr>
              <w:spacing w:after="0"/>
              <w:rPr>
                <w:sz w:val="21"/>
                <w:szCs w:val="21"/>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5.9 years</w:t>
            </w:r>
          </w:p>
        </w:tc>
        <w:tc>
          <w:tcPr>
            <w:tcW w:w="240" w:type="dxa"/>
            <w:vAlign w:val="bottom"/>
          </w:tcPr>
          <w:p>
            <w:pPr>
              <w:spacing w:after="0"/>
              <w:rPr>
                <w:sz w:val="21"/>
                <w:szCs w:val="21"/>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5.9 years</w:t>
            </w:r>
          </w:p>
        </w:tc>
        <w:tc>
          <w:tcPr>
            <w:tcW w:w="2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5.9 years</w:t>
            </w:r>
          </w:p>
        </w:tc>
      </w:tr>
      <w:tr>
        <w:trPr>
          <w:trHeight w:val="27"/>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of options granted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7.90</w:t>
            </w:r>
          </w:p>
        </w:tc>
      </w:tr>
      <w:tr>
        <w:trPr>
          <w:trHeight w:val="27"/>
        </w:trPr>
        <w:tc>
          <w:tcPr>
            <w:tcW w:w="7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Expected volatility is derived from the historical volatilities of several unrelated public companies within the life sciences industry. Each company’s historical volatility is weighted based on certain qualitative factors, and combined to produce the single volatility factor used by us. The risk-free interest rate is based on the U.S. Treasury yield curve in effect at the time of grant for zero coupon U.S. Treasury notes with maturities approximately equal to the option’s expected life. Given our limited history as a public company, we used the “simplified” method to estimate expected lives of options granted to the various employee groups. The “simplified” method calculates the expected life of an option as the average of the time-to-vesting and the contractual life of the options. Forfeitures were estimated based on an analysis of actual forfeitures. We periodically evaluate the adequacy of our forfeiture rate based on actual forfeiture experience, analysis of employee turnover, and other factors. Each of these inputs is subjective and generally requires significant judgment by us. Also required to compute the fair value calculation of options is the fair value of the underlying common stock.</w:t>
      </w:r>
    </w:p>
    <w:p>
      <w:pPr>
        <w:spacing w:after="0" w:line="1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grant stock options at exercise prices not less than the fair value of our common stock at the date of grant. Prior to our IPO, our board of directors obtained contemporaneous valuations from an unrelated third-party valuation firm to determine the estimated fair value of common stock based on an analysis of relevant metrics. There is inherent uncertainty in these estimates and if we or the valuation firm had made different assumptions, the amount of our stock-based compensation expense, net loss, and net loss per share amounts could have been significantly different. Following the completion of our IPO in February 2011,</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options granted is based on the closing price of our common stock on the date of grant as quoted on the NASDAQ Global Select Market.</w:t>
      </w:r>
    </w:p>
    <w:p>
      <w:pPr>
        <w:spacing w:after="0" w:line="11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fair value of RSUs granted to employees was estimated on the date of grant by multiplying the number of shares granted by the fair market value of our common stock on the grant date.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Additional information regarding our stock options outstanding and exercisable as of December 31, 2014 is summarized in the following table: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Options Outstanding</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Exercise Price Per Share</w:t>
            </w:r>
          </w:p>
        </w:tc>
        <w:tc>
          <w:tcPr>
            <w:tcW w:w="140" w:type="dxa"/>
            <w:vAlign w:val="bottom"/>
            <w:vMerge w:val="restart"/>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Options Exercisable</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22"/>
                <w:szCs w:val="22"/>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(In Years)</w:t>
            </w:r>
          </w:p>
        </w:tc>
        <w:tc>
          <w:tcPr>
            <w:tcW w:w="1280" w:type="dxa"/>
            <w:vAlign w:val="bottom"/>
          </w:tcPr>
          <w:p>
            <w:pPr>
              <w:jc w:val="right"/>
              <w:ind w:right="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$0.64 - $4.45</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$8.36 - $8.37</w:t>
            </w:r>
          </w:p>
        </w:tc>
        <w:tc>
          <w:tcPr>
            <w:tcW w:w="1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$13.01 - $14.90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$15.04 - $19.32</w:t>
            </w:r>
          </w:p>
        </w:tc>
        <w:tc>
          <w:tcPr>
            <w:tcW w:w="1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1,477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$20.46 - $21.94</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$27.00 - $29.87</w:t>
            </w:r>
          </w:p>
        </w:tc>
        <w:tc>
          <w:tcPr>
            <w:tcW w:w="1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$30.58 - $33.73</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$37.56 - $38.28</w:t>
            </w:r>
          </w:p>
        </w:tc>
        <w:tc>
          <w:tcPr>
            <w:tcW w:w="1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$43.66 - $44.07</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$46.85 - $47.55</w:t>
            </w:r>
          </w:p>
        </w:tc>
        <w:tc>
          <w:tcPr>
            <w:tcW w:w="1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Options exercisable as of December 31, 2014 had a weighted-average remaining contractual life of 7 years, a weighted-average exercise price per share of $14.14, and an aggregate intrinsic value of $41.6 million.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Options outstanding that have vested as of December 31, 2014 or are expected to vest in the future are summarized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12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Remaining</w:t>
            </w:r>
          </w:p>
        </w:tc>
        <w:tc>
          <w:tcPr>
            <w:tcW w:w="240" w:type="dxa"/>
            <w:vAlign w:val="bottom"/>
          </w:tcPr>
          <w:p>
            <w:pPr>
              <w:spacing w:after="0"/>
              <w:rPr>
                <w:sz w:val="12"/>
                <w:szCs w:val="12"/>
                <w:color w:val="auto"/>
              </w:rPr>
            </w:pPr>
          </w:p>
        </w:tc>
        <w:tc>
          <w:tcPr>
            <w:tcW w:w="112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5"/>
              </w:rPr>
              <w:t>Value (1)</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 Years)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2,075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41,567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Expected to vest, net of estimated forfeitures</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1,303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16,650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vested and expected to vest, net of forfeitures</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3,378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58,217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160" w:hanging="316"/>
        <w:spacing w:after="0" w:line="277"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intrinsic value was calculated as the difference between the closing stock price on the last trading day of 2014, which was $33.73, and the exercise price of the options, multiplied by the number of in-the-money options.</w:t>
      </w:r>
    </w:p>
    <w:p>
      <w:pPr>
        <w:spacing w:after="0" w:line="116"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total intrinsic value of options exercised during 2014, 2013, and 2012 was $12.8 million, $20.8 million, and $5.5 million, respectively. The total intrinsic value of RSUs vested and released during the year ended December 31, 2014 was approximately $1.4 million. The intrinsic value of vested and released RSUs is calculated by multiplying the fair market value of our common stock on the vesting date by the number of shares vested. As of December 31, 2014, the number of RSUs outstanding and expected to vest was 328,556, with a total intrinsic value of $11.1 million. The intrinsic value of the outstanding and expected to vest RSUs is calculated based on the market value of the Company's closing stock price of $33.73 as of December 31, 2014, the last market trading day of 2014.</w:t>
      </w:r>
    </w:p>
    <w:p>
      <w:pPr>
        <w:spacing w:after="0" w:line="139"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There were no stock-based compensation tax benefits recognized during 2014, 2013, or 2012. Capitalized stock-based compensation costs were insignificant at December 31, 2014, 2013, and 2012.</w:t>
      </w:r>
    </w:p>
    <w:p>
      <w:pPr>
        <w:spacing w:after="0" w:line="11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As of December 31, 2014, there was $29.8 million of total unrecognized compensation cost related to stock-based compensation arrangements that is expected to be recognized over an average period of 2.8 years.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40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In January 2011, we granted 94,972 performance-based options (the 2010 performance awards) to certain executives. These awards vest over a period of approximately four years based on continuing service and were subject to accelerated vesting if specified corporate and departmental performance goals were met for the fiscal year ended December 31, 2010. Based on achievement of 2010 departmental and corporate goals, vesting for 66,480 options was accelerated in March 2011. We recognized nil, $8,000 and $20,000 of stock-based compensation expense related to the 2010 performance awards during 2014, 2013, and 2012,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loss before income taxes consists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10"/>
          </w:tcPr>
          <w:p>
            <w:pPr>
              <w:jc w:val="right"/>
              <w:ind w:right="13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(41,559)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(16,205)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(57,705)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(16,389)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8"/>
                <w:szCs w:val="18"/>
                <w:color w:val="auto"/>
                <w:w w:val="96"/>
              </w:rPr>
              <w:t>Significant components of our benefit (provision) for income taxes are as follows (in thousands):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7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right"/>
              <w:ind w:right="33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38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20" w:type="dxa"/>
            <w:vAlign w:val="bottom"/>
            <w:gridSpan w:val="2"/>
          </w:tcPr>
          <w:p>
            <w:pPr>
              <w:jc w:val="center"/>
              <w:ind w:left="5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Total current provision</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(137)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38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2,042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3,107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Total deferred benefit</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7"/>
              </w:rPr>
              <w:t>5,149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benefit (provision) for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4,875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(137)</w:t>
            </w:r>
          </w:p>
        </w:tc>
        <w:tc>
          <w:tcPr>
            <w:tcW w:w="220" w:type="dxa"/>
            <w:vAlign w:val="bottom"/>
            <w:tcBorders>
              <w:bottom w:val="single" w:sz="8" w:color="CCEEFF"/>
            </w:tcBorders>
            <w:gridSpan w:val="2"/>
            <w:shd w:val="clear" w:color="auto" w:fill="CCEEFF"/>
          </w:tcPr>
          <w:p>
            <w:pPr>
              <w:jc w:val="center"/>
              <w:ind w:left="5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1380" w:type="dxa"/>
            <w:vAlign w:val="bottom"/>
            <w:gridSpan w:val="17"/>
          </w:tcPr>
          <w:p>
            <w:pPr>
              <w:ind w:left="420"/>
              <w:spacing w:after="0"/>
              <w:rPr>
                <w:sz w:val="20"/>
                <w:szCs w:val="20"/>
                <w:color w:val="auto"/>
              </w:rPr>
            </w:pPr>
            <w:r>
              <w:rPr>
                <w:rFonts w:ascii="Arial" w:cs="Arial" w:eastAsia="Arial" w:hAnsi="Arial"/>
                <w:sz w:val="18"/>
                <w:szCs w:val="18"/>
                <w:color w:val="auto"/>
                <w:w w:val="95"/>
              </w:rPr>
              <w:t>Reconciliation of income taxes at the statutory rate to the benefit from (provision for) income taxes recorded in the statements of operations is as</w:t>
            </w:r>
          </w:p>
        </w:tc>
        <w:tc>
          <w:tcPr>
            <w:tcW w:w="0" w:type="dxa"/>
            <w:vAlign w:val="bottom"/>
          </w:tcPr>
          <w:p>
            <w:pPr>
              <w:spacing w:after="0"/>
              <w:rPr>
                <w:sz w:val="1"/>
                <w:szCs w:val="1"/>
                <w:color w:val="auto"/>
              </w:rPr>
            </w:pPr>
          </w:p>
        </w:tc>
      </w:tr>
      <w:tr>
        <w:trPr>
          <w:trHeight w:val="230"/>
        </w:trPr>
        <w:tc>
          <w:tcPr>
            <w:tcW w:w="7780" w:type="dxa"/>
            <w:vAlign w:val="bottom"/>
            <w:gridSpan w:val="3"/>
          </w:tcPr>
          <w:p>
            <w:pPr>
              <w:spacing w:after="0"/>
              <w:rPr>
                <w:sz w:val="20"/>
                <w:szCs w:val="20"/>
                <w:color w:val="auto"/>
              </w:rPr>
            </w:pPr>
            <w:r>
              <w:rPr>
                <w:rFonts w:ascii="Arial" w:cs="Arial" w:eastAsia="Arial" w:hAnsi="Arial"/>
                <w:sz w:val="18"/>
                <w:szCs w:val="18"/>
                <w:color w:val="auto"/>
              </w:rPr>
              <w:t>follows: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1"/>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center"/>
              <w:ind w:right="371"/>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 at federal statutory rate</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34.0 %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State tax expense, net of federal benefit</w:t>
            </w:r>
          </w:p>
        </w:tc>
        <w:tc>
          <w:tcPr>
            <w:tcW w:w="14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91"/>
              <w:spacing w:after="0"/>
              <w:rPr>
                <w:sz w:val="20"/>
                <w:szCs w:val="20"/>
                <w:color w:val="auto"/>
              </w:rPr>
            </w:pPr>
            <w:r>
              <w:rPr>
                <w:rFonts w:ascii="Arial" w:cs="Arial" w:eastAsia="Arial" w:hAnsi="Arial"/>
                <w:sz w:val="18"/>
                <w:szCs w:val="18"/>
                <w:color w:val="auto"/>
                <w:w w:val="97"/>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14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96"/>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3"/>
          </w:tcPr>
          <w:p>
            <w:pPr>
              <w:jc w:val="right"/>
              <w:ind w:right="9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 R&amp;D Credit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w:t>
            </w:r>
          </w:p>
        </w:tc>
        <w:tc>
          <w:tcPr>
            <w:tcW w:w="14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96"/>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91"/>
              <w:spacing w:after="0"/>
              <w:rPr>
                <w:sz w:val="20"/>
                <w:szCs w:val="20"/>
                <w:color w:val="auto"/>
              </w:rPr>
            </w:pPr>
            <w:r>
              <w:rPr>
                <w:rFonts w:ascii="Arial" w:cs="Arial" w:eastAsia="Arial" w:hAnsi="Arial"/>
                <w:sz w:val="18"/>
                <w:szCs w:val="18"/>
                <w:color w:val="auto"/>
                <w:w w:val="97"/>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Return to provision reconciliation</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9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91"/>
              <w:spacing w:after="0"/>
              <w:rPr>
                <w:sz w:val="20"/>
                <w:szCs w:val="20"/>
                <w:color w:val="auto"/>
              </w:rPr>
            </w:pPr>
            <w:r>
              <w:rPr>
                <w:rFonts w:ascii="Arial" w:cs="Arial" w:eastAsia="Arial" w:hAnsi="Arial"/>
                <w:sz w:val="18"/>
                <w:szCs w:val="18"/>
                <w:color w:val="auto"/>
                <w:w w:val="97"/>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60" w:type="dxa"/>
            <w:vAlign w:val="bottom"/>
            <w:tcBorders>
              <w:top w:val="single" w:sz="8" w:color="CCEEFF"/>
              <w:bottom w:val="single" w:sz="8" w:color="CCEEFF"/>
            </w:tcBorders>
            <w:vMerge w:val="restart"/>
          </w:tcPr>
          <w:p>
            <w:pPr>
              <w:ind w:left="5600"/>
              <w:spacing w:after="0"/>
              <w:rPr>
                <w:sz w:val="20"/>
                <w:szCs w:val="20"/>
                <w:color w:val="auto"/>
              </w:rPr>
            </w:pPr>
            <w:r>
              <w:rPr>
                <w:rFonts w:ascii="Arial" w:cs="Arial" w:eastAsia="Arial" w:hAnsi="Arial"/>
                <w:sz w:val="18"/>
                <w:szCs w:val="18"/>
                <w:color w:val="auto"/>
              </w:rPr>
              <w:t>81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vMerge w:val="continue"/>
          </w:tcPr>
          <w:p>
            <w:pPr>
              <w:spacing w:after="0"/>
              <w:rPr>
                <w:sz w:val="24"/>
                <w:szCs w:val="24"/>
                <w:color w:val="auto"/>
              </w:rPr>
            </w:pPr>
          </w:p>
        </w:tc>
        <w:tc>
          <w:tcPr>
            <w:tcW w:w="7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our deferred tax assets and liabilities are as follows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2014</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90,250</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82,230</w:t>
            </w:r>
          </w:p>
        </w:tc>
      </w:tr>
      <w:tr>
        <w:trPr>
          <w:trHeight w:val="27"/>
        </w:trPr>
        <w:tc>
          <w:tcPr>
            <w:tcW w:w="8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Reserves and accruals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8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credit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7,898</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3,397</w:t>
            </w:r>
          </w:p>
        </w:tc>
      </w:tr>
      <w:tr>
        <w:trPr>
          <w:trHeight w:val="27"/>
        </w:trPr>
        <w:tc>
          <w:tcPr>
            <w:tcW w:w="8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96,275</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Valuation allowance on deferred tax assets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(96,275)</w:t>
            </w:r>
          </w:p>
        </w:tc>
      </w:tr>
      <w:tr>
        <w:trPr>
          <w:trHeight w:val="27"/>
        </w:trPr>
        <w:tc>
          <w:tcPr>
            <w:tcW w:w="8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 and intangibles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78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84" w:lineRule="auto"/>
        <w:rPr>
          <w:sz w:val="20"/>
          <w:szCs w:val="20"/>
          <w:color w:val="auto"/>
        </w:rPr>
      </w:pPr>
      <w:r>
        <w:rPr>
          <w:rFonts w:ascii="Arial" w:cs="Arial" w:eastAsia="Arial" w:hAnsi="Arial"/>
          <w:sz w:val="16"/>
          <w:szCs w:val="16"/>
          <w:color w:val="auto"/>
        </w:rPr>
        <w:t>We evaluate a number of factors to determine the realizability of our deferred tax assets. Recognition of deferred tax assets is appropriate when realization of these assets is more likely than not. Assessing the realizability of deferred tax assets is dependent upon several factors including historical financial results. The net deferred tax assets have been partially offset by a valuation allowance because we have incurred losses since our inception. The valuation allowance increased by $13.9 million and $5.7 million during 2014 and 2013, respectively. The change in valuation allowance is mainly due to the significant increase in the current year taxable loss, the temporary differences, research development credits, and intangible assets arising from the DVS acquisition, as we recorded California deferred tax. The related valuation allowance associated with our California deferred tax assets was released and recorded as an income tax benefit in the quarter ended March 31, 2014. We recognized a benefit for income taxes of $2.0 million for the year</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ended December 31, 2014, primarily from a reversal of a portion of our valuation allowance for deferred tax assets as a result of deferred tax liabilities recognized on the identifiable intangible assets acquired in connection with the acquisition of DVS. Our deferred tax liabilities primarily consist of book and tax basis differences in fixed assets and acquired identifiable intangible assets.</w:t>
      </w:r>
    </w:p>
    <w:p>
      <w:pPr>
        <w:spacing w:after="0" w:line="13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of December 31, 2014, we had net operating loss carryforwards for U.S. federal income tax purposes of $266.7 million, which expire in the years 2020 through 2035, and U.S. federal research and development tax credits of $6.7 million, which expire in the years 2020 through 2035. As of December 31, 2014, we had net operating loss carryforwards for state income tax purposes of $184.1 million, which expire in the years 2014 through 2035, and California research and development tax credits of $7.4 million, which do not expire. As of December 31, 2014, we had foreign net operating loss carryforwards of $3.3 million, which expire in the years 2015 through 2035. On December 19, 2014, the 2014 Tax Increase Prevention Act was signed into law. This law retroactively extended the federal research and development credits for amounts incurred from January 1, 2014 through December 31, 2014. As a result of the retroactive extension, we generated approximately $1.1 million of tax credit which was fully offset by a valuation allowance in the current year.</w:t>
      </w:r>
    </w:p>
    <w:p>
      <w:pPr>
        <w:spacing w:after="0" w:line="11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Utilization of the net operating loss carryforwards and credits may be subject to a substantial annual limitation due to the ownership change limitations provided by Section 382 of the Internal Revenue Code of 1986, as amended, and similar state provisions. The annual limitation may result in the expiration of net operating losses and credits before utilization. We have completed a Section 382 analysis for the period from our inception in May 1999 through December 31, 2014 and determined that an ownership change as defined under Section 382 occurred in November 2001, which resulted in a reduction to our U.S. federal and California net operating losses by $1.2 million and $0.7 million, respectively. We have performed a Section 382 update for the period from January 1, 2014 through December 31, 2014, which excluded the net operating loss carryforwards for DVS prior to the acquisition, and determined that an ownership change did not occur during such period. Net operating losses that were subject to Section 382 limitation for California purposes had expired as of December 31, 2014.</w:t>
      </w:r>
    </w:p>
    <w:p>
      <w:pPr>
        <w:spacing w:after="0" w:line="138"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have not provided for U.S. federal and state income taxes on any of our non-U.S. subsidiaries’ undistributed earnings as of December 31, 2014 because such earnings are intended to be indefinitely reinvested. Upon distribution of such earnings in the form of dividends or otherwise, we believe there will be no material U.S. federal and state income tax liability as there are sufficient amount of tax losses or other attributes. Undistributed earnings of our foreign subsidiaries amounted to approximately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4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$0.8 million. If these earnings were to be repatriated approximately $30,000 of withholding taxes may be due at its source. However, since such subsidiaries’ earnings are permanently reinvested, no deferred tax liabilities were accrued for that amount as of December 31, 2014.</w:t>
      </w:r>
    </w:p>
    <w:p>
      <w:pPr>
        <w:spacing w:after="0" w:line="116"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Effective January 1, 2010, we obtained approval for Pioneer Tax Status in Singapore. The Pioneer Tax Status allowed a full exemption from Singapore corporate tax related to contract manufacturing activities through the effective period subject to the achievement of certain milestones. We have not benefited from the tax exemption through December 31, 2014. Per discussions with the Singapore government, we expect our tax incentives under the Pioneer Tax Status to be terminated, effective as of December, 31, 2014. Effective January 1, 2015, we obtained a Development and Expansion Incentive from the Singapore government, which provides a reduced tax rate for qualifying income in Singapore through 2019, if certain milestones are met.</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Uncertain Tax Positions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aggregate changes in the balance of our gross unrecognized tax benefits during 2014, 2013, and 2012 were as follows (in thousands):</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5,448</w:t>
            </w:r>
          </w:p>
        </w:tc>
      </w:tr>
      <w:tr>
        <w:trPr>
          <w:trHeight w:val="243"/>
        </w:trPr>
        <w:tc>
          <w:tcPr>
            <w:tcW w:w="10140" w:type="dxa"/>
            <w:vAlign w:val="bottom"/>
          </w:tcPr>
          <w:p>
            <w:pPr>
              <w:ind w:left="38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903</w:t>
            </w:r>
          </w:p>
        </w:tc>
      </w:tr>
      <w:tr>
        <w:trPr>
          <w:trHeight w:val="27"/>
        </w:trPr>
        <w:tc>
          <w:tcPr>
            <w:tcW w:w="10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2012</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6,351</w:t>
            </w:r>
          </w:p>
        </w:tc>
      </w:tr>
      <w:tr>
        <w:trPr>
          <w:trHeight w:val="243"/>
        </w:trPr>
        <w:tc>
          <w:tcPr>
            <w:tcW w:w="10140" w:type="dxa"/>
            <w:vAlign w:val="bottom"/>
          </w:tcPr>
          <w:p>
            <w:pPr>
              <w:ind w:left="38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1,044</w:t>
            </w:r>
          </w:p>
        </w:tc>
      </w:tr>
      <w:tr>
        <w:trPr>
          <w:trHeight w:val="27"/>
        </w:trPr>
        <w:tc>
          <w:tcPr>
            <w:tcW w:w="10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37"/>
        </w:trPr>
        <w:tc>
          <w:tcPr>
            <w:tcW w:w="10140" w:type="dxa"/>
            <w:vAlign w:val="bottom"/>
          </w:tcPr>
          <w:p>
            <w:pPr>
              <w:ind w:left="20"/>
              <w:spacing w:after="0"/>
              <w:rPr>
                <w:sz w:val="20"/>
                <w:szCs w:val="20"/>
                <w:color w:val="auto"/>
              </w:rPr>
            </w:pPr>
            <w:r>
              <w:rPr>
                <w:rFonts w:ascii="Arial" w:cs="Arial" w:eastAsia="Arial" w:hAnsi="Arial"/>
                <w:sz w:val="18"/>
                <w:szCs w:val="18"/>
                <w:color w:val="auto"/>
              </w:rPr>
              <w:t>December 31, 2013</w:t>
            </w: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6,848</w:t>
            </w:r>
          </w:p>
        </w:tc>
      </w:tr>
      <w:tr>
        <w:trPr>
          <w:trHeight w:val="27"/>
        </w:trPr>
        <w:tc>
          <w:tcPr>
            <w:tcW w:w="10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r>
      <w:tr>
        <w:trPr>
          <w:trHeight w:val="243"/>
        </w:trPr>
        <w:tc>
          <w:tcPr>
            <w:tcW w:w="10140" w:type="dxa"/>
            <w:vAlign w:val="bottom"/>
          </w:tcPr>
          <w:p>
            <w:pPr>
              <w:ind w:left="38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10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2014</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7,672</w:t>
            </w:r>
          </w:p>
        </w:tc>
      </w:tr>
      <w:tr>
        <w:trPr>
          <w:trHeight w:val="20"/>
        </w:trPr>
        <w:tc>
          <w:tcPr>
            <w:tcW w:w="10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Accrued interest and penalties related to unrecognized tax benefits were included in the income tax provision and are immaterial as of December 31, 2014 and 2013.</w:t>
      </w:r>
    </w:p>
    <w:p>
      <w:pPr>
        <w:spacing w:after="0" w:line="11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As of December 31, 2014, the total amount of unrecognized tax benefits that, if recognized, would affect our effective tax rate is zero. We do not anticipate that our existing unrecognized tax benefits will significantly increase or decrease within the next 12 months.</w:t>
      </w:r>
    </w:p>
    <w:p>
      <w:pPr>
        <w:spacing w:after="0" w:line="116"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file income tax returns in the United States, various states, and certain foreign jurisdictions. As a result of net operating loss carryforwards, all of our tax years are open to federal and state examination in the United States. Tax years from 2009 are open to examination in various foreign countries.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94"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 sponsor a 401(k) savings plan for our employees in the United States that stipulates that eligible employees may elect to contribute to the plan, subject to certain limitations, up to the lesser of 60% of eligible compensation or the maximum amount allowed by the U.S. Internal Revenue Service. We have not made contributions to this plan since its inception.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Information About Geographic Areas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operate in one reporting segment, which is the development, manufacturing, and commercialization of life science tools for the life science and Ag-Bio industries.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w:t>
      </w:r>
    </w:p>
    <w:p>
      <w:pPr>
        <w:ind w:right="820"/>
        <w:spacing w:after="0" w:line="323" w:lineRule="auto"/>
        <w:rPr>
          <w:sz w:val="20"/>
          <w:szCs w:val="20"/>
          <w:color w:val="auto"/>
        </w:rPr>
      </w:pPr>
      <w:r>
        <w:rPr>
          <w:rFonts w:ascii="Arial" w:cs="Arial" w:eastAsia="Arial" w:hAnsi="Arial"/>
          <w:sz w:val="16"/>
          <w:szCs w:val="16"/>
          <w:color w:val="auto"/>
        </w:rPr>
        <w:t>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represents our product revenue by geography based on the billing address of our customers for each year presented (in thousands):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8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27,325</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33,045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18,472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13,086</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6,321</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6,639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3,840</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115,915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70,198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51,488</w:t>
            </w:r>
          </w:p>
        </w:tc>
      </w:tr>
      <w:tr>
        <w:trPr>
          <w:trHeight w:val="27"/>
        </w:trPr>
        <w:tc>
          <w:tcPr>
            <w:tcW w:w="8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license and grant revenue is primarily generated in the United States.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had long-lived assets consisting of property and equipment, net of accumulated depreciation, in the following geographic areas (in thousands) as of:</w:t>
      </w:r>
    </w:p>
    <w:p>
      <w:pPr>
        <w:spacing w:after="0" w:line="33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2012</w:t>
            </w: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1,968</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Singapore</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7,624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3,741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2,961</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4,974</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Results of Operations (Unaudited)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Selected quarterly results of operations for the years ended December 31, 2014 and 2013 are as follows (in thousands, except for per share amounts):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First</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1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840" w:type="dxa"/>
            <w:vAlign w:val="bottom"/>
          </w:tcPr>
          <w:p>
            <w:pPr>
              <w:jc w:val="center"/>
              <w:ind w:right="117"/>
              <w:spacing w:after="0"/>
              <w:rPr>
                <w:sz w:val="20"/>
                <w:szCs w:val="20"/>
                <w:color w:val="auto"/>
              </w:rPr>
            </w:pPr>
            <w:r>
              <w:rPr>
                <w:rFonts w:ascii="Arial" w:cs="Arial" w:eastAsia="Arial" w:hAnsi="Arial"/>
                <w:sz w:val="14"/>
                <w:szCs w:val="14"/>
                <w:b w:val="1"/>
                <w:bCs w:val="1"/>
                <w:color w:val="auto"/>
                <w:w w:val="99"/>
              </w:rPr>
              <w:t>Fourth</w:t>
            </w:r>
          </w:p>
        </w:tc>
      </w:tr>
      <w:tr>
        <w:trPr>
          <w:trHeight w:val="158"/>
        </w:trPr>
        <w:tc>
          <w:tcPr>
            <w:tcW w:w="412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2014</w:t>
            </w: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3"/>
                <w:szCs w:val="13"/>
                <w:color w:val="auto"/>
              </w:rPr>
            </w:pPr>
          </w:p>
        </w:tc>
        <w:tc>
          <w:tcPr>
            <w:tcW w:w="840" w:type="dxa"/>
            <w:vAlign w:val="bottom"/>
          </w:tcPr>
          <w:p>
            <w:pPr>
              <w:jc w:val="center"/>
              <w:ind w:right="117"/>
              <w:spacing w:after="0" w:line="158" w:lineRule="exact"/>
              <w:rPr>
                <w:sz w:val="20"/>
                <w:szCs w:val="20"/>
                <w:color w:val="auto"/>
              </w:rPr>
            </w:pPr>
            <w:r>
              <w:rPr>
                <w:rFonts w:ascii="Arial" w:cs="Arial" w:eastAsia="Arial" w:hAnsi="Arial"/>
                <w:sz w:val="14"/>
                <w:szCs w:val="14"/>
                <w:b w:val="1"/>
                <w:bCs w:val="1"/>
                <w:color w:val="auto"/>
              </w:rPr>
              <w:t>Quarter</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27,607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33,490</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2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(10,944)</w:t>
            </w: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2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153"/>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First</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6"/>
              </w:rPr>
              <w:t>Second</w:t>
            </w:r>
          </w:p>
        </w:tc>
        <w:tc>
          <w:tcPr>
            <w:tcW w:w="18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3"/>
                <w:szCs w:val="13"/>
                <w:color w:val="auto"/>
              </w:rPr>
            </w:pPr>
          </w:p>
        </w:tc>
        <w:tc>
          <w:tcPr>
            <w:tcW w:w="8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9"/>
              </w:rPr>
              <w:t>Fourth</w:t>
            </w:r>
          </w:p>
        </w:tc>
      </w:tr>
      <w:tr>
        <w:trPr>
          <w:trHeight w:val="158"/>
        </w:trPr>
        <w:tc>
          <w:tcPr>
            <w:tcW w:w="412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2013</w:t>
            </w: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3"/>
                <w:szCs w:val="13"/>
                <w:color w:val="auto"/>
              </w:rPr>
            </w:pPr>
          </w:p>
        </w:tc>
        <w:tc>
          <w:tcPr>
            <w:tcW w:w="840" w:type="dxa"/>
            <w:vAlign w:val="bottom"/>
          </w:tcPr>
          <w:p>
            <w:pPr>
              <w:jc w:val="center"/>
              <w:ind w:right="117"/>
              <w:spacing w:after="0" w:line="158" w:lineRule="exact"/>
              <w:rPr>
                <w:sz w:val="20"/>
                <w:szCs w:val="20"/>
                <w:color w:val="auto"/>
              </w:rPr>
            </w:pPr>
            <w:r>
              <w:rPr>
                <w:rFonts w:ascii="Arial" w:cs="Arial" w:eastAsia="Arial" w:hAnsi="Arial"/>
                <w:sz w:val="14"/>
                <w:szCs w:val="14"/>
                <w:b w:val="1"/>
                <w:bCs w:val="1"/>
                <w:color w:val="auto"/>
              </w:rPr>
              <w:t>Quarter</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14,535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17,480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20,881</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2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(4,643)</w:t>
            </w: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2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459"/>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2014, our Chief Executive Officer and Chief Financial Officer concluded that, as of such date, our disclosure controls and procedures were effective at the reasonable assurance level.</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GAAP. Management assessed our internal control over financial reporting as of December 31, 2014. Management based its assessment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(2013 Framework). We have excluded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the internal control over financial reporting of DVS Sciences, Inc. (now Fluidigm Sciences, Inc.), which we acquired on February 13, 2014 and is included in the fiscal year 2014 consolidated financial statements of the Company and constituted $23.7 million and $6.7 million of total and net assets, respectively, as of December 31, 2014 and $20.7 million of revenues for the year then ended. Based on that evaluation, our management concluded that our internal control over financial reporting was effective as of December 31, 2014. The certifications of our principal executive officer and principal financial officer attached as Exhibits 31.1 and 31.2 to this report include, in paragraph 4 of such certifications, information concerning our disclosure controls and procedures and internal controls over financial reporting.</w:t>
      </w:r>
    </w:p>
    <w:p>
      <w:pPr>
        <w:spacing w:after="0" w:line="12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2014 has been audited by Ernst &amp; Young LLP, an independent registered public accounting firm, as stated in its report included in this Annual Report on Form 10-K.</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December 31, 2014 that have materially affected, or are reasonably likely to materially affect, our internal control over financial reporting.</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9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287"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Pursuant to General Instruction G(3) of Form 10-K, the information required by this Item 10 relating to our executive officers is included under the caption “Executive Officers” in Part I of this Form 10-K.</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other information required by this Item 10 will be included either (i) in an amendment to this Annual Report on Form 10-K or (ii) incorporated by reference to our Proxy Statement for the 2015 Annual Meeting of Stockholders under the headings “Corporate Governance and Board of Directors,” “Election of Class II Directors,” “Executive Officers,” and “Related Person Transactions and Section 16(a) Beneficial Ownership Reporting Compliance.” Such amendment to our Form 10-K or Proxy Statement for our 2015 Annual Meeting of Stockholders will be filed with the Securities and Exchange Commission within 120 days of our December 31, 2014 fiscal year end.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The information required by this Item 11 will be included either (i) in an amendment to this Annual Report on Form 10-K or (ii) incorporated by reference to our Proxy Statement for the 2015 Annual Meeting of Stockholders under the headings “Corporate Governance and Board of Directors” and “Executive Compensation.” Such amendment to our Form 10-K or Proxy Statement for our 2015 Annual Meeting of Stockholders will be filed with the Securities and Exchange Commission within 120 days of our December 31, 2014 fiscal year end.</w:t>
      </w:r>
    </w:p>
    <w:p>
      <w:pPr>
        <w:spacing w:after="0" w:line="248" w:lineRule="exact"/>
        <w:rPr>
          <w:sz w:val="20"/>
          <w:szCs w:val="20"/>
          <w:color w:val="auto"/>
        </w:rPr>
      </w:pPr>
    </w:p>
    <w:p>
      <w:pPr>
        <w:ind w:left="820" w:right="62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information required by this Item 12 will be included either (i) in an amendment to this Annual Report on Form 10-K or (ii) incorporated by reference to our Proxy Statement for the 2015 Annual Meeting of Stockholders under the headings “Executive Compensation” and “Security Ownership.” Such amendment to our Form 10-K or Proxy Statement for our 2015 Annual Meeting of Stockholders will be filed with the Securities and Exchange Commission within 120 days of our December 31, 2014 fiscal year end.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information required by this Item 13 will be included either (i) in an amendment to this Annual Report on Form 10-K or (ii) incorporated by reference to our Proxy Statement for the 2015 Annual Meeting of Stockholders under the headings “Corporate Governance and Board of Directors” and “Related Person Transactions and Section 16(a) Beneficial Ownership Reporting Compliance.” Such amendment to our Form 10-K or Proxy Statement for our 2015 Annual Meeting of Stockholders will be filed with the Securities and Exchange Commission within 120 days of our December 31, 2014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4"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information required by this Item 14 will be included either (i) in an amendment to this Annual Report on Form 10-K or (ii) incorporated by reference to our Proxy Statement for the 2015 Annual Meeting of Stockholders under the heading “Ratification of Appointment of Independent Registered Public Accounting Firm.” Such amendment to our Form 10-K or Proxy Statement for our 2015 Annual Meeting of Stockholders will be filed with the Securities and Exchange Commission within 120 days of our December 31, 2014 fiscal year end.</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00"/>
          </w:cols>
          <w:pgMar w:left="240" w:top="287" w:right="3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See “Index to Consolidated Financial Statements” in Part II, Item 8 of this Form 10-K.</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 </w:t>
      </w:r>
      <w:r>
        <w:rPr>
          <w:rFonts w:ascii="Arial" w:cs="Arial" w:eastAsia="Arial" w:hAnsi="Arial"/>
          <w:sz w:val="18"/>
          <w:szCs w:val="18"/>
          <w:color w:val="auto"/>
        </w:rPr>
        <w:t>See “Schedule II—Valuation and Qualifying Account and Reserve” in this section of this Form 10-K.</w:t>
      </w:r>
    </w:p>
    <w:p>
      <w:pPr>
        <w:spacing w:after="0" w:line="117" w:lineRule="exact"/>
        <w:rPr>
          <w:rFonts w:ascii="Arial" w:cs="Arial" w:eastAsia="Arial" w:hAnsi="Arial"/>
          <w:sz w:val="18"/>
          <w:szCs w:val="18"/>
          <w:color w:val="auto"/>
        </w:rPr>
      </w:pPr>
    </w:p>
    <w:p>
      <w:pPr>
        <w:ind w:firstLine="8"/>
        <w:spacing w:after="0" w:line="282"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set forth below are filed herewith or are incorporated by reference to exhibits previously filed with the U.S.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87"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 AND RESERVE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Additions/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19"/>
              <w:spacing w:after="0" w:line="153" w:lineRule="exact"/>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2"/>
                <w:szCs w:val="12"/>
                <w:color w:val="auto"/>
              </w:rPr>
            </w:pPr>
          </w:p>
        </w:tc>
        <w:tc>
          <w:tcPr>
            <w:tcW w:w="880" w:type="dxa"/>
            <w:vAlign w:val="bottom"/>
          </w:tcPr>
          <w:p>
            <w:pPr>
              <w:jc w:val="right"/>
              <w:ind w:right="219"/>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2013</w:t>
            </w:r>
          </w:p>
        </w:tc>
        <w:tc>
          <w:tcPr>
            <w:tcW w:w="2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2012</w:t>
            </w:r>
          </w:p>
        </w:tc>
        <w:tc>
          <w:tcPr>
            <w:tcW w:w="2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4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36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85"/>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bottom w:val="single" w:sz="8" w:color="auto"/>
            </w:tcBorders>
            <w:vMerge w:val="restart"/>
          </w:tcPr>
          <w:p>
            <w:pPr>
              <w:ind w:left="140"/>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7"/>
              </w:rPr>
              <w:t>Agreement and Plan of Merger dated January 28, 2014 by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5"/>
              </w:rPr>
              <w:t>among Fluidigm Corporation, DVS Sciences, Inc., Dawid Merger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Sub, Inc. and Shareholder Representative Services LLC.</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Eighth Amended and Restated Certificate of Incorporation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Fluidigm Corporation filed on February 15, 2011.</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4"/>
              </w:rPr>
              <w:t>Amended and Restated Bylaws of Fluidigm Corporation effective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as of February 9, 2011.</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9"/>
              </w:rPr>
              <w:t>Specimen Common Stock Certificate of Fluidigm Corporation.</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2"/>
              </w:rPr>
              <w:t>Indenture, dated as of February 4, 2014, by and between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Corporation and U.S. Bank National Association.</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4.3</w:t>
            </w:r>
          </w:p>
        </w:tc>
        <w:tc>
          <w:tcPr>
            <w:tcW w:w="108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0"/>
              </w:rPr>
              <w:t>First Supplemental Indenture, dated as of February 4, 2014, by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between Fluidigm Corporation and U.S. Bank National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Association.</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4.4</w:t>
            </w:r>
          </w:p>
        </w:tc>
        <w:tc>
          <w:tcPr>
            <w:tcW w:w="108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Form of Global Note (included in Exhibit 4.3).</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4.5</w:t>
            </w:r>
          </w:p>
        </w:tc>
        <w:tc>
          <w:tcPr>
            <w:tcW w:w="108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2"/>
              </w:rPr>
              <w:t>Ninth Amended and Restated Investor Rights Agreement between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5"/>
              </w:rPr>
              <w:t>the registrant and certain holders of the registrant’s capital stock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8"/>
              </w:rPr>
              <w:t>named therein, including amendments No. 1, No. 2 and No. 3.</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4.6</w:t>
            </w:r>
          </w:p>
        </w:tc>
        <w:tc>
          <w:tcPr>
            <w:tcW w:w="108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4.7</w:t>
            </w:r>
          </w:p>
        </w:tc>
        <w:tc>
          <w:tcPr>
            <w:tcW w:w="108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4.8</w:t>
            </w:r>
          </w:p>
        </w:tc>
        <w:tc>
          <w:tcPr>
            <w:tcW w:w="108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3"/>
              </w:rPr>
              <w:t>Business Financing Agreement between the registrant and Bridge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Bank, National Association, dated as of December 16, 2010.</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4.8A</w:t>
            </w:r>
          </w:p>
        </w:tc>
        <w:tc>
          <w:tcPr>
            <w:tcW w:w="4920" w:type="dxa"/>
            <w:vAlign w:val="bottom"/>
          </w:tcPr>
          <w:p>
            <w:pPr>
              <w:ind w:left="20"/>
              <w:spacing w:after="0"/>
              <w:rPr>
                <w:sz w:val="20"/>
                <w:szCs w:val="20"/>
                <w:color w:val="auto"/>
              </w:rPr>
            </w:pPr>
            <w:r>
              <w:rPr>
                <w:rFonts w:ascii="Arial" w:cs="Arial" w:eastAsia="Arial" w:hAnsi="Arial"/>
                <w:sz w:val="18"/>
                <w:szCs w:val="18"/>
                <w:color w:val="auto"/>
              </w:rPr>
              <w:t>Business Financing Modification Agreement dated March 31,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3"/>
              </w:rPr>
              <w:t>2011, by and between Bridge Bank, National Association, and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4.8B</w:t>
            </w:r>
          </w:p>
        </w:tc>
        <w:tc>
          <w:tcPr>
            <w:tcW w:w="4920" w:type="dxa"/>
            <w:vAlign w:val="bottom"/>
          </w:tcPr>
          <w:p>
            <w:pPr>
              <w:ind w:left="20"/>
              <w:spacing w:after="0"/>
              <w:rPr>
                <w:sz w:val="20"/>
                <w:szCs w:val="20"/>
                <w:color w:val="auto"/>
              </w:rPr>
            </w:pPr>
            <w:r>
              <w:rPr>
                <w:rFonts w:ascii="Arial" w:cs="Arial" w:eastAsia="Arial" w:hAnsi="Arial"/>
                <w:sz w:val="18"/>
                <w:szCs w:val="18"/>
                <w:color w:val="auto"/>
                <w:w w:val="94"/>
              </w:rPr>
              <w:t>Business Financing Modification Agreement dated December 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9"/>
              </w:rPr>
              <w:t>2012, by and between Bridge Bank, National Association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4.8C</w:t>
            </w:r>
          </w:p>
        </w:tc>
        <w:tc>
          <w:tcPr>
            <w:tcW w:w="4920" w:type="dxa"/>
            <w:vAlign w:val="bottom"/>
          </w:tcPr>
          <w:p>
            <w:pPr>
              <w:ind w:left="20"/>
              <w:spacing w:after="0"/>
              <w:rPr>
                <w:sz w:val="20"/>
                <w:szCs w:val="20"/>
                <w:color w:val="auto"/>
              </w:rPr>
            </w:pPr>
            <w:r>
              <w:rPr>
                <w:rFonts w:ascii="Arial" w:cs="Arial" w:eastAsia="Arial" w:hAnsi="Arial"/>
                <w:sz w:val="18"/>
                <w:szCs w:val="18"/>
                <w:color w:val="auto"/>
                <w:w w:val="97"/>
              </w:rPr>
              <w:t>Business Financing Modification Agreement dated January 29,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9"/>
              </w:rPr>
              <w:t>2014, by and between Bridge Bank, National Association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4.8D</w:t>
            </w:r>
          </w:p>
        </w:tc>
        <w:tc>
          <w:tcPr>
            <w:tcW w:w="4920" w:type="dxa"/>
            <w:vAlign w:val="bottom"/>
          </w:tcPr>
          <w:p>
            <w:pPr>
              <w:ind w:left="20"/>
              <w:spacing w:after="0"/>
              <w:rPr>
                <w:sz w:val="20"/>
                <w:szCs w:val="20"/>
                <w:color w:val="auto"/>
              </w:rPr>
            </w:pPr>
            <w:r>
              <w:rPr>
                <w:rFonts w:ascii="Arial" w:cs="Arial" w:eastAsia="Arial" w:hAnsi="Arial"/>
                <w:sz w:val="18"/>
                <w:szCs w:val="18"/>
                <w:color w:val="auto"/>
                <w:w w:val="95"/>
              </w:rPr>
              <w:t>Business Financing Modification Agreement dated May 9, 2014,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5"/>
              </w:rPr>
              <w:t>by and between Bridge Bank, National Association and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4.8E</w:t>
            </w:r>
          </w:p>
        </w:tc>
        <w:tc>
          <w:tcPr>
            <w:tcW w:w="4920" w:type="dxa"/>
            <w:vAlign w:val="bottom"/>
          </w:tcPr>
          <w:p>
            <w:pPr>
              <w:ind w:left="20"/>
              <w:spacing w:after="0"/>
              <w:rPr>
                <w:sz w:val="20"/>
                <w:szCs w:val="20"/>
                <w:color w:val="auto"/>
              </w:rPr>
            </w:pPr>
            <w:r>
              <w:rPr>
                <w:rFonts w:ascii="Arial" w:cs="Arial" w:eastAsia="Arial" w:hAnsi="Arial"/>
                <w:sz w:val="18"/>
                <w:szCs w:val="18"/>
                <w:color w:val="auto"/>
                <w:w w:val="94"/>
              </w:rPr>
              <w:t>Business Financing Modification Agreement dated July 31, 2014,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5"/>
              </w:rPr>
              <w:t>by and between Bridge Bank, National Association and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w w:val="93"/>
              </w:rPr>
              <w:t>Form of Indemnification Agreement between the registrant and its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directors and officers.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8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1999 Stock Option Plan of the registrant, as amended.</w:t>
            </w:r>
          </w:p>
        </w:tc>
        <w:tc>
          <w:tcPr>
            <w:tcW w:w="0" w:type="dxa"/>
            <w:vAlign w:val="bottom"/>
          </w:tcPr>
          <w:p>
            <w:pPr>
              <w:spacing w:after="0"/>
              <w:rPr>
                <w:sz w:val="1"/>
                <w:szCs w:val="1"/>
                <w:color w:val="auto"/>
              </w:rPr>
            </w:pPr>
          </w:p>
        </w:tc>
      </w:tr>
      <w:tr>
        <w:trPr>
          <w:trHeight w:val="270"/>
        </w:trPr>
        <w:tc>
          <w:tcPr>
            <w:tcW w:w="1580" w:type="dxa"/>
            <w:vAlign w:val="bottom"/>
            <w:gridSpan w:val="2"/>
          </w:tcPr>
          <w:p>
            <w:pPr>
              <w:spacing w:after="0"/>
              <w:rPr>
                <w:sz w:val="20"/>
                <w:szCs w:val="20"/>
                <w:color w:val="auto"/>
              </w:rPr>
            </w:pPr>
            <w:r>
              <w:rPr>
                <w:rFonts w:ascii="Arial" w:cs="Arial" w:eastAsia="Arial" w:hAnsi="Arial"/>
                <w:sz w:val="18"/>
                <w:szCs w:val="18"/>
                <w:color w:val="auto"/>
              </w:rPr>
              <w:t>10.2A#</w:t>
            </w:r>
          </w:p>
        </w:tc>
        <w:tc>
          <w:tcPr>
            <w:tcW w:w="4920" w:type="dxa"/>
            <w:vAlign w:val="bottom"/>
          </w:tcPr>
          <w:p>
            <w:pPr>
              <w:ind w:left="20"/>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8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2009 Equity Incentive Plan of the registrant, as amended.</w:t>
            </w:r>
          </w:p>
        </w:tc>
        <w:tc>
          <w:tcPr>
            <w:tcW w:w="0" w:type="dxa"/>
            <w:vAlign w:val="bottom"/>
          </w:tcPr>
          <w:p>
            <w:pPr>
              <w:spacing w:after="0"/>
              <w:rPr>
                <w:sz w:val="1"/>
                <w:szCs w:val="1"/>
                <w:color w:val="auto"/>
              </w:rPr>
            </w:pPr>
          </w:p>
        </w:tc>
      </w:tr>
      <w:tr>
        <w:trPr>
          <w:trHeight w:val="270"/>
        </w:trPr>
        <w:tc>
          <w:tcPr>
            <w:tcW w:w="1580" w:type="dxa"/>
            <w:vAlign w:val="bottom"/>
            <w:gridSpan w:val="2"/>
          </w:tcPr>
          <w:p>
            <w:pPr>
              <w:spacing w:after="0"/>
              <w:rPr>
                <w:sz w:val="20"/>
                <w:szCs w:val="20"/>
                <w:color w:val="auto"/>
              </w:rPr>
            </w:pPr>
            <w:r>
              <w:rPr>
                <w:rFonts w:ascii="Arial" w:cs="Arial" w:eastAsia="Arial" w:hAnsi="Arial"/>
                <w:sz w:val="18"/>
                <w:szCs w:val="18"/>
                <w:color w:val="auto"/>
              </w:rPr>
              <w:t>10.3A#</w:t>
            </w:r>
          </w:p>
        </w:tc>
        <w:tc>
          <w:tcPr>
            <w:tcW w:w="4920" w:type="dxa"/>
            <w:vAlign w:val="bottom"/>
          </w:tcPr>
          <w:p>
            <w:pPr>
              <w:ind w:left="20"/>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2011 Equity Incentive Plan of the registrant.</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20" w:type="dxa"/>
            <w:vAlign w:val="bottom"/>
          </w:tcPr>
          <w:p>
            <w:pPr>
              <w:ind w:left="40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1/29/2014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2/7/2011</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97"/>
              </w:rPr>
              <w:t>S-1/A</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87"/>
              </w:rPr>
              <w:t>4.8</w:t>
            </w:r>
          </w:p>
        </w:tc>
        <w:tc>
          <w:tcPr>
            <w:tcW w:w="1340" w:type="dxa"/>
            <w:vAlign w:val="bottom"/>
          </w:tcPr>
          <w:p>
            <w:pPr>
              <w:jc w:val="center"/>
              <w:ind w:left="410"/>
              <w:spacing w:after="0"/>
              <w:rPr>
                <w:sz w:val="20"/>
                <w:szCs w:val="20"/>
                <w:color w:val="auto"/>
              </w:rPr>
            </w:pPr>
            <w:r>
              <w:rPr>
                <w:rFonts w:ascii="Arial" w:cs="Arial" w:eastAsia="Arial" w:hAnsi="Arial"/>
                <w:sz w:val="18"/>
                <w:szCs w:val="18"/>
                <w:color w:val="auto"/>
                <w:w w:val="89"/>
              </w:rPr>
              <w:t>1/28/2011</w:t>
            </w:r>
          </w:p>
        </w:tc>
      </w:tr>
      <w:tr>
        <w:trPr>
          <w:trHeight w:val="486"/>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7"/>
              </w:rPr>
              <w:t>4.8A</w:t>
            </w:r>
          </w:p>
        </w:tc>
        <w:tc>
          <w:tcPr>
            <w:tcW w:w="1340" w:type="dxa"/>
            <w:vAlign w:val="bottom"/>
          </w:tcPr>
          <w:p>
            <w:pPr>
              <w:jc w:val="center"/>
              <w:ind w:left="410"/>
              <w:spacing w:after="0"/>
              <w:rPr>
                <w:sz w:val="20"/>
                <w:szCs w:val="20"/>
                <w:color w:val="auto"/>
              </w:rPr>
            </w:pPr>
            <w:r>
              <w:rPr>
                <w:rFonts w:ascii="Arial" w:cs="Arial" w:eastAsia="Arial" w:hAnsi="Arial"/>
                <w:sz w:val="18"/>
                <w:szCs w:val="18"/>
                <w:color w:val="auto"/>
                <w:w w:val="91"/>
              </w:rPr>
              <w:t>4/4/2011</w:t>
            </w:r>
          </w:p>
        </w:tc>
      </w:tr>
      <w:tr>
        <w:trPr>
          <w:trHeight w:val="702"/>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1"/>
              </w:rPr>
              <w:t>4.8B</w:t>
            </w:r>
          </w:p>
        </w:tc>
        <w:tc>
          <w:tcPr>
            <w:tcW w:w="1340" w:type="dxa"/>
            <w:vAlign w:val="bottom"/>
          </w:tcPr>
          <w:p>
            <w:pPr>
              <w:jc w:val="center"/>
              <w:ind w:left="430"/>
              <w:spacing w:after="0"/>
              <w:rPr>
                <w:sz w:val="20"/>
                <w:szCs w:val="20"/>
                <w:color w:val="auto"/>
              </w:rPr>
            </w:pPr>
            <w:r>
              <w:rPr>
                <w:rFonts w:ascii="Arial" w:cs="Arial" w:eastAsia="Arial" w:hAnsi="Arial"/>
                <w:sz w:val="18"/>
                <w:szCs w:val="18"/>
                <w:color w:val="auto"/>
                <w:w w:val="90"/>
              </w:rPr>
              <w:t>12/27/2012</w:t>
            </w:r>
          </w:p>
        </w:tc>
      </w:tr>
      <w:tr>
        <w:trPr>
          <w:trHeight w:val="702"/>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340" w:type="dxa"/>
            <w:vAlign w:val="bottom"/>
          </w:tcPr>
          <w:p>
            <w:pPr>
              <w:jc w:val="center"/>
              <w:ind w:left="410"/>
              <w:spacing w:after="0"/>
              <w:rPr>
                <w:sz w:val="20"/>
                <w:szCs w:val="20"/>
                <w:color w:val="auto"/>
              </w:rPr>
            </w:pPr>
            <w:r>
              <w:rPr>
                <w:rFonts w:ascii="Arial" w:cs="Arial" w:eastAsia="Arial" w:hAnsi="Arial"/>
                <w:sz w:val="18"/>
                <w:szCs w:val="18"/>
                <w:color w:val="auto"/>
                <w:w w:val="89"/>
              </w:rPr>
              <w:t>1/29/2014</w:t>
            </w:r>
          </w:p>
        </w:tc>
      </w:tr>
      <w:tr>
        <w:trPr>
          <w:trHeight w:val="702"/>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89"/>
              </w:rPr>
              <w:t>10-Q</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10.5</w:t>
            </w:r>
          </w:p>
        </w:tc>
        <w:tc>
          <w:tcPr>
            <w:tcW w:w="1340" w:type="dxa"/>
            <w:vAlign w:val="bottom"/>
          </w:tcPr>
          <w:p>
            <w:pPr>
              <w:jc w:val="center"/>
              <w:ind w:left="410"/>
              <w:spacing w:after="0"/>
              <w:rPr>
                <w:sz w:val="20"/>
                <w:szCs w:val="20"/>
                <w:color w:val="auto"/>
              </w:rPr>
            </w:pPr>
            <w:r>
              <w:rPr>
                <w:rFonts w:ascii="Arial" w:cs="Arial" w:eastAsia="Arial" w:hAnsi="Arial"/>
                <w:sz w:val="18"/>
                <w:szCs w:val="18"/>
                <w:color w:val="auto"/>
                <w:w w:val="89"/>
              </w:rPr>
              <w:t>5/12/2014</w:t>
            </w:r>
          </w:p>
        </w:tc>
      </w:tr>
      <w:tr>
        <w:trPr>
          <w:trHeight w:val="702"/>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89"/>
              </w:rPr>
              <w:t>10-Q</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10.2</w:t>
            </w:r>
          </w:p>
        </w:tc>
        <w:tc>
          <w:tcPr>
            <w:tcW w:w="1340" w:type="dxa"/>
            <w:vAlign w:val="bottom"/>
          </w:tcPr>
          <w:p>
            <w:pPr>
              <w:jc w:val="center"/>
              <w:ind w:left="410"/>
              <w:spacing w:after="0"/>
              <w:rPr>
                <w:sz w:val="20"/>
                <w:szCs w:val="20"/>
                <w:color w:val="auto"/>
              </w:rPr>
            </w:pPr>
            <w:r>
              <w:rPr>
                <w:rFonts w:ascii="Arial" w:cs="Arial" w:eastAsia="Arial" w:hAnsi="Arial"/>
                <w:sz w:val="18"/>
                <w:szCs w:val="18"/>
                <w:color w:val="auto"/>
                <w:w w:val="91"/>
              </w:rPr>
              <w:t>8/4/2014</w:t>
            </w:r>
          </w:p>
        </w:tc>
      </w:tr>
      <w:tr>
        <w:trPr>
          <w:trHeight w:val="702"/>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97"/>
              </w:rPr>
              <w:t>S-1/A</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340" w:type="dxa"/>
            <w:vAlign w:val="bottom"/>
          </w:tcPr>
          <w:p>
            <w:pPr>
              <w:jc w:val="center"/>
              <w:ind w:left="410"/>
              <w:spacing w:after="0"/>
              <w:rPr>
                <w:sz w:val="20"/>
                <w:szCs w:val="20"/>
                <w:color w:val="auto"/>
              </w:rPr>
            </w:pPr>
            <w:r>
              <w:rPr>
                <w:rFonts w:ascii="Arial" w:cs="Arial" w:eastAsia="Arial" w:hAnsi="Arial"/>
                <w:sz w:val="18"/>
                <w:szCs w:val="18"/>
                <w:color w:val="auto"/>
                <w:w w:val="89"/>
              </w:rPr>
              <w:t>1/28/2011</w:t>
            </w:r>
          </w:p>
        </w:tc>
      </w:tr>
      <w:tr>
        <w:trPr>
          <w:trHeight w:val="486"/>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10.2</w:t>
            </w:r>
          </w:p>
        </w:tc>
        <w:tc>
          <w:tcPr>
            <w:tcW w:w="1340" w:type="dxa"/>
            <w:vAlign w:val="bottom"/>
          </w:tcPr>
          <w:p>
            <w:pPr>
              <w:jc w:val="center"/>
              <w:ind w:left="410"/>
              <w:spacing w:after="0"/>
              <w:rPr>
                <w:sz w:val="20"/>
                <w:szCs w:val="20"/>
                <w:color w:val="auto"/>
              </w:rPr>
            </w:pPr>
            <w:r>
              <w:rPr>
                <w:rFonts w:ascii="Arial" w:cs="Arial" w:eastAsia="Arial" w:hAnsi="Arial"/>
                <w:sz w:val="18"/>
                <w:szCs w:val="18"/>
                <w:color w:val="auto"/>
                <w:w w:val="89"/>
              </w:rPr>
              <w:t>12/3/2010</w:t>
            </w:r>
          </w:p>
        </w:tc>
      </w:tr>
      <w:tr>
        <w:trPr>
          <w:trHeight w:val="270"/>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3"/>
              </w:rPr>
              <w:t>10.2A</w:t>
            </w:r>
          </w:p>
        </w:tc>
        <w:tc>
          <w:tcPr>
            <w:tcW w:w="1340" w:type="dxa"/>
            <w:vAlign w:val="bottom"/>
          </w:tcPr>
          <w:p>
            <w:pPr>
              <w:jc w:val="center"/>
              <w:ind w:left="410"/>
              <w:spacing w:after="0"/>
              <w:rPr>
                <w:sz w:val="20"/>
                <w:szCs w:val="20"/>
                <w:color w:val="auto"/>
              </w:rPr>
            </w:pPr>
            <w:r>
              <w:rPr>
                <w:rFonts w:ascii="Arial" w:cs="Arial" w:eastAsia="Arial" w:hAnsi="Arial"/>
                <w:sz w:val="18"/>
                <w:szCs w:val="18"/>
                <w:color w:val="auto"/>
                <w:w w:val="89"/>
              </w:rPr>
              <w:t>12/3/2010</w:t>
            </w:r>
          </w:p>
        </w:tc>
      </w:tr>
      <w:tr>
        <w:trPr>
          <w:trHeight w:val="270"/>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10.3</w:t>
            </w:r>
          </w:p>
        </w:tc>
        <w:tc>
          <w:tcPr>
            <w:tcW w:w="1340" w:type="dxa"/>
            <w:vAlign w:val="bottom"/>
          </w:tcPr>
          <w:p>
            <w:pPr>
              <w:jc w:val="center"/>
              <w:ind w:left="410"/>
              <w:spacing w:after="0"/>
              <w:rPr>
                <w:sz w:val="20"/>
                <w:szCs w:val="20"/>
                <w:color w:val="auto"/>
              </w:rPr>
            </w:pPr>
            <w:r>
              <w:rPr>
                <w:rFonts w:ascii="Arial" w:cs="Arial" w:eastAsia="Arial" w:hAnsi="Arial"/>
                <w:sz w:val="18"/>
                <w:szCs w:val="18"/>
                <w:color w:val="auto"/>
                <w:w w:val="89"/>
              </w:rPr>
              <w:t>12/3/2010</w:t>
            </w:r>
          </w:p>
        </w:tc>
      </w:tr>
      <w:tr>
        <w:trPr>
          <w:trHeight w:val="270"/>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3"/>
              </w:rPr>
              <w:t>10.3A</w:t>
            </w:r>
          </w:p>
        </w:tc>
        <w:tc>
          <w:tcPr>
            <w:tcW w:w="1340" w:type="dxa"/>
            <w:vAlign w:val="bottom"/>
          </w:tcPr>
          <w:p>
            <w:pPr>
              <w:jc w:val="center"/>
              <w:ind w:left="410"/>
              <w:spacing w:after="0"/>
              <w:rPr>
                <w:sz w:val="20"/>
                <w:szCs w:val="20"/>
                <w:color w:val="auto"/>
              </w:rPr>
            </w:pPr>
            <w:r>
              <w:rPr>
                <w:rFonts w:ascii="Arial" w:cs="Arial" w:eastAsia="Arial" w:hAnsi="Arial"/>
                <w:sz w:val="18"/>
                <w:szCs w:val="18"/>
                <w:color w:val="auto"/>
                <w:w w:val="89"/>
              </w:rPr>
              <w:t>12/3/2010</w:t>
            </w:r>
          </w:p>
        </w:tc>
      </w:tr>
      <w:tr>
        <w:trPr>
          <w:trHeight w:val="270"/>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97"/>
              </w:rPr>
              <w:t>S-1/A</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10.4</w:t>
            </w:r>
          </w:p>
        </w:tc>
        <w:tc>
          <w:tcPr>
            <w:tcW w:w="1340" w:type="dxa"/>
            <w:vAlign w:val="bottom"/>
          </w:tcPr>
          <w:p>
            <w:pPr>
              <w:jc w:val="center"/>
              <w:ind w:left="410"/>
              <w:spacing w:after="0"/>
              <w:rPr>
                <w:sz w:val="20"/>
                <w:szCs w:val="20"/>
                <w:color w:val="auto"/>
              </w:rPr>
            </w:pPr>
            <w:r>
              <w:rPr>
                <w:rFonts w:ascii="Arial" w:cs="Arial" w:eastAsia="Arial" w:hAnsi="Arial"/>
                <w:sz w:val="18"/>
                <w:szCs w:val="18"/>
                <w:color w:val="auto"/>
                <w:w w:val="89"/>
              </w:rPr>
              <w:t>1/28/2011</w:t>
            </w:r>
          </w:p>
        </w:tc>
      </w:tr>
    </w:tbl>
    <w:p>
      <w:pPr>
        <w:sectPr>
          <w:pgSz w:w="11900" w:h="16838" w:orient="portrait"/>
          <w:cols w:equalWidth="0" w:num="2">
            <w:col w:w="6540" w:space="120"/>
            <w:col w:w="4760"/>
          </w:cols>
          <w:pgMar w:left="240" w:top="287"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88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6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680" w:type="dxa"/>
            <w:vAlign w:val="bottom"/>
            <w:gridSpan w:val="2"/>
            <w:vMerge w:val="restart"/>
          </w:tcPr>
          <w:p>
            <w:pPr>
              <w:spacing w:after="0"/>
              <w:rPr>
                <w:sz w:val="20"/>
                <w:szCs w:val="20"/>
                <w:color w:val="auto"/>
              </w:rPr>
            </w:pPr>
            <w:r>
              <w:rPr>
                <w:rFonts w:ascii="Arial" w:cs="Arial" w:eastAsia="Arial" w:hAnsi="Arial"/>
                <w:sz w:val="18"/>
                <w:szCs w:val="18"/>
                <w:color w:val="auto"/>
              </w:rPr>
              <w:t>10.4A#</w:t>
            </w:r>
          </w:p>
        </w:tc>
        <w:tc>
          <w:tcPr>
            <w:tcW w:w="4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680" w:type="dxa"/>
            <w:vAlign w:val="bottom"/>
            <w:gridSpan w:val="2"/>
            <w:vMerge w:val="continue"/>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10.5†</w:t>
            </w:r>
          </w:p>
        </w:tc>
        <w:tc>
          <w:tcPr>
            <w:tcW w:w="4880" w:type="dxa"/>
            <w:vAlign w:val="bottom"/>
          </w:tcPr>
          <w:p>
            <w:pPr>
              <w:ind w:left="40"/>
              <w:spacing w:after="0"/>
              <w:rPr>
                <w:sz w:val="20"/>
                <w:szCs w:val="20"/>
                <w:color w:val="auto"/>
              </w:rPr>
            </w:pPr>
            <w:r>
              <w:rPr>
                <w:rFonts w:ascii="Arial" w:cs="Arial" w:eastAsia="Arial" w:hAnsi="Arial"/>
                <w:sz w:val="18"/>
                <w:szCs w:val="18"/>
                <w:color w:val="auto"/>
              </w:rPr>
              <w:t>Second Amended and Restated License Agreement by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between California Institute of Technology and the registrant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effective as of May 1, 2004.</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10.5A†</w:t>
            </w:r>
          </w:p>
        </w:tc>
        <w:tc>
          <w:tcPr>
            <w:tcW w:w="4880" w:type="dxa"/>
            <w:vAlign w:val="bottom"/>
          </w:tcPr>
          <w:p>
            <w:pPr>
              <w:ind w:left="40"/>
              <w:spacing w:after="0"/>
              <w:rPr>
                <w:sz w:val="20"/>
                <w:szCs w:val="20"/>
                <w:color w:val="auto"/>
              </w:rPr>
            </w:pPr>
            <w:r>
              <w:rPr>
                <w:rFonts w:ascii="Arial" w:cs="Arial" w:eastAsia="Arial" w:hAnsi="Arial"/>
                <w:sz w:val="18"/>
                <w:szCs w:val="18"/>
                <w:color w:val="auto"/>
              </w:rPr>
              <w:t>First Addendum, effective as of March 29, 2007, to Second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Amended and Restated License Agreement by and between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2"/>
              </w:rPr>
              <w:t>California Institute of Technology and the registrant effective as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May 1, 2004.</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10.6†</w:t>
            </w:r>
          </w:p>
        </w:tc>
        <w:tc>
          <w:tcPr>
            <w:tcW w:w="4880" w:type="dxa"/>
            <w:vAlign w:val="bottom"/>
          </w:tcPr>
          <w:p>
            <w:pPr>
              <w:ind w:left="40"/>
              <w:spacing w:after="0"/>
              <w:rPr>
                <w:sz w:val="20"/>
                <w:szCs w:val="20"/>
                <w:color w:val="auto"/>
              </w:rPr>
            </w:pPr>
            <w:r>
              <w:rPr>
                <w:rFonts w:ascii="Arial" w:cs="Arial" w:eastAsia="Arial" w:hAnsi="Arial"/>
                <w:sz w:val="18"/>
                <w:szCs w:val="18"/>
                <w:color w:val="auto"/>
                <w:w w:val="92"/>
              </w:rPr>
              <w:t>Co-Exclusive License Agreement between President and Fellows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4"/>
              </w:rPr>
              <w:t>of Harvard College and the registrant effective as of October 15,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10.6A†</w:t>
            </w:r>
          </w:p>
        </w:tc>
        <w:tc>
          <w:tcPr>
            <w:tcW w:w="4880" w:type="dxa"/>
            <w:vAlign w:val="bottom"/>
          </w:tcPr>
          <w:p>
            <w:pPr>
              <w:ind w:left="40"/>
              <w:spacing w:after="0"/>
              <w:rPr>
                <w:sz w:val="20"/>
                <w:szCs w:val="20"/>
                <w:color w:val="auto"/>
              </w:rPr>
            </w:pPr>
            <w:r>
              <w:rPr>
                <w:rFonts w:ascii="Arial" w:cs="Arial" w:eastAsia="Arial" w:hAnsi="Arial"/>
                <w:sz w:val="18"/>
                <w:szCs w:val="18"/>
                <w:color w:val="auto"/>
                <w:w w:val="96"/>
              </w:rPr>
              <w:t>First Amendment to Co-Exclusive License Agreement between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President and Fellows of Harvard College and the registrant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effective as of October 15, 2000.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10.7†</w:t>
            </w:r>
          </w:p>
        </w:tc>
        <w:tc>
          <w:tcPr>
            <w:tcW w:w="4880" w:type="dxa"/>
            <w:vAlign w:val="bottom"/>
          </w:tcPr>
          <w:p>
            <w:pPr>
              <w:ind w:left="40"/>
              <w:spacing w:after="0"/>
              <w:rPr>
                <w:sz w:val="20"/>
                <w:szCs w:val="20"/>
                <w:color w:val="auto"/>
              </w:rPr>
            </w:pPr>
            <w:r>
              <w:rPr>
                <w:rFonts w:ascii="Arial" w:cs="Arial" w:eastAsia="Arial" w:hAnsi="Arial"/>
                <w:sz w:val="18"/>
                <w:szCs w:val="18"/>
                <w:color w:val="auto"/>
                <w:w w:val="92"/>
              </w:rPr>
              <w:t>Co-Exclusive License Agreement between President and Fellows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4"/>
              </w:rPr>
              <w:t>of Harvard College and the registrant effective as of October 15,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10.8†</w:t>
            </w:r>
          </w:p>
        </w:tc>
        <w:tc>
          <w:tcPr>
            <w:tcW w:w="4880" w:type="dxa"/>
            <w:vAlign w:val="bottom"/>
          </w:tcPr>
          <w:p>
            <w:pPr>
              <w:ind w:left="40"/>
              <w:spacing w:after="0"/>
              <w:rPr>
                <w:sz w:val="20"/>
                <w:szCs w:val="20"/>
                <w:color w:val="auto"/>
              </w:rPr>
            </w:pPr>
            <w:r>
              <w:rPr>
                <w:rFonts w:ascii="Arial" w:cs="Arial" w:eastAsia="Arial" w:hAnsi="Arial"/>
                <w:sz w:val="18"/>
                <w:szCs w:val="18"/>
                <w:color w:val="auto"/>
                <w:w w:val="92"/>
              </w:rPr>
              <w:t>Co-Exclusive License Agreement between President and Fellows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4"/>
              </w:rPr>
              <w:t>of Harvard College and the registrant effective as of October 15,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10.9†</w:t>
            </w:r>
          </w:p>
        </w:tc>
        <w:tc>
          <w:tcPr>
            <w:tcW w:w="4880" w:type="dxa"/>
            <w:vAlign w:val="bottom"/>
          </w:tcPr>
          <w:p>
            <w:pPr>
              <w:ind w:left="40"/>
              <w:spacing w:after="0"/>
              <w:rPr>
                <w:sz w:val="20"/>
                <w:szCs w:val="20"/>
                <w:color w:val="auto"/>
              </w:rPr>
            </w:pPr>
            <w:r>
              <w:rPr>
                <w:rFonts w:ascii="Arial" w:cs="Arial" w:eastAsia="Arial" w:hAnsi="Arial"/>
                <w:sz w:val="18"/>
                <w:szCs w:val="18"/>
                <w:color w:val="auto"/>
                <w:w w:val="99"/>
              </w:rPr>
              <w:t>Letter Agreement between President and Fellows of Harvard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College and the registrant dated December 22, 2004.</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1180" w:type="dxa"/>
            <w:vAlign w:val="bottom"/>
          </w:tcPr>
          <w:p>
            <w:pPr>
              <w:spacing w:after="0"/>
              <w:rPr>
                <w:sz w:val="23"/>
                <w:szCs w:val="23"/>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1180" w:type="dxa"/>
            <w:vAlign w:val="bottom"/>
          </w:tcPr>
          <w:p>
            <w:pPr>
              <w:spacing w:after="0"/>
              <w:rPr>
                <w:sz w:val="23"/>
                <w:szCs w:val="23"/>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1180" w:type="dxa"/>
            <w:vAlign w:val="bottom"/>
          </w:tcPr>
          <w:p>
            <w:pPr>
              <w:spacing w:after="0"/>
              <w:rPr>
                <w:sz w:val="23"/>
                <w:szCs w:val="23"/>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1180" w:type="dxa"/>
            <w:vAlign w:val="bottom"/>
          </w:tcPr>
          <w:p>
            <w:pPr>
              <w:spacing w:after="0"/>
              <w:rPr>
                <w:sz w:val="23"/>
                <w:szCs w:val="23"/>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10.14#</w:t>
            </w:r>
          </w:p>
        </w:tc>
        <w:tc>
          <w:tcPr>
            <w:tcW w:w="1180" w:type="dxa"/>
            <w:vAlign w:val="bottom"/>
          </w:tcPr>
          <w:p>
            <w:pPr>
              <w:spacing w:after="0"/>
              <w:rPr>
                <w:sz w:val="22"/>
                <w:szCs w:val="22"/>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8"/>
              </w:rPr>
              <w:t>Form of Amended and Restated Employment and Severance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Agreement between the registrant and each of its executive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1180" w:type="dxa"/>
            <w:vAlign w:val="bottom"/>
          </w:tcPr>
          <w:p>
            <w:pPr>
              <w:spacing w:after="0"/>
              <w:rPr>
                <w:sz w:val="23"/>
                <w:szCs w:val="23"/>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1180" w:type="dxa"/>
            <w:vAlign w:val="bottom"/>
          </w:tcPr>
          <w:p>
            <w:pPr>
              <w:spacing w:after="0"/>
              <w:rPr>
                <w:sz w:val="23"/>
                <w:szCs w:val="23"/>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w w:val="87"/>
              </w:rPr>
              <w:t>10.17#</w:t>
            </w:r>
          </w:p>
        </w:tc>
        <w:tc>
          <w:tcPr>
            <w:tcW w:w="1180" w:type="dxa"/>
            <w:vAlign w:val="bottom"/>
          </w:tcPr>
          <w:p>
            <w:pPr>
              <w:spacing w:after="0"/>
              <w:rPr>
                <w:sz w:val="23"/>
                <w:szCs w:val="23"/>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Offer Letter to Vikram Jog dated January 29, 2008.</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10.18#</w:t>
            </w:r>
          </w:p>
        </w:tc>
        <w:tc>
          <w:tcPr>
            <w:tcW w:w="1180" w:type="dxa"/>
            <w:vAlign w:val="bottom"/>
          </w:tcPr>
          <w:p>
            <w:pPr>
              <w:spacing w:after="0"/>
              <w:rPr>
                <w:sz w:val="22"/>
                <w:szCs w:val="22"/>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3"/>
              </w:rPr>
              <w:t>Offer Letter dated May 3, 2010 to Fredric Walder and Addendum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thereto dated November 8, 2010.</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1180" w:type="dxa"/>
            <w:vAlign w:val="bottom"/>
          </w:tcPr>
          <w:p>
            <w:pPr>
              <w:spacing w:after="0"/>
              <w:rPr>
                <w:sz w:val="22"/>
                <w:szCs w:val="22"/>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2"/>
              </w:rPr>
              <w:t>Lease Agreement between ARE - San Francisco No. 17 LLC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the registrant, dated September 14, 2010, as amended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September 22, 2010.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10.19A</w:t>
            </w:r>
          </w:p>
        </w:tc>
        <w:tc>
          <w:tcPr>
            <w:tcW w:w="4880" w:type="dxa"/>
            <w:vAlign w:val="bottom"/>
          </w:tcPr>
          <w:p>
            <w:pPr>
              <w:ind w:left="40"/>
              <w:spacing w:after="0"/>
              <w:rPr>
                <w:sz w:val="20"/>
                <w:szCs w:val="20"/>
                <w:color w:val="auto"/>
              </w:rPr>
            </w:pPr>
            <w:r>
              <w:rPr>
                <w:rFonts w:ascii="Arial" w:cs="Arial" w:eastAsia="Arial" w:hAnsi="Arial"/>
                <w:sz w:val="18"/>
                <w:szCs w:val="18"/>
                <w:color w:val="auto"/>
                <w:w w:val="99"/>
              </w:rPr>
              <w:t>Second Amendment to Lease Agreement between ARE-San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8"/>
              </w:rPr>
              <w:t>Francisco No. 17, LLC and the registrant, dated April 9, 2013.</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10.19B</w:t>
            </w:r>
          </w:p>
        </w:tc>
        <w:tc>
          <w:tcPr>
            <w:tcW w:w="4880" w:type="dxa"/>
            <w:vAlign w:val="bottom"/>
          </w:tcPr>
          <w:p>
            <w:pPr>
              <w:ind w:left="40"/>
              <w:spacing w:after="0"/>
              <w:rPr>
                <w:sz w:val="20"/>
                <w:szCs w:val="20"/>
                <w:color w:val="auto"/>
              </w:rPr>
            </w:pPr>
            <w:r>
              <w:rPr>
                <w:rFonts w:ascii="Arial" w:cs="Arial" w:eastAsia="Arial" w:hAnsi="Arial"/>
                <w:sz w:val="18"/>
                <w:szCs w:val="18"/>
                <w:color w:val="auto"/>
              </w:rPr>
              <w:t>Fourth Amendment to Lease Agreement between ARE-San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7"/>
              </w:rPr>
              <w:t>Francisco No. 17, LLC and the registrant, dated June 4, 2014.</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10.19C</w:t>
            </w:r>
          </w:p>
        </w:tc>
        <w:tc>
          <w:tcPr>
            <w:tcW w:w="4880" w:type="dxa"/>
            <w:vAlign w:val="bottom"/>
          </w:tcPr>
          <w:p>
            <w:pPr>
              <w:ind w:left="40"/>
              <w:spacing w:after="0"/>
              <w:rPr>
                <w:sz w:val="20"/>
                <w:szCs w:val="20"/>
                <w:color w:val="auto"/>
              </w:rPr>
            </w:pPr>
            <w:r>
              <w:rPr>
                <w:rFonts w:ascii="Arial" w:cs="Arial" w:eastAsia="Arial" w:hAnsi="Arial"/>
                <w:sz w:val="18"/>
                <w:szCs w:val="18"/>
                <w:color w:val="auto"/>
              </w:rPr>
              <w:t>Fifth Amendment to Lease Agreement between ARE-San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5"/>
              </w:rPr>
              <w:t>Francisco No. 17, LLC and the registrant, dated September 15,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1180" w:type="dxa"/>
            <w:vAlign w:val="bottom"/>
          </w:tcPr>
          <w:p>
            <w:pPr>
              <w:spacing w:after="0"/>
              <w:rPr>
                <w:sz w:val="22"/>
                <w:szCs w:val="22"/>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7"/>
              </w:rPr>
              <w:t>Tenancy for Flatted Factory Space in Singapore between JTC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4"/>
              </w:rPr>
              <w:t>Corporation and the registrant dated July 27, 2005, as amended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August 12, 2008 and May 31, 2010.</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80" w:type="dxa"/>
            <w:vAlign w:val="bottom"/>
          </w:tcPr>
          <w:p>
            <w:pPr>
              <w:ind w:left="39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Filed</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10.4A</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1/28/2011</w:t>
            </w:r>
          </w:p>
        </w:tc>
        <w:tc>
          <w:tcPr>
            <w:tcW w:w="0" w:type="dxa"/>
            <w:vAlign w:val="bottom"/>
          </w:tcPr>
          <w:p>
            <w:pPr>
              <w:spacing w:after="0"/>
              <w:rPr>
                <w:sz w:val="1"/>
                <w:szCs w:val="1"/>
                <w:color w:val="auto"/>
              </w:rPr>
            </w:pPr>
          </w:p>
        </w:tc>
      </w:tr>
      <w:tr>
        <w:trPr>
          <w:trHeight w:val="270"/>
        </w:trPr>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10.5A</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12/3/2010</w:t>
            </w:r>
          </w:p>
        </w:tc>
        <w:tc>
          <w:tcPr>
            <w:tcW w:w="0" w:type="dxa"/>
            <w:vAlign w:val="bottom"/>
          </w:tcPr>
          <w:p>
            <w:pPr>
              <w:spacing w:after="0"/>
              <w:rPr>
                <w:sz w:val="1"/>
                <w:szCs w:val="1"/>
                <w:color w:val="auto"/>
              </w:rPr>
            </w:pPr>
          </w:p>
        </w:tc>
      </w:tr>
      <w:tr>
        <w:trPr>
          <w:trHeight w:val="918"/>
        </w:trPr>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10.6A</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12/3/2010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0"/>
        <w:spacing w:after="0"/>
        <w:tabs>
          <w:tab w:leader="none" w:pos="2140" w:val="left"/>
          <w:tab w:leader="none" w:pos="35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12/11/2012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2"/>
              </w:rPr>
              <w:t>S-1</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88"/>
              </w:rPr>
              <w:t>10.17</w:t>
            </w:r>
          </w:p>
        </w:tc>
        <w:tc>
          <w:tcPr>
            <w:tcW w:w="1200" w:type="dxa"/>
            <w:vAlign w:val="bottom"/>
          </w:tcPr>
          <w:p>
            <w:pPr>
              <w:jc w:val="center"/>
              <w:ind w:left="370"/>
              <w:spacing w:after="0"/>
              <w:rPr>
                <w:sz w:val="20"/>
                <w:szCs w:val="20"/>
                <w:color w:val="auto"/>
              </w:rPr>
            </w:pPr>
            <w:r>
              <w:rPr>
                <w:rFonts w:ascii="Arial" w:cs="Arial" w:eastAsia="Arial" w:hAnsi="Arial"/>
                <w:sz w:val="18"/>
                <w:szCs w:val="18"/>
                <w:color w:val="auto"/>
                <w:w w:val="92"/>
              </w:rPr>
              <w:t>12/3/2010</w:t>
            </w:r>
          </w:p>
        </w:tc>
      </w:tr>
      <w:tr>
        <w:trPr>
          <w:trHeight w:val="270"/>
        </w:trPr>
        <w:tc>
          <w:tcPr>
            <w:tcW w:w="1000" w:type="dxa"/>
            <w:vAlign w:val="bottom"/>
          </w:tcPr>
          <w:p>
            <w:pPr>
              <w:jc w:val="center"/>
              <w:ind w:right="51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88"/>
              </w:rPr>
              <w:t>10.18</w:t>
            </w:r>
          </w:p>
        </w:tc>
        <w:tc>
          <w:tcPr>
            <w:tcW w:w="1200" w:type="dxa"/>
            <w:vAlign w:val="bottom"/>
          </w:tcPr>
          <w:p>
            <w:pPr>
              <w:jc w:val="center"/>
              <w:ind w:left="370"/>
              <w:spacing w:after="0"/>
              <w:rPr>
                <w:sz w:val="20"/>
                <w:szCs w:val="20"/>
                <w:color w:val="auto"/>
              </w:rPr>
            </w:pPr>
            <w:r>
              <w:rPr>
                <w:rFonts w:ascii="Arial" w:cs="Arial" w:eastAsia="Arial" w:hAnsi="Arial"/>
                <w:sz w:val="18"/>
                <w:szCs w:val="18"/>
                <w:color w:val="auto"/>
                <w:w w:val="88"/>
              </w:rPr>
              <w:t>4/4/2011</w:t>
            </w:r>
          </w:p>
        </w:tc>
      </w:tr>
      <w:tr>
        <w:trPr>
          <w:trHeight w:val="486"/>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3"/>
              </w:rPr>
              <w:t>S-1/A</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88"/>
              </w:rPr>
              <w:t>10.19</w:t>
            </w:r>
          </w:p>
        </w:tc>
        <w:tc>
          <w:tcPr>
            <w:tcW w:w="1200" w:type="dxa"/>
            <w:vAlign w:val="bottom"/>
          </w:tcPr>
          <w:p>
            <w:pPr>
              <w:jc w:val="center"/>
              <w:ind w:left="370"/>
              <w:spacing w:after="0"/>
              <w:rPr>
                <w:sz w:val="20"/>
                <w:szCs w:val="20"/>
                <w:color w:val="auto"/>
              </w:rPr>
            </w:pPr>
            <w:r>
              <w:rPr>
                <w:rFonts w:ascii="Arial" w:cs="Arial" w:eastAsia="Arial" w:hAnsi="Arial"/>
                <w:sz w:val="18"/>
                <w:szCs w:val="18"/>
                <w:color w:val="auto"/>
                <w:w w:val="88"/>
              </w:rPr>
              <w:t>1/7/2011</w:t>
            </w:r>
          </w:p>
        </w:tc>
      </w:tr>
      <w:tr>
        <w:trPr>
          <w:trHeight w:val="702"/>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4"/>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10.19A</w:t>
            </w:r>
          </w:p>
        </w:tc>
        <w:tc>
          <w:tcPr>
            <w:tcW w:w="1200" w:type="dxa"/>
            <w:vAlign w:val="bottom"/>
          </w:tcPr>
          <w:p>
            <w:pPr>
              <w:jc w:val="center"/>
              <w:ind w:left="390"/>
              <w:spacing w:after="0"/>
              <w:rPr>
                <w:sz w:val="20"/>
                <w:szCs w:val="20"/>
                <w:color w:val="auto"/>
              </w:rPr>
            </w:pPr>
            <w:r>
              <w:rPr>
                <w:rFonts w:ascii="Arial" w:cs="Arial" w:eastAsia="Arial" w:hAnsi="Arial"/>
                <w:sz w:val="18"/>
                <w:szCs w:val="18"/>
                <w:color w:val="auto"/>
                <w:w w:val="91"/>
              </w:rPr>
              <w:t>5/9/2013</w:t>
            </w:r>
          </w:p>
        </w:tc>
      </w:tr>
      <w:tr>
        <w:trPr>
          <w:trHeight w:val="486"/>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4"/>
              </w:rPr>
              <w:t>10-Q</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1"/>
              </w:rPr>
              <w:t>10.3</w:t>
            </w:r>
          </w:p>
        </w:tc>
        <w:tc>
          <w:tcPr>
            <w:tcW w:w="1200" w:type="dxa"/>
            <w:vAlign w:val="bottom"/>
          </w:tcPr>
          <w:p>
            <w:pPr>
              <w:jc w:val="center"/>
              <w:ind w:left="390"/>
              <w:spacing w:after="0"/>
              <w:rPr>
                <w:sz w:val="20"/>
                <w:szCs w:val="20"/>
                <w:color w:val="auto"/>
              </w:rPr>
            </w:pPr>
            <w:r>
              <w:rPr>
                <w:rFonts w:ascii="Arial" w:cs="Arial" w:eastAsia="Arial" w:hAnsi="Arial"/>
                <w:sz w:val="18"/>
                <w:szCs w:val="18"/>
                <w:color w:val="auto"/>
                <w:w w:val="91"/>
              </w:rPr>
              <w:t>8/4/2014</w:t>
            </w:r>
          </w:p>
        </w:tc>
      </w:tr>
      <w:tr>
        <w:trPr>
          <w:trHeight w:val="486"/>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4"/>
              </w:rPr>
              <w:t>10-Q</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1"/>
              </w:rPr>
              <w:t>10.2</w:t>
            </w:r>
          </w:p>
        </w:tc>
        <w:tc>
          <w:tcPr>
            <w:tcW w:w="1200" w:type="dxa"/>
            <w:vAlign w:val="bottom"/>
          </w:tcPr>
          <w:p>
            <w:pPr>
              <w:jc w:val="center"/>
              <w:ind w:left="370"/>
              <w:spacing w:after="0"/>
              <w:rPr>
                <w:sz w:val="20"/>
                <w:szCs w:val="20"/>
                <w:color w:val="auto"/>
              </w:rPr>
            </w:pPr>
            <w:r>
              <w:rPr>
                <w:rFonts w:ascii="Arial" w:cs="Arial" w:eastAsia="Arial" w:hAnsi="Arial"/>
                <w:sz w:val="18"/>
                <w:szCs w:val="18"/>
                <w:color w:val="auto"/>
                <w:w w:val="92"/>
              </w:rPr>
              <w:t>11/6/2014</w:t>
            </w:r>
          </w:p>
        </w:tc>
      </w:tr>
      <w:tr>
        <w:trPr>
          <w:trHeight w:val="702"/>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2"/>
              </w:rPr>
              <w:t>S-1</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88"/>
              </w:rPr>
              <w:t>10.20</w:t>
            </w:r>
          </w:p>
        </w:tc>
        <w:tc>
          <w:tcPr>
            <w:tcW w:w="1200" w:type="dxa"/>
            <w:vAlign w:val="bottom"/>
          </w:tcPr>
          <w:p>
            <w:pPr>
              <w:jc w:val="center"/>
              <w:ind w:left="370"/>
              <w:spacing w:after="0"/>
              <w:rPr>
                <w:sz w:val="20"/>
                <w:szCs w:val="20"/>
                <w:color w:val="auto"/>
              </w:rPr>
            </w:pPr>
            <w:r>
              <w:rPr>
                <w:rFonts w:ascii="Arial" w:cs="Arial" w:eastAsia="Arial" w:hAnsi="Arial"/>
                <w:sz w:val="18"/>
                <w:szCs w:val="18"/>
                <w:color w:val="auto"/>
                <w:w w:val="92"/>
              </w:rPr>
              <w:t>12/3/2010</w:t>
            </w:r>
          </w:p>
        </w:tc>
      </w:tr>
    </w:tbl>
    <w:p>
      <w:pPr>
        <w:sectPr>
          <w:pgSz w:w="11900" w:h="16838" w:orient="portrait"/>
          <w:cols w:equalWidth="0" w:num="2">
            <w:col w:w="6600" w:space="120"/>
            <w:col w:w="4600"/>
          </w:cols>
          <w:pgMar w:left="240" w:top="287"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gridSpan w:val="2"/>
            <w:vMerge w:val="continue"/>
          </w:tcPr>
          <w:p>
            <w:pPr>
              <w:spacing w:after="0"/>
              <w:rPr>
                <w:sz w:val="12"/>
                <w:szCs w:val="12"/>
                <w:color w:val="auto"/>
              </w:rPr>
            </w:pPr>
          </w:p>
        </w:tc>
        <w:tc>
          <w:tcPr>
            <w:tcW w:w="5000" w:type="dxa"/>
            <w:vAlign w:val="bottom"/>
            <w:gridSpan w:val="2"/>
            <w:vMerge w:val="restart"/>
          </w:tcPr>
          <w:p>
            <w:pPr>
              <w:ind w:left="2080"/>
              <w:spacing w:after="0"/>
              <w:rPr>
                <w:sz w:val="20"/>
                <w:szCs w:val="20"/>
                <w:color w:val="auto"/>
              </w:rPr>
            </w:pPr>
            <w:r>
              <w:rPr>
                <w:rFonts w:ascii="Arial" w:cs="Arial" w:eastAsia="Arial" w:hAnsi="Arial"/>
                <w:sz w:val="14"/>
                <w:szCs w:val="14"/>
                <w:b w:val="1"/>
                <w:bCs w:val="1"/>
                <w:color w:val="auto"/>
              </w:rPr>
              <w:t>Description</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Filed</w:t>
            </w:r>
          </w:p>
        </w:tc>
        <w:tc>
          <w:tcPr>
            <w:tcW w:w="0" w:type="dxa"/>
            <w:vAlign w:val="bottom"/>
          </w:tcPr>
          <w:p>
            <w:pPr>
              <w:spacing w:after="0"/>
              <w:rPr>
                <w:sz w:val="1"/>
                <w:szCs w:val="1"/>
                <w:color w:val="auto"/>
              </w:rPr>
            </w:pPr>
          </w:p>
        </w:tc>
      </w:tr>
      <w:tr>
        <w:trPr>
          <w:trHeight w:val="158"/>
        </w:trPr>
        <w:tc>
          <w:tcPr>
            <w:tcW w:w="16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5000" w:type="dxa"/>
            <w:vAlign w:val="bottom"/>
            <w:gridSpan w:val="2"/>
            <w:vMerge w:val="continue"/>
          </w:tcPr>
          <w:p>
            <w:pPr>
              <w:spacing w:after="0"/>
              <w:rPr>
                <w:sz w:val="13"/>
                <w:szCs w:val="13"/>
                <w:color w:val="auto"/>
              </w:rPr>
            </w:pPr>
          </w:p>
        </w:tc>
        <w:tc>
          <w:tcPr>
            <w:tcW w:w="15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7"/>
              </w:rPr>
              <w:t>From Form</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Number</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10.21</w:t>
            </w:r>
          </w:p>
        </w:tc>
        <w:tc>
          <w:tcPr>
            <w:tcW w:w="118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0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w w:val="97"/>
              </w:rPr>
              <w:t>Offer of Tenancy for Facility Lease between Fluidigm Singapore</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3/12/2014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Pte. Ltd. and SBC Institutional Trust Services (Singapore)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Limited, as trustee of Ascendas Real Estate Investment Trust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dated October 14, 2013.</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1180" w:type="dxa"/>
            <w:vAlign w:val="bottom"/>
          </w:tcPr>
          <w:p>
            <w:pPr>
              <w:spacing w:after="0"/>
              <w:rPr>
                <w:sz w:val="23"/>
                <w:szCs w:val="23"/>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Reserved.</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1180" w:type="dxa"/>
            <w:vAlign w:val="bottom"/>
          </w:tcPr>
          <w:p>
            <w:pPr>
              <w:spacing w:after="0"/>
              <w:rPr>
                <w:sz w:val="23"/>
                <w:szCs w:val="23"/>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Reserved.</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1180" w:type="dxa"/>
            <w:vAlign w:val="bottom"/>
          </w:tcPr>
          <w:p>
            <w:pPr>
              <w:spacing w:after="0"/>
              <w:rPr>
                <w:sz w:val="23"/>
                <w:szCs w:val="23"/>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Reserved.</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w w:val="87"/>
              </w:rPr>
              <w:t>10.25#</w:t>
            </w:r>
          </w:p>
        </w:tc>
        <w:tc>
          <w:tcPr>
            <w:tcW w:w="1180" w:type="dxa"/>
            <w:vAlign w:val="bottom"/>
          </w:tcPr>
          <w:p>
            <w:pPr>
              <w:spacing w:after="0"/>
              <w:rPr>
                <w:sz w:val="23"/>
                <w:szCs w:val="23"/>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Executive Bonus Plan.</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3/28/2011</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10.26#</w:t>
            </w:r>
          </w:p>
        </w:tc>
        <w:tc>
          <w:tcPr>
            <w:tcW w:w="1180" w:type="dxa"/>
            <w:vAlign w:val="bottom"/>
          </w:tcPr>
          <w:p>
            <w:pPr>
              <w:spacing w:after="0"/>
              <w:rPr>
                <w:sz w:val="22"/>
                <w:szCs w:val="22"/>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w w:val="97"/>
              </w:rPr>
              <w:t>Letter Agreement between Fluidigm Corporation and William M.</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5/12/2014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w w:val="98"/>
              </w:rPr>
              <w:t>Smith, the registrant's Executive Vice President of Legal Affairs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and General Counsel, dated March 4, 2014.</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10.27†</w:t>
            </w: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License Agreement between MDS Analytical Technologies, a</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10-Q/A</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9/15/2014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w w:val="93"/>
              </w:rPr>
              <w:t>business unit of MDS INC., and DVS Sciences Inc., dated July 17,</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320"/>
          </w:cols>
          <w:pgMar w:left="240" w:top="287" w:right="339" w:bottom="1440" w:gutter="0" w:footer="0" w:header="0"/>
        </w:sectPr>
      </w:pPr>
    </w:p>
    <w:p>
      <w:pPr>
        <w:ind w:left="40"/>
        <w:spacing w:after="0"/>
        <w:rPr>
          <w:sz w:val="20"/>
          <w:szCs w:val="20"/>
          <w:color w:val="auto"/>
        </w:rPr>
      </w:pPr>
      <w:r>
        <w:rPr>
          <w:rFonts w:ascii="Arial" w:cs="Arial" w:eastAsia="Arial" w:hAnsi="Arial"/>
          <w:sz w:val="16"/>
          <w:szCs w:val="16"/>
          <w:color w:val="auto"/>
        </w:rPr>
        <w:t>10.28†</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Sublicense Agreement between DVS Sciences Inc. and Fluidigm Corporation, dated January 28, 2014.</w:t>
      </w:r>
    </w:p>
    <w:p>
      <w:pPr>
        <w:spacing w:after="0" w:line="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Computation of ratio of earnings to combined fixed charges and preference dividends.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10-Q/A</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1260" w:type="dxa"/>
            <w:vAlign w:val="bottom"/>
          </w:tcPr>
          <w:p>
            <w:pPr>
              <w:jc w:val="right"/>
              <w:spacing w:after="0"/>
              <w:rPr>
                <w:sz w:val="20"/>
                <w:szCs w:val="20"/>
                <w:color w:val="auto"/>
              </w:rPr>
            </w:pPr>
            <w:r>
              <w:rPr>
                <w:rFonts w:ascii="Arial" w:cs="Arial" w:eastAsia="Arial" w:hAnsi="Arial"/>
                <w:sz w:val="18"/>
                <w:szCs w:val="18"/>
                <w:color w:val="auto"/>
              </w:rPr>
              <w:t>9/15/2014</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440" w:lineRule="exact"/>
        <w:rPr>
          <w:sz w:val="20"/>
          <w:szCs w:val="20"/>
          <w:color w:val="auto"/>
        </w:rPr>
      </w:pPr>
    </w:p>
    <w:p>
      <w:pPr>
        <w:sectPr>
          <w:pgSz w:w="11900" w:h="16838" w:orient="portrait"/>
          <w:cols w:equalWidth="0" w:num="3">
            <w:col w:w="1040" w:space="720"/>
            <w:col w:w="4660" w:space="500"/>
            <w:col w:w="4400"/>
          </w:cols>
          <w:pgMar w:left="24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21.1</w:t>
            </w:r>
          </w:p>
        </w:tc>
        <w:tc>
          <w:tcPr>
            <w:tcW w:w="4960" w:type="dxa"/>
            <w:vAlign w:val="bottom"/>
          </w:tcPr>
          <w:p>
            <w:pPr>
              <w:ind w:left="160"/>
              <w:spacing w:after="0"/>
              <w:rPr>
                <w:sz w:val="20"/>
                <w:szCs w:val="20"/>
                <w:color w:val="auto"/>
              </w:rPr>
            </w:pPr>
            <w:r>
              <w:rPr>
                <w:rFonts w:ascii="Arial" w:cs="Arial" w:eastAsia="Arial" w:hAnsi="Arial"/>
                <w:sz w:val="18"/>
                <w:szCs w:val="18"/>
                <w:color w:val="auto"/>
              </w:rPr>
              <w:t>Subsidiaries of the registrant.</w:t>
            </w:r>
          </w:p>
        </w:tc>
        <w:tc>
          <w:tcPr>
            <w:tcW w:w="1420" w:type="dxa"/>
            <w:vAlign w:val="bottom"/>
          </w:tcPr>
          <w:p>
            <w:pPr>
              <w:ind w:left="360"/>
              <w:spacing w:after="0"/>
              <w:rPr>
                <w:sz w:val="20"/>
                <w:szCs w:val="20"/>
                <w:color w:val="auto"/>
              </w:rPr>
            </w:pPr>
            <w:r>
              <w:rPr>
                <w:rFonts w:ascii="Arial" w:cs="Arial" w:eastAsia="Arial" w:hAnsi="Arial"/>
                <w:sz w:val="18"/>
                <w:szCs w:val="18"/>
                <w:color w:val="auto"/>
                <w:w w:val="92"/>
              </w:rPr>
              <w:t>Filed herewith</w:t>
            </w:r>
          </w:p>
        </w:tc>
      </w:tr>
      <w:tr>
        <w:trPr>
          <w:trHeight w:val="405"/>
        </w:trPr>
        <w:tc>
          <w:tcPr>
            <w:tcW w:w="1600" w:type="dxa"/>
            <w:vAlign w:val="bottom"/>
          </w:tcPr>
          <w:p>
            <w:pPr>
              <w:ind w:left="40"/>
              <w:spacing w:after="0"/>
              <w:rPr>
                <w:sz w:val="20"/>
                <w:szCs w:val="20"/>
                <w:color w:val="auto"/>
              </w:rPr>
            </w:pPr>
            <w:r>
              <w:rPr>
                <w:rFonts w:ascii="Arial" w:cs="Arial" w:eastAsia="Arial" w:hAnsi="Arial"/>
                <w:sz w:val="18"/>
                <w:szCs w:val="18"/>
                <w:color w:val="auto"/>
              </w:rPr>
              <w:t>23.1</w:t>
            </w:r>
          </w:p>
        </w:tc>
        <w:tc>
          <w:tcPr>
            <w:tcW w:w="4960" w:type="dxa"/>
            <w:vAlign w:val="bottom"/>
          </w:tcPr>
          <w:p>
            <w:pPr>
              <w:ind w:left="160"/>
              <w:spacing w:after="0"/>
              <w:rPr>
                <w:sz w:val="20"/>
                <w:szCs w:val="20"/>
                <w:color w:val="auto"/>
              </w:rPr>
            </w:pPr>
            <w:r>
              <w:rPr>
                <w:rFonts w:ascii="Arial" w:cs="Arial" w:eastAsia="Arial" w:hAnsi="Arial"/>
                <w:sz w:val="18"/>
                <w:szCs w:val="18"/>
                <w:color w:val="auto"/>
                <w:w w:val="99"/>
              </w:rPr>
              <w:t>Consent of Independent Registered Public Accounting Firm.</w:t>
            </w:r>
          </w:p>
        </w:tc>
        <w:tc>
          <w:tcPr>
            <w:tcW w:w="1420" w:type="dxa"/>
            <w:vAlign w:val="bottom"/>
          </w:tcPr>
          <w:p>
            <w:pPr>
              <w:ind w:left="360"/>
              <w:spacing w:after="0"/>
              <w:rPr>
                <w:sz w:val="20"/>
                <w:szCs w:val="20"/>
                <w:color w:val="auto"/>
              </w:rPr>
            </w:pPr>
            <w:r>
              <w:rPr>
                <w:rFonts w:ascii="Arial" w:cs="Arial" w:eastAsia="Arial" w:hAnsi="Arial"/>
                <w:sz w:val="18"/>
                <w:szCs w:val="18"/>
                <w:color w:val="auto"/>
                <w:w w:val="92"/>
              </w:rPr>
              <w:t>Filed herewith</w:t>
            </w:r>
          </w:p>
        </w:tc>
      </w:tr>
      <w:tr>
        <w:trPr>
          <w:trHeight w:val="256"/>
        </w:trPr>
        <w:tc>
          <w:tcPr>
            <w:tcW w:w="1600" w:type="dxa"/>
            <w:vAlign w:val="bottom"/>
          </w:tcPr>
          <w:p>
            <w:pPr>
              <w:ind w:left="40"/>
              <w:spacing w:after="0"/>
              <w:rPr>
                <w:sz w:val="20"/>
                <w:szCs w:val="20"/>
                <w:color w:val="auto"/>
              </w:rPr>
            </w:pPr>
            <w:r>
              <w:rPr>
                <w:rFonts w:ascii="Arial" w:cs="Arial" w:eastAsia="Arial" w:hAnsi="Arial"/>
                <w:sz w:val="18"/>
                <w:szCs w:val="18"/>
                <w:color w:val="auto"/>
              </w:rPr>
              <w:t>24.1</w:t>
            </w:r>
          </w:p>
        </w:tc>
        <w:tc>
          <w:tcPr>
            <w:tcW w:w="4960" w:type="dxa"/>
            <w:vAlign w:val="bottom"/>
          </w:tcPr>
          <w:p>
            <w:pPr>
              <w:ind w:left="160"/>
              <w:spacing w:after="0"/>
              <w:rPr>
                <w:sz w:val="20"/>
                <w:szCs w:val="20"/>
                <w:color w:val="auto"/>
              </w:rPr>
            </w:pPr>
            <w:r>
              <w:rPr>
                <w:rFonts w:ascii="Arial" w:cs="Arial" w:eastAsia="Arial" w:hAnsi="Arial"/>
                <w:sz w:val="18"/>
                <w:szCs w:val="18"/>
                <w:color w:val="auto"/>
              </w:rPr>
              <w:t>Power of Attorney (contained in the signature page to this</w:t>
            </w:r>
          </w:p>
        </w:tc>
        <w:tc>
          <w:tcPr>
            <w:tcW w:w="1420" w:type="dxa"/>
            <w:vAlign w:val="bottom"/>
          </w:tcPr>
          <w:p>
            <w:pPr>
              <w:ind w:left="360"/>
              <w:spacing w:after="0"/>
              <w:rPr>
                <w:sz w:val="20"/>
                <w:szCs w:val="20"/>
                <w:color w:val="auto"/>
              </w:rPr>
            </w:pPr>
            <w:r>
              <w:rPr>
                <w:rFonts w:ascii="Arial" w:cs="Arial" w:eastAsia="Arial" w:hAnsi="Arial"/>
                <w:sz w:val="18"/>
                <w:szCs w:val="18"/>
                <w:color w:val="auto"/>
                <w:w w:val="92"/>
              </w:rPr>
              <w:t>Filed herewith</w:t>
            </w:r>
          </w:p>
        </w:tc>
      </w:tr>
      <w:tr>
        <w:trPr>
          <w:trHeight w:val="230"/>
        </w:trPr>
        <w:tc>
          <w:tcPr>
            <w:tcW w:w="160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Form 10-K).</w:t>
            </w:r>
          </w:p>
        </w:tc>
        <w:tc>
          <w:tcPr>
            <w:tcW w:w="1420" w:type="dxa"/>
            <w:vAlign w:val="bottom"/>
          </w:tcPr>
          <w:p>
            <w:pPr>
              <w:spacing w:after="0"/>
              <w:rPr>
                <w:sz w:val="20"/>
                <w:szCs w:val="20"/>
                <w:color w:val="auto"/>
              </w:rPr>
            </w:pPr>
          </w:p>
        </w:tc>
      </w:tr>
      <w:tr>
        <w:trPr>
          <w:trHeight w:val="256"/>
        </w:trPr>
        <w:tc>
          <w:tcPr>
            <w:tcW w:w="1600" w:type="dxa"/>
            <w:vAlign w:val="bottom"/>
          </w:tcPr>
          <w:p>
            <w:pPr>
              <w:ind w:left="40"/>
              <w:spacing w:after="0"/>
              <w:rPr>
                <w:sz w:val="20"/>
                <w:szCs w:val="20"/>
                <w:color w:val="auto"/>
              </w:rPr>
            </w:pPr>
            <w:r>
              <w:rPr>
                <w:rFonts w:ascii="Arial" w:cs="Arial" w:eastAsia="Arial" w:hAnsi="Arial"/>
                <w:sz w:val="18"/>
                <w:szCs w:val="18"/>
                <w:color w:val="auto"/>
              </w:rPr>
              <w:t>31.1</w:t>
            </w:r>
          </w:p>
        </w:tc>
        <w:tc>
          <w:tcPr>
            <w:tcW w:w="4960" w:type="dxa"/>
            <w:vAlign w:val="bottom"/>
          </w:tcPr>
          <w:p>
            <w:pPr>
              <w:ind w:left="160"/>
              <w:spacing w:after="0"/>
              <w:rPr>
                <w:sz w:val="20"/>
                <w:szCs w:val="20"/>
                <w:color w:val="auto"/>
              </w:rPr>
            </w:pPr>
            <w:r>
              <w:rPr>
                <w:rFonts w:ascii="Arial" w:cs="Arial" w:eastAsia="Arial" w:hAnsi="Arial"/>
                <w:sz w:val="18"/>
                <w:szCs w:val="18"/>
                <w:color w:val="auto"/>
                <w:w w:val="98"/>
              </w:rPr>
              <w:t>Certification Pursuant to 18 U.S.C. Section 1350, as Adopted</w:t>
            </w:r>
          </w:p>
        </w:tc>
        <w:tc>
          <w:tcPr>
            <w:tcW w:w="1420" w:type="dxa"/>
            <w:vAlign w:val="bottom"/>
          </w:tcPr>
          <w:p>
            <w:pPr>
              <w:ind w:left="360"/>
              <w:spacing w:after="0"/>
              <w:rPr>
                <w:sz w:val="20"/>
                <w:szCs w:val="20"/>
                <w:color w:val="auto"/>
              </w:rPr>
            </w:pPr>
            <w:r>
              <w:rPr>
                <w:rFonts w:ascii="Arial" w:cs="Arial" w:eastAsia="Arial" w:hAnsi="Arial"/>
                <w:sz w:val="18"/>
                <w:szCs w:val="18"/>
                <w:color w:val="auto"/>
                <w:w w:val="92"/>
              </w:rPr>
              <w:t>Filed herewith</w:t>
            </w:r>
          </w:p>
        </w:tc>
      </w:tr>
      <w:tr>
        <w:trPr>
          <w:trHeight w:val="216"/>
        </w:trPr>
        <w:tc>
          <w:tcPr>
            <w:tcW w:w="160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w w:val="97"/>
              </w:rPr>
              <w:t>Pursuant to Section 302 of the Sarbanes-Oxley Act of 2002 of</w:t>
            </w:r>
          </w:p>
        </w:tc>
        <w:tc>
          <w:tcPr>
            <w:tcW w:w="1420" w:type="dxa"/>
            <w:vAlign w:val="bottom"/>
          </w:tcPr>
          <w:p>
            <w:pPr>
              <w:spacing w:after="0"/>
              <w:rPr>
                <w:sz w:val="18"/>
                <w:szCs w:val="18"/>
                <w:color w:val="auto"/>
              </w:rPr>
            </w:pPr>
          </w:p>
        </w:tc>
      </w:tr>
      <w:tr>
        <w:trPr>
          <w:trHeight w:val="230"/>
        </w:trPr>
        <w:tc>
          <w:tcPr>
            <w:tcW w:w="160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1420" w:type="dxa"/>
            <w:vAlign w:val="bottom"/>
          </w:tcPr>
          <w:p>
            <w:pPr>
              <w:spacing w:after="0"/>
              <w:rPr>
                <w:sz w:val="20"/>
                <w:szCs w:val="20"/>
                <w:color w:val="auto"/>
              </w:rPr>
            </w:pPr>
          </w:p>
        </w:tc>
      </w:tr>
      <w:tr>
        <w:trPr>
          <w:trHeight w:val="256"/>
        </w:trPr>
        <w:tc>
          <w:tcPr>
            <w:tcW w:w="1600" w:type="dxa"/>
            <w:vAlign w:val="bottom"/>
          </w:tcPr>
          <w:p>
            <w:pPr>
              <w:ind w:left="40"/>
              <w:spacing w:after="0"/>
              <w:rPr>
                <w:sz w:val="20"/>
                <w:szCs w:val="20"/>
                <w:color w:val="auto"/>
              </w:rPr>
            </w:pPr>
            <w:r>
              <w:rPr>
                <w:rFonts w:ascii="Arial" w:cs="Arial" w:eastAsia="Arial" w:hAnsi="Arial"/>
                <w:sz w:val="18"/>
                <w:szCs w:val="18"/>
                <w:color w:val="auto"/>
              </w:rPr>
              <w:t>31.2</w:t>
            </w:r>
          </w:p>
        </w:tc>
        <w:tc>
          <w:tcPr>
            <w:tcW w:w="4960" w:type="dxa"/>
            <w:vAlign w:val="bottom"/>
          </w:tcPr>
          <w:p>
            <w:pPr>
              <w:ind w:left="160"/>
              <w:spacing w:after="0"/>
              <w:rPr>
                <w:sz w:val="20"/>
                <w:szCs w:val="20"/>
                <w:color w:val="auto"/>
              </w:rPr>
            </w:pPr>
            <w:r>
              <w:rPr>
                <w:rFonts w:ascii="Arial" w:cs="Arial" w:eastAsia="Arial" w:hAnsi="Arial"/>
                <w:sz w:val="18"/>
                <w:szCs w:val="18"/>
                <w:color w:val="auto"/>
                <w:w w:val="98"/>
              </w:rPr>
              <w:t>Certification Pursuant to 18 U.S.C. Section 1350, as Adopted</w:t>
            </w:r>
          </w:p>
        </w:tc>
        <w:tc>
          <w:tcPr>
            <w:tcW w:w="1420" w:type="dxa"/>
            <w:vAlign w:val="bottom"/>
          </w:tcPr>
          <w:p>
            <w:pPr>
              <w:ind w:left="360"/>
              <w:spacing w:after="0"/>
              <w:rPr>
                <w:sz w:val="20"/>
                <w:szCs w:val="20"/>
                <w:color w:val="auto"/>
              </w:rPr>
            </w:pPr>
            <w:r>
              <w:rPr>
                <w:rFonts w:ascii="Arial" w:cs="Arial" w:eastAsia="Arial" w:hAnsi="Arial"/>
                <w:sz w:val="18"/>
                <w:szCs w:val="18"/>
                <w:color w:val="auto"/>
                <w:w w:val="92"/>
              </w:rPr>
              <w:t>Filed herewith</w:t>
            </w:r>
          </w:p>
        </w:tc>
      </w:tr>
      <w:tr>
        <w:trPr>
          <w:trHeight w:val="216"/>
        </w:trPr>
        <w:tc>
          <w:tcPr>
            <w:tcW w:w="160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w w:val="97"/>
              </w:rPr>
              <w:t>Pursuant to Section 302 of the Sarbanes-Oxley Act of 2002 of</w:t>
            </w:r>
          </w:p>
        </w:tc>
        <w:tc>
          <w:tcPr>
            <w:tcW w:w="1420" w:type="dxa"/>
            <w:vAlign w:val="bottom"/>
          </w:tcPr>
          <w:p>
            <w:pPr>
              <w:spacing w:after="0"/>
              <w:rPr>
                <w:sz w:val="18"/>
                <w:szCs w:val="18"/>
                <w:color w:val="auto"/>
              </w:rPr>
            </w:pPr>
          </w:p>
        </w:tc>
      </w:tr>
      <w:tr>
        <w:trPr>
          <w:trHeight w:val="230"/>
        </w:trPr>
        <w:tc>
          <w:tcPr>
            <w:tcW w:w="160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1420" w:type="dxa"/>
            <w:vAlign w:val="bottom"/>
          </w:tcPr>
          <w:p>
            <w:pPr>
              <w:spacing w:after="0"/>
              <w:rPr>
                <w:sz w:val="20"/>
                <w:szCs w:val="20"/>
                <w:color w:val="auto"/>
              </w:rPr>
            </w:pPr>
          </w:p>
        </w:tc>
      </w:tr>
      <w:tr>
        <w:trPr>
          <w:trHeight w:val="256"/>
        </w:trPr>
        <w:tc>
          <w:tcPr>
            <w:tcW w:w="1600" w:type="dxa"/>
            <w:vAlign w:val="bottom"/>
          </w:tcPr>
          <w:p>
            <w:pPr>
              <w:ind w:left="40"/>
              <w:spacing w:after="0"/>
              <w:rPr>
                <w:sz w:val="20"/>
                <w:szCs w:val="20"/>
                <w:color w:val="auto"/>
              </w:rPr>
            </w:pPr>
            <w:r>
              <w:rPr>
                <w:rFonts w:ascii="Arial" w:cs="Arial" w:eastAsia="Arial" w:hAnsi="Arial"/>
                <w:sz w:val="18"/>
                <w:szCs w:val="18"/>
                <w:color w:val="auto"/>
              </w:rPr>
              <w:t>32.1~</w:t>
            </w:r>
          </w:p>
        </w:tc>
        <w:tc>
          <w:tcPr>
            <w:tcW w:w="4960" w:type="dxa"/>
            <w:vAlign w:val="bottom"/>
          </w:tcPr>
          <w:p>
            <w:pPr>
              <w:ind w:left="160"/>
              <w:spacing w:after="0"/>
              <w:rPr>
                <w:sz w:val="20"/>
                <w:szCs w:val="20"/>
                <w:color w:val="auto"/>
              </w:rPr>
            </w:pPr>
            <w:r>
              <w:rPr>
                <w:rFonts w:ascii="Arial" w:cs="Arial" w:eastAsia="Arial" w:hAnsi="Arial"/>
                <w:sz w:val="18"/>
                <w:szCs w:val="18"/>
                <w:color w:val="auto"/>
                <w:w w:val="98"/>
              </w:rPr>
              <w:t>Certification Pursuant to 18 U.S.C. Section 1350, as Adopted</w:t>
            </w:r>
          </w:p>
        </w:tc>
        <w:tc>
          <w:tcPr>
            <w:tcW w:w="1420" w:type="dxa"/>
            <w:vAlign w:val="bottom"/>
          </w:tcPr>
          <w:p>
            <w:pPr>
              <w:ind w:left="360"/>
              <w:spacing w:after="0"/>
              <w:rPr>
                <w:sz w:val="20"/>
                <w:szCs w:val="20"/>
                <w:color w:val="auto"/>
              </w:rPr>
            </w:pPr>
            <w:r>
              <w:rPr>
                <w:rFonts w:ascii="Arial" w:cs="Arial" w:eastAsia="Arial" w:hAnsi="Arial"/>
                <w:sz w:val="18"/>
                <w:szCs w:val="18"/>
                <w:color w:val="auto"/>
                <w:w w:val="92"/>
              </w:rPr>
              <w:t>Filed herewith</w:t>
            </w:r>
          </w:p>
        </w:tc>
      </w:tr>
      <w:tr>
        <w:trPr>
          <w:trHeight w:val="216"/>
        </w:trPr>
        <w:tc>
          <w:tcPr>
            <w:tcW w:w="160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w w:val="97"/>
              </w:rPr>
              <w:t>Pursuant to Section 906 of the Sarbanes-Oxley Act of 2002 of</w:t>
            </w:r>
          </w:p>
        </w:tc>
        <w:tc>
          <w:tcPr>
            <w:tcW w:w="1420" w:type="dxa"/>
            <w:vAlign w:val="bottom"/>
          </w:tcPr>
          <w:p>
            <w:pPr>
              <w:spacing w:after="0"/>
              <w:rPr>
                <w:sz w:val="18"/>
                <w:szCs w:val="18"/>
                <w:color w:val="auto"/>
              </w:rPr>
            </w:pPr>
          </w:p>
        </w:tc>
      </w:tr>
      <w:tr>
        <w:trPr>
          <w:trHeight w:val="230"/>
        </w:trPr>
        <w:tc>
          <w:tcPr>
            <w:tcW w:w="160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1420" w:type="dxa"/>
            <w:vAlign w:val="bottom"/>
          </w:tcPr>
          <w:p>
            <w:pPr>
              <w:spacing w:after="0"/>
              <w:rPr>
                <w:sz w:val="20"/>
                <w:szCs w:val="20"/>
                <w:color w:val="auto"/>
              </w:rPr>
            </w:pPr>
          </w:p>
        </w:tc>
      </w:tr>
      <w:tr>
        <w:trPr>
          <w:trHeight w:val="256"/>
        </w:trPr>
        <w:tc>
          <w:tcPr>
            <w:tcW w:w="1600" w:type="dxa"/>
            <w:vAlign w:val="bottom"/>
          </w:tcPr>
          <w:p>
            <w:pPr>
              <w:ind w:left="40"/>
              <w:spacing w:after="0"/>
              <w:rPr>
                <w:sz w:val="20"/>
                <w:szCs w:val="20"/>
                <w:color w:val="auto"/>
              </w:rPr>
            </w:pPr>
            <w:r>
              <w:rPr>
                <w:rFonts w:ascii="Arial" w:cs="Arial" w:eastAsia="Arial" w:hAnsi="Arial"/>
                <w:sz w:val="18"/>
                <w:szCs w:val="18"/>
                <w:color w:val="auto"/>
              </w:rPr>
              <w:t>32.2~</w:t>
            </w:r>
          </w:p>
        </w:tc>
        <w:tc>
          <w:tcPr>
            <w:tcW w:w="4960" w:type="dxa"/>
            <w:vAlign w:val="bottom"/>
          </w:tcPr>
          <w:p>
            <w:pPr>
              <w:ind w:left="160"/>
              <w:spacing w:after="0"/>
              <w:rPr>
                <w:sz w:val="20"/>
                <w:szCs w:val="20"/>
                <w:color w:val="auto"/>
              </w:rPr>
            </w:pPr>
            <w:r>
              <w:rPr>
                <w:rFonts w:ascii="Arial" w:cs="Arial" w:eastAsia="Arial" w:hAnsi="Arial"/>
                <w:sz w:val="18"/>
                <w:szCs w:val="18"/>
                <w:color w:val="auto"/>
                <w:w w:val="98"/>
              </w:rPr>
              <w:t>Certification Pursuant to 18 U.S.C. Section 1350, as Adopted</w:t>
            </w:r>
          </w:p>
        </w:tc>
        <w:tc>
          <w:tcPr>
            <w:tcW w:w="1420" w:type="dxa"/>
            <w:vAlign w:val="bottom"/>
          </w:tcPr>
          <w:p>
            <w:pPr>
              <w:ind w:left="360"/>
              <w:spacing w:after="0"/>
              <w:rPr>
                <w:sz w:val="20"/>
                <w:szCs w:val="20"/>
                <w:color w:val="auto"/>
              </w:rPr>
            </w:pPr>
            <w:r>
              <w:rPr>
                <w:rFonts w:ascii="Arial" w:cs="Arial" w:eastAsia="Arial" w:hAnsi="Arial"/>
                <w:sz w:val="18"/>
                <w:szCs w:val="18"/>
                <w:color w:val="auto"/>
                <w:w w:val="92"/>
              </w:rPr>
              <w:t>Filed herewith</w:t>
            </w:r>
          </w:p>
        </w:tc>
      </w:tr>
      <w:tr>
        <w:trPr>
          <w:trHeight w:val="216"/>
        </w:trPr>
        <w:tc>
          <w:tcPr>
            <w:tcW w:w="160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w w:val="97"/>
              </w:rPr>
              <w:t>Pursuant to Section 906 of the Sarbanes-Oxley Act of 2002 of</w:t>
            </w:r>
          </w:p>
        </w:tc>
        <w:tc>
          <w:tcPr>
            <w:tcW w:w="1420" w:type="dxa"/>
            <w:vAlign w:val="bottom"/>
          </w:tcPr>
          <w:p>
            <w:pPr>
              <w:spacing w:after="0"/>
              <w:rPr>
                <w:sz w:val="18"/>
                <w:szCs w:val="18"/>
                <w:color w:val="auto"/>
              </w:rPr>
            </w:pPr>
          </w:p>
        </w:tc>
      </w:tr>
      <w:tr>
        <w:trPr>
          <w:trHeight w:val="230"/>
        </w:trPr>
        <w:tc>
          <w:tcPr>
            <w:tcW w:w="160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1420" w:type="dxa"/>
            <w:vAlign w:val="bottom"/>
          </w:tcPr>
          <w:p>
            <w:pPr>
              <w:spacing w:after="0"/>
              <w:rPr>
                <w:sz w:val="20"/>
                <w:szCs w:val="20"/>
                <w:color w:val="auto"/>
              </w:rPr>
            </w:pPr>
          </w:p>
        </w:tc>
      </w:tr>
      <w:tr>
        <w:trPr>
          <w:trHeight w:val="270"/>
        </w:trPr>
        <w:tc>
          <w:tcPr>
            <w:tcW w:w="1600" w:type="dxa"/>
            <w:vAlign w:val="bottom"/>
          </w:tcPr>
          <w:p>
            <w:pPr>
              <w:ind w:left="40"/>
              <w:spacing w:after="0"/>
              <w:rPr>
                <w:sz w:val="20"/>
                <w:szCs w:val="20"/>
                <w:color w:val="auto"/>
              </w:rPr>
            </w:pPr>
            <w:r>
              <w:rPr>
                <w:rFonts w:ascii="Arial" w:cs="Arial" w:eastAsia="Arial" w:hAnsi="Arial"/>
                <w:sz w:val="18"/>
                <w:szCs w:val="18"/>
                <w:color w:val="auto"/>
              </w:rPr>
              <w:t>101.INS</w:t>
            </w:r>
          </w:p>
        </w:tc>
        <w:tc>
          <w:tcPr>
            <w:tcW w:w="4960" w:type="dxa"/>
            <w:vAlign w:val="bottom"/>
          </w:tcPr>
          <w:p>
            <w:pPr>
              <w:ind w:left="160"/>
              <w:spacing w:after="0"/>
              <w:rPr>
                <w:sz w:val="20"/>
                <w:szCs w:val="20"/>
                <w:color w:val="auto"/>
              </w:rPr>
            </w:pPr>
            <w:r>
              <w:rPr>
                <w:rFonts w:ascii="Arial" w:cs="Arial" w:eastAsia="Arial" w:hAnsi="Arial"/>
                <w:sz w:val="18"/>
                <w:szCs w:val="18"/>
                <w:color w:val="auto"/>
              </w:rPr>
              <w:t>XBRL Instance Document</w:t>
            </w:r>
          </w:p>
        </w:tc>
        <w:tc>
          <w:tcPr>
            <w:tcW w:w="1420" w:type="dxa"/>
            <w:vAlign w:val="bottom"/>
          </w:tcPr>
          <w:p>
            <w:pPr>
              <w:ind w:left="360"/>
              <w:spacing w:after="0"/>
              <w:rPr>
                <w:sz w:val="20"/>
                <w:szCs w:val="20"/>
                <w:color w:val="auto"/>
              </w:rPr>
            </w:pPr>
            <w:r>
              <w:rPr>
                <w:rFonts w:ascii="Arial" w:cs="Arial" w:eastAsia="Arial" w:hAnsi="Arial"/>
                <w:sz w:val="18"/>
                <w:szCs w:val="18"/>
                <w:color w:val="auto"/>
                <w:w w:val="92"/>
              </w:rPr>
              <w:t>Filed herewith</w:t>
            </w:r>
          </w:p>
        </w:tc>
      </w:tr>
      <w:tr>
        <w:trPr>
          <w:trHeight w:val="270"/>
        </w:trPr>
        <w:tc>
          <w:tcPr>
            <w:tcW w:w="1600" w:type="dxa"/>
            <w:vAlign w:val="bottom"/>
          </w:tcPr>
          <w:p>
            <w:pPr>
              <w:ind w:left="40"/>
              <w:spacing w:after="0"/>
              <w:rPr>
                <w:sz w:val="20"/>
                <w:szCs w:val="20"/>
                <w:color w:val="auto"/>
              </w:rPr>
            </w:pPr>
            <w:r>
              <w:rPr>
                <w:rFonts w:ascii="Arial" w:cs="Arial" w:eastAsia="Arial" w:hAnsi="Arial"/>
                <w:sz w:val="18"/>
                <w:szCs w:val="18"/>
                <w:color w:val="auto"/>
              </w:rPr>
              <w:t>101.SCH</w:t>
            </w:r>
          </w:p>
        </w:tc>
        <w:tc>
          <w:tcPr>
            <w:tcW w:w="496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1420" w:type="dxa"/>
            <w:vAlign w:val="bottom"/>
          </w:tcPr>
          <w:p>
            <w:pPr>
              <w:ind w:left="360"/>
              <w:spacing w:after="0"/>
              <w:rPr>
                <w:sz w:val="20"/>
                <w:szCs w:val="20"/>
                <w:color w:val="auto"/>
              </w:rPr>
            </w:pPr>
            <w:r>
              <w:rPr>
                <w:rFonts w:ascii="Arial" w:cs="Arial" w:eastAsia="Arial" w:hAnsi="Arial"/>
                <w:sz w:val="18"/>
                <w:szCs w:val="18"/>
                <w:color w:val="auto"/>
                <w:w w:val="92"/>
              </w:rPr>
              <w:t>Filed herewith</w:t>
            </w:r>
          </w:p>
        </w:tc>
      </w:tr>
      <w:tr>
        <w:trPr>
          <w:trHeight w:val="270"/>
        </w:trPr>
        <w:tc>
          <w:tcPr>
            <w:tcW w:w="1600" w:type="dxa"/>
            <w:vAlign w:val="bottom"/>
          </w:tcPr>
          <w:p>
            <w:pPr>
              <w:ind w:left="40"/>
              <w:spacing w:after="0"/>
              <w:rPr>
                <w:sz w:val="20"/>
                <w:szCs w:val="20"/>
                <w:color w:val="auto"/>
              </w:rPr>
            </w:pPr>
            <w:r>
              <w:rPr>
                <w:rFonts w:ascii="Arial" w:cs="Arial" w:eastAsia="Arial" w:hAnsi="Arial"/>
                <w:sz w:val="18"/>
                <w:szCs w:val="18"/>
                <w:color w:val="auto"/>
              </w:rPr>
              <w:t>101.CAL</w:t>
            </w:r>
          </w:p>
        </w:tc>
        <w:tc>
          <w:tcPr>
            <w:tcW w:w="4960" w:type="dxa"/>
            <w:vAlign w:val="bottom"/>
          </w:tcPr>
          <w:p>
            <w:pPr>
              <w:ind w:left="160"/>
              <w:spacing w:after="0"/>
              <w:rPr>
                <w:sz w:val="20"/>
                <w:szCs w:val="20"/>
                <w:color w:val="auto"/>
              </w:rPr>
            </w:pPr>
            <w:r>
              <w:rPr>
                <w:rFonts w:ascii="Arial" w:cs="Arial" w:eastAsia="Arial" w:hAnsi="Arial"/>
                <w:sz w:val="18"/>
                <w:szCs w:val="18"/>
                <w:color w:val="auto"/>
                <w:w w:val="99"/>
              </w:rPr>
              <w:t>XBRL Taxonomy Extension Calculation Linkbase Document</w:t>
            </w:r>
          </w:p>
        </w:tc>
        <w:tc>
          <w:tcPr>
            <w:tcW w:w="1420" w:type="dxa"/>
            <w:vAlign w:val="bottom"/>
          </w:tcPr>
          <w:p>
            <w:pPr>
              <w:ind w:left="360"/>
              <w:spacing w:after="0"/>
              <w:rPr>
                <w:sz w:val="20"/>
                <w:szCs w:val="20"/>
                <w:color w:val="auto"/>
              </w:rPr>
            </w:pPr>
            <w:r>
              <w:rPr>
                <w:rFonts w:ascii="Arial" w:cs="Arial" w:eastAsia="Arial" w:hAnsi="Arial"/>
                <w:sz w:val="18"/>
                <w:szCs w:val="18"/>
                <w:color w:val="auto"/>
                <w:w w:val="92"/>
              </w:rPr>
              <w:t>Filed herewith</w:t>
            </w:r>
          </w:p>
        </w:tc>
      </w:tr>
      <w:tr>
        <w:trPr>
          <w:trHeight w:val="270"/>
        </w:trPr>
        <w:tc>
          <w:tcPr>
            <w:tcW w:w="1600" w:type="dxa"/>
            <w:vAlign w:val="bottom"/>
          </w:tcPr>
          <w:p>
            <w:pPr>
              <w:ind w:left="40"/>
              <w:spacing w:after="0"/>
              <w:rPr>
                <w:sz w:val="20"/>
                <w:szCs w:val="20"/>
                <w:color w:val="auto"/>
              </w:rPr>
            </w:pPr>
            <w:r>
              <w:rPr>
                <w:rFonts w:ascii="Arial" w:cs="Arial" w:eastAsia="Arial" w:hAnsi="Arial"/>
                <w:sz w:val="18"/>
                <w:szCs w:val="18"/>
                <w:color w:val="auto"/>
              </w:rPr>
              <w:t>101.DEF</w:t>
            </w:r>
          </w:p>
        </w:tc>
        <w:tc>
          <w:tcPr>
            <w:tcW w:w="496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1420" w:type="dxa"/>
            <w:vAlign w:val="bottom"/>
          </w:tcPr>
          <w:p>
            <w:pPr>
              <w:ind w:left="360"/>
              <w:spacing w:after="0"/>
              <w:rPr>
                <w:sz w:val="20"/>
                <w:szCs w:val="20"/>
                <w:color w:val="auto"/>
              </w:rPr>
            </w:pPr>
            <w:r>
              <w:rPr>
                <w:rFonts w:ascii="Arial" w:cs="Arial" w:eastAsia="Arial" w:hAnsi="Arial"/>
                <w:sz w:val="18"/>
                <w:szCs w:val="18"/>
                <w:color w:val="auto"/>
                <w:w w:val="92"/>
              </w:rPr>
              <w:t>Filed herewith</w:t>
            </w:r>
          </w:p>
        </w:tc>
      </w:tr>
      <w:tr>
        <w:trPr>
          <w:trHeight w:val="270"/>
        </w:trPr>
        <w:tc>
          <w:tcPr>
            <w:tcW w:w="1600" w:type="dxa"/>
            <w:vAlign w:val="bottom"/>
          </w:tcPr>
          <w:p>
            <w:pPr>
              <w:ind w:left="40"/>
              <w:spacing w:after="0"/>
              <w:rPr>
                <w:sz w:val="20"/>
                <w:szCs w:val="20"/>
                <w:color w:val="auto"/>
              </w:rPr>
            </w:pPr>
            <w:r>
              <w:rPr>
                <w:rFonts w:ascii="Arial" w:cs="Arial" w:eastAsia="Arial" w:hAnsi="Arial"/>
                <w:sz w:val="18"/>
                <w:szCs w:val="18"/>
                <w:color w:val="auto"/>
              </w:rPr>
              <w:t>101.LAB</w:t>
            </w:r>
          </w:p>
        </w:tc>
        <w:tc>
          <w:tcPr>
            <w:tcW w:w="4960" w:type="dxa"/>
            <w:vAlign w:val="bottom"/>
          </w:tcPr>
          <w:p>
            <w:pPr>
              <w:ind w:left="160"/>
              <w:spacing w:after="0"/>
              <w:rPr>
                <w:sz w:val="20"/>
                <w:szCs w:val="20"/>
                <w:color w:val="auto"/>
              </w:rPr>
            </w:pPr>
            <w:r>
              <w:rPr>
                <w:rFonts w:ascii="Arial" w:cs="Arial" w:eastAsia="Arial" w:hAnsi="Arial"/>
                <w:sz w:val="18"/>
                <w:szCs w:val="18"/>
                <w:color w:val="auto"/>
              </w:rPr>
              <w:t>XBRL Taxonomy Extension Label Document</w:t>
            </w:r>
          </w:p>
        </w:tc>
        <w:tc>
          <w:tcPr>
            <w:tcW w:w="1420" w:type="dxa"/>
            <w:vAlign w:val="bottom"/>
          </w:tcPr>
          <w:p>
            <w:pPr>
              <w:ind w:left="360"/>
              <w:spacing w:after="0"/>
              <w:rPr>
                <w:sz w:val="20"/>
                <w:szCs w:val="20"/>
                <w:color w:val="auto"/>
              </w:rPr>
            </w:pPr>
            <w:r>
              <w:rPr>
                <w:rFonts w:ascii="Arial" w:cs="Arial" w:eastAsia="Arial" w:hAnsi="Arial"/>
                <w:sz w:val="18"/>
                <w:szCs w:val="18"/>
                <w:color w:val="auto"/>
                <w:w w:val="92"/>
              </w:rPr>
              <w:t>Filed herewith</w:t>
            </w:r>
          </w:p>
        </w:tc>
      </w:tr>
      <w:tr>
        <w:trPr>
          <w:trHeight w:val="270"/>
        </w:trPr>
        <w:tc>
          <w:tcPr>
            <w:tcW w:w="1600" w:type="dxa"/>
            <w:vAlign w:val="bottom"/>
          </w:tcPr>
          <w:p>
            <w:pPr>
              <w:ind w:left="40"/>
              <w:spacing w:after="0"/>
              <w:rPr>
                <w:sz w:val="20"/>
                <w:szCs w:val="20"/>
                <w:color w:val="auto"/>
              </w:rPr>
            </w:pPr>
            <w:r>
              <w:rPr>
                <w:rFonts w:ascii="Arial" w:cs="Arial" w:eastAsia="Arial" w:hAnsi="Arial"/>
                <w:sz w:val="18"/>
                <w:szCs w:val="18"/>
                <w:color w:val="auto"/>
              </w:rPr>
              <w:t>101.PRE</w:t>
            </w:r>
          </w:p>
        </w:tc>
        <w:tc>
          <w:tcPr>
            <w:tcW w:w="4960" w:type="dxa"/>
            <w:vAlign w:val="bottom"/>
          </w:tcPr>
          <w:p>
            <w:pPr>
              <w:ind w:left="160"/>
              <w:spacing w:after="0"/>
              <w:rPr>
                <w:sz w:val="20"/>
                <w:szCs w:val="20"/>
                <w:color w:val="auto"/>
              </w:rPr>
            </w:pPr>
            <w:r>
              <w:rPr>
                <w:rFonts w:ascii="Arial" w:cs="Arial" w:eastAsia="Arial" w:hAnsi="Arial"/>
                <w:sz w:val="18"/>
                <w:szCs w:val="18"/>
                <w:color w:val="auto"/>
              </w:rPr>
              <w:t>XBRL Taxonomy Extension Presentation Document</w:t>
            </w:r>
          </w:p>
        </w:tc>
        <w:tc>
          <w:tcPr>
            <w:tcW w:w="1420" w:type="dxa"/>
            <w:vAlign w:val="bottom"/>
          </w:tcPr>
          <w:p>
            <w:pPr>
              <w:ind w:left="360"/>
              <w:spacing w:after="0"/>
              <w:rPr>
                <w:sz w:val="20"/>
                <w:szCs w:val="20"/>
                <w:color w:val="auto"/>
              </w:rPr>
            </w:pPr>
            <w:r>
              <w:rPr>
                <w:rFonts w:ascii="Arial" w:cs="Arial" w:eastAsia="Arial" w:hAnsi="Arial"/>
                <w:sz w:val="18"/>
                <w:szCs w:val="18"/>
                <w:color w:val="auto"/>
                <w:w w:val="92"/>
              </w:rPr>
              <w:t>Filed herewith</w:t>
            </w:r>
          </w:p>
        </w:tc>
      </w:tr>
      <w:tr>
        <w:trPr>
          <w:trHeight w:val="27"/>
        </w:trPr>
        <w:tc>
          <w:tcPr>
            <w:tcW w:w="1600" w:type="dxa"/>
            <w:vAlign w:val="bottom"/>
            <w:tcBorders>
              <w:bottom w:val="single" w:sz="8" w:color="auto"/>
            </w:tcBorders>
          </w:tcPr>
          <w:p>
            <w:pPr>
              <w:spacing w:after="0"/>
              <w:rPr>
                <w:sz w:val="2"/>
                <w:szCs w:val="2"/>
                <w:color w:val="auto"/>
              </w:rPr>
            </w:pPr>
          </w:p>
        </w:tc>
        <w:tc>
          <w:tcPr>
            <w:tcW w:w="4960" w:type="dxa"/>
            <w:vAlign w:val="bottom"/>
          </w:tcPr>
          <w:p>
            <w:pPr>
              <w:spacing w:after="0"/>
              <w:rPr>
                <w:sz w:val="2"/>
                <w:szCs w:val="2"/>
                <w:color w:val="auto"/>
              </w:rPr>
            </w:pPr>
          </w:p>
        </w:tc>
        <w:tc>
          <w:tcPr>
            <w:tcW w:w="1420" w:type="dxa"/>
            <w:vAlign w:val="bottom"/>
          </w:tcPr>
          <w:p>
            <w:pPr>
              <w:spacing w:after="0"/>
              <w:rPr>
                <w:sz w:val="2"/>
                <w:szCs w:val="2"/>
                <w:color w:val="auto"/>
              </w:rPr>
            </w:pPr>
          </w:p>
        </w:tc>
      </w:tr>
    </w:tbl>
    <w:p>
      <w:pPr>
        <w:spacing w:after="0" w:line="202" w:lineRule="exact"/>
        <w:rPr>
          <w:sz w:val="20"/>
          <w:szCs w:val="20"/>
          <w:color w:val="auto"/>
        </w:rPr>
      </w:pPr>
    </w:p>
    <w:p>
      <w:pPr>
        <w:ind w:left="180" w:hanging="127"/>
        <w:spacing w:after="0"/>
        <w:tabs>
          <w:tab w:leader="none" w:pos="1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Management contracts or compensation plans or arrangements in which directors or executive officers are eligible to participate.</w:t>
      </w:r>
    </w:p>
    <w:p>
      <w:pPr>
        <w:spacing w:after="0" w:line="236" w:lineRule="exact"/>
        <w:rPr>
          <w:rFonts w:ascii="Arial" w:cs="Arial" w:eastAsia="Arial" w:hAnsi="Arial"/>
          <w:sz w:val="17"/>
          <w:szCs w:val="17"/>
          <w:color w:val="auto"/>
        </w:rPr>
      </w:pPr>
    </w:p>
    <w:p>
      <w:pPr>
        <w:ind w:left="140" w:hanging="132"/>
        <w:spacing w:after="0"/>
        <w:tabs>
          <w:tab w:leader="none" w:pos="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Portions of the exhibit have been omitted pursuant to an order granted by the Securities and Exchange Commission for confidential treatment.</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20"/>
          </w:cols>
          <w:pgMar w:left="240" w:top="287" w:right="3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hanging="172"/>
        <w:spacing w:after="0" w:line="257" w:lineRule="auto"/>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240" w:top="287" w:right="4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340" w:val="left"/>
          <w:tab w:leader="none" w:pos="8800" w:val="left"/>
        </w:tabs>
        <w:rPr>
          <w:sz w:val="20"/>
          <w:szCs w:val="20"/>
          <w:color w:val="auto"/>
        </w:rPr>
      </w:pPr>
      <w:r>
        <w:rPr>
          <w:rFonts w:ascii="Arial" w:cs="Arial" w:eastAsia="Arial" w:hAnsi="Arial"/>
          <w:sz w:val="18"/>
          <w:szCs w:val="18"/>
          <w:color w:val="auto"/>
        </w:rPr>
        <w:t>Dated: February 26,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6"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Gajus V. Worthington</w:t>
      </w:r>
    </w:p>
    <w:p>
      <w:pPr>
        <w:spacing w:after="0" w:line="109"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Gajus V. Worthington and Vikram Jog, jointly and severally, as his or her true and lawful attorneys-in-fact and agents, with full power of substitution and resubstitution, for him or her and in his or her name, place and stead, in any and all capacities, to sign this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2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5" w:lineRule="exact"/>
        <w:rPr>
          <w:sz w:val="20"/>
          <w:szCs w:val="20"/>
          <w:color w:val="auto"/>
        </w:rPr>
      </w:pPr>
    </w:p>
    <w:p>
      <w:pPr>
        <w:ind w:left="2100"/>
        <w:spacing w:after="0"/>
        <w:tabs>
          <w:tab w:leader="none" w:pos="7040" w:val="left"/>
          <w:tab w:leader="none" w:pos="103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w w:val="99"/>
              </w:rPr>
              <w:t>President and Chief Executive Officer (Principal Executive</w:t>
            </w:r>
          </w:p>
        </w:tc>
        <w:tc>
          <w:tcPr>
            <w:tcW w:w="1620" w:type="dxa"/>
            <w:vAlign w:val="bottom"/>
          </w:tcPr>
          <w:p>
            <w:pPr>
              <w:spacing w:after="0"/>
              <w:rPr>
                <w:sz w:val="18"/>
                <w:szCs w:val="18"/>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Gajus V. Worthington</w:t>
            </w:r>
          </w:p>
        </w:tc>
        <w:tc>
          <w:tcPr>
            <w:tcW w:w="4760" w:type="dxa"/>
            <w:vAlign w:val="bottom"/>
          </w:tcPr>
          <w:p>
            <w:pPr>
              <w:ind w:left="160"/>
              <w:spacing w:after="0"/>
              <w:rPr>
                <w:sz w:val="20"/>
                <w:szCs w:val="20"/>
                <w:color w:val="auto"/>
              </w:rPr>
            </w:pPr>
            <w:r>
              <w:rPr>
                <w:rFonts w:ascii="Arial" w:cs="Arial" w:eastAsia="Arial" w:hAnsi="Arial"/>
                <w:sz w:val="18"/>
                <w:szCs w:val="18"/>
                <w:color w:val="auto"/>
              </w:rPr>
              <w:t>Officer); Director</w:t>
            </w:r>
          </w:p>
        </w:tc>
        <w:tc>
          <w:tcPr>
            <w:tcW w:w="1620" w:type="dxa"/>
            <w:vAlign w:val="bottom"/>
          </w:tcPr>
          <w:p>
            <w:pPr>
              <w:ind w:left="280"/>
              <w:spacing w:after="0"/>
              <w:rPr>
                <w:sz w:val="20"/>
                <w:szCs w:val="20"/>
                <w:color w:val="auto"/>
              </w:rPr>
            </w:pPr>
            <w:r>
              <w:rPr>
                <w:rFonts w:ascii="Arial" w:cs="Arial" w:eastAsia="Arial" w:hAnsi="Arial"/>
                <w:sz w:val="18"/>
                <w:szCs w:val="18"/>
                <w:color w:val="auto"/>
                <w:w w:val="89"/>
              </w:rPr>
              <w:t>February 26, 2015</w:t>
            </w:r>
          </w:p>
        </w:tc>
      </w:tr>
      <w:tr>
        <w:trPr>
          <w:trHeight w:val="27"/>
        </w:trPr>
        <w:tc>
          <w:tcPr>
            <w:tcW w:w="480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4"/>
              </w:rPr>
              <w:t>Gajus V. Worthington</w:t>
            </w:r>
          </w:p>
        </w:tc>
        <w:tc>
          <w:tcPr>
            <w:tcW w:w="4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95"/>
        </w:trPr>
        <w:tc>
          <w:tcPr>
            <w:tcW w:w="4800" w:type="dxa"/>
            <w:vAlign w:val="bottom"/>
          </w:tcPr>
          <w:p>
            <w:pPr>
              <w:spacing w:after="0"/>
              <w:rPr>
                <w:sz w:val="24"/>
                <w:szCs w:val="24"/>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w w:val="98"/>
              </w:rPr>
              <w:t>Chief Financial Officer (Principal Financial and Accounting</w:t>
            </w:r>
          </w:p>
        </w:tc>
        <w:tc>
          <w:tcPr>
            <w:tcW w:w="1620" w:type="dxa"/>
            <w:vAlign w:val="bottom"/>
          </w:tcPr>
          <w:p>
            <w:pPr>
              <w:spacing w:after="0"/>
              <w:rPr>
                <w:sz w:val="24"/>
                <w:szCs w:val="24"/>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Vikram Jog</w:t>
            </w:r>
          </w:p>
        </w:tc>
        <w:tc>
          <w:tcPr>
            <w:tcW w:w="4760" w:type="dxa"/>
            <w:vAlign w:val="bottom"/>
          </w:tcPr>
          <w:p>
            <w:pPr>
              <w:ind w:left="160"/>
              <w:spacing w:after="0"/>
              <w:rPr>
                <w:sz w:val="20"/>
                <w:szCs w:val="20"/>
                <w:color w:val="auto"/>
              </w:rPr>
            </w:pPr>
            <w:r>
              <w:rPr>
                <w:rFonts w:ascii="Arial" w:cs="Arial" w:eastAsia="Arial" w:hAnsi="Arial"/>
                <w:sz w:val="18"/>
                <w:szCs w:val="18"/>
                <w:color w:val="auto"/>
              </w:rPr>
              <w:t>Officer)</w:t>
            </w:r>
          </w:p>
        </w:tc>
        <w:tc>
          <w:tcPr>
            <w:tcW w:w="1620" w:type="dxa"/>
            <w:vAlign w:val="bottom"/>
          </w:tcPr>
          <w:p>
            <w:pPr>
              <w:ind w:left="280"/>
              <w:spacing w:after="0"/>
              <w:rPr>
                <w:sz w:val="20"/>
                <w:szCs w:val="20"/>
                <w:color w:val="auto"/>
              </w:rPr>
            </w:pPr>
            <w:r>
              <w:rPr>
                <w:rFonts w:ascii="Arial" w:cs="Arial" w:eastAsia="Arial" w:hAnsi="Arial"/>
                <w:sz w:val="18"/>
                <w:szCs w:val="18"/>
                <w:color w:val="auto"/>
                <w:w w:val="89"/>
              </w:rPr>
              <w:t>February 26, 2015</w:t>
            </w:r>
          </w:p>
        </w:tc>
      </w:tr>
      <w:tr>
        <w:trPr>
          <w:trHeight w:val="27"/>
        </w:trPr>
        <w:tc>
          <w:tcPr>
            <w:tcW w:w="480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Vikram Jog</w:t>
            </w:r>
          </w:p>
        </w:tc>
        <w:tc>
          <w:tcPr>
            <w:tcW w:w="4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Samuel D. Colella</w:t>
            </w:r>
          </w:p>
        </w:tc>
        <w:tc>
          <w:tcPr>
            <w:tcW w:w="4760" w:type="dxa"/>
            <w:vAlign w:val="bottom"/>
          </w:tcPr>
          <w:p>
            <w:pPr>
              <w:ind w:left="160"/>
              <w:spacing w:after="0"/>
              <w:rPr>
                <w:sz w:val="20"/>
                <w:szCs w:val="20"/>
                <w:color w:val="auto"/>
              </w:rPr>
            </w:pPr>
            <w:r>
              <w:rPr>
                <w:rFonts w:ascii="Arial" w:cs="Arial" w:eastAsia="Arial" w:hAnsi="Arial"/>
                <w:sz w:val="18"/>
                <w:szCs w:val="18"/>
                <w:color w:val="auto"/>
              </w:rPr>
              <w:t>Chairman of the Board of Directors</w:t>
            </w:r>
          </w:p>
        </w:tc>
        <w:tc>
          <w:tcPr>
            <w:tcW w:w="1620" w:type="dxa"/>
            <w:vAlign w:val="bottom"/>
          </w:tcPr>
          <w:p>
            <w:pPr>
              <w:ind w:left="280"/>
              <w:spacing w:after="0"/>
              <w:rPr>
                <w:sz w:val="20"/>
                <w:szCs w:val="20"/>
                <w:color w:val="auto"/>
              </w:rPr>
            </w:pPr>
            <w:r>
              <w:rPr>
                <w:rFonts w:ascii="Arial" w:cs="Arial" w:eastAsia="Arial" w:hAnsi="Arial"/>
                <w:sz w:val="18"/>
                <w:szCs w:val="18"/>
                <w:color w:val="auto"/>
                <w:w w:val="89"/>
              </w:rPr>
              <w:t>February 26, 2015</w:t>
            </w:r>
          </w:p>
        </w:tc>
      </w:tr>
      <w:tr>
        <w:trPr>
          <w:trHeight w:val="27"/>
        </w:trPr>
        <w:tc>
          <w:tcPr>
            <w:tcW w:w="480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3"/>
              </w:rPr>
              <w:t>Samuel D. Colella</w:t>
            </w:r>
          </w:p>
        </w:tc>
        <w:tc>
          <w:tcPr>
            <w:tcW w:w="4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9"/>
              </w:rPr>
              <w:t>/s/ Gerhard F. Burbach</w:t>
            </w:r>
          </w:p>
        </w:tc>
        <w:tc>
          <w:tcPr>
            <w:tcW w:w="47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280"/>
              <w:spacing w:after="0"/>
              <w:rPr>
                <w:sz w:val="20"/>
                <w:szCs w:val="20"/>
                <w:color w:val="auto"/>
              </w:rPr>
            </w:pPr>
            <w:r>
              <w:rPr>
                <w:rFonts w:ascii="Arial" w:cs="Arial" w:eastAsia="Arial" w:hAnsi="Arial"/>
                <w:sz w:val="18"/>
                <w:szCs w:val="18"/>
                <w:color w:val="auto"/>
                <w:w w:val="89"/>
              </w:rPr>
              <w:t>February 25, 2015</w:t>
            </w:r>
          </w:p>
        </w:tc>
      </w:tr>
      <w:tr>
        <w:trPr>
          <w:trHeight w:val="27"/>
        </w:trPr>
        <w:tc>
          <w:tcPr>
            <w:tcW w:w="480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Gerhard F. Burbach</w:t>
            </w:r>
          </w:p>
        </w:tc>
        <w:tc>
          <w:tcPr>
            <w:tcW w:w="4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6"/>
              </w:rPr>
              <w:t>/s/ Evan Jones</w:t>
            </w:r>
          </w:p>
        </w:tc>
        <w:tc>
          <w:tcPr>
            <w:tcW w:w="47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280"/>
              <w:spacing w:after="0"/>
              <w:rPr>
                <w:sz w:val="20"/>
                <w:szCs w:val="20"/>
                <w:color w:val="auto"/>
              </w:rPr>
            </w:pPr>
            <w:r>
              <w:rPr>
                <w:rFonts w:ascii="Arial" w:cs="Arial" w:eastAsia="Arial" w:hAnsi="Arial"/>
                <w:sz w:val="18"/>
                <w:szCs w:val="18"/>
                <w:color w:val="auto"/>
                <w:w w:val="89"/>
              </w:rPr>
              <w:t>February 26, 2015</w:t>
            </w:r>
          </w:p>
        </w:tc>
      </w:tr>
      <w:tr>
        <w:trPr>
          <w:trHeight w:val="27"/>
        </w:trPr>
        <w:tc>
          <w:tcPr>
            <w:tcW w:w="480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9"/>
              </w:rPr>
              <w:t>Evan Jones</w:t>
            </w:r>
          </w:p>
        </w:tc>
        <w:tc>
          <w:tcPr>
            <w:tcW w:w="4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8"/>
              </w:rPr>
              <w:t>/s/ Patrick S. Jones</w:t>
            </w:r>
          </w:p>
        </w:tc>
        <w:tc>
          <w:tcPr>
            <w:tcW w:w="47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280"/>
              <w:spacing w:after="0"/>
              <w:rPr>
                <w:sz w:val="20"/>
                <w:szCs w:val="20"/>
                <w:color w:val="auto"/>
              </w:rPr>
            </w:pPr>
            <w:r>
              <w:rPr>
                <w:rFonts w:ascii="Arial" w:cs="Arial" w:eastAsia="Arial" w:hAnsi="Arial"/>
                <w:sz w:val="18"/>
                <w:szCs w:val="18"/>
                <w:color w:val="auto"/>
                <w:w w:val="89"/>
              </w:rPr>
              <w:t>February 26, 2015</w:t>
            </w:r>
          </w:p>
        </w:tc>
      </w:tr>
      <w:tr>
        <w:trPr>
          <w:trHeight w:val="27"/>
        </w:trPr>
        <w:tc>
          <w:tcPr>
            <w:tcW w:w="480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0"/>
              </w:rPr>
              <w:t>Patrick S. Jones</w:t>
            </w:r>
          </w:p>
        </w:tc>
        <w:tc>
          <w:tcPr>
            <w:tcW w:w="4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John A. Young</w:t>
            </w:r>
          </w:p>
        </w:tc>
        <w:tc>
          <w:tcPr>
            <w:tcW w:w="47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280"/>
              <w:spacing w:after="0"/>
              <w:rPr>
                <w:sz w:val="20"/>
                <w:szCs w:val="20"/>
                <w:color w:val="auto"/>
              </w:rPr>
            </w:pPr>
            <w:r>
              <w:rPr>
                <w:rFonts w:ascii="Arial" w:cs="Arial" w:eastAsia="Arial" w:hAnsi="Arial"/>
                <w:sz w:val="18"/>
                <w:szCs w:val="18"/>
                <w:color w:val="auto"/>
                <w:w w:val="89"/>
              </w:rPr>
              <w:t>February 26, 2015</w:t>
            </w:r>
          </w:p>
        </w:tc>
      </w:tr>
      <w:tr>
        <w:trPr>
          <w:trHeight w:val="27"/>
        </w:trPr>
        <w:tc>
          <w:tcPr>
            <w:tcW w:w="480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1"/>
              </w:rPr>
              <w:t>John A. Young</w:t>
            </w:r>
          </w:p>
        </w:tc>
        <w:tc>
          <w:tcPr>
            <w:tcW w:w="4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525"/>
        </w:trPr>
        <w:tc>
          <w:tcPr>
            <w:tcW w:w="4800" w:type="dxa"/>
            <w:vAlign w:val="bottom"/>
          </w:tcPr>
          <w:p>
            <w:pPr>
              <w:spacing w:after="0"/>
              <w:rPr>
                <w:sz w:val="24"/>
                <w:szCs w:val="24"/>
                <w:color w:val="auto"/>
              </w:rPr>
            </w:pPr>
          </w:p>
        </w:tc>
        <w:tc>
          <w:tcPr>
            <w:tcW w:w="4760" w:type="dxa"/>
            <w:vAlign w:val="bottom"/>
          </w:tcPr>
          <w:p>
            <w:pPr>
              <w:ind w:left="820"/>
              <w:spacing w:after="0"/>
              <w:rPr>
                <w:sz w:val="20"/>
                <w:szCs w:val="20"/>
                <w:color w:val="auto"/>
              </w:rPr>
            </w:pPr>
            <w:r>
              <w:rPr>
                <w:rFonts w:ascii="Arial" w:cs="Arial" w:eastAsia="Arial" w:hAnsi="Arial"/>
                <w:sz w:val="18"/>
                <w:szCs w:val="18"/>
                <w:color w:val="auto"/>
              </w:rPr>
              <w:t>93</w:t>
            </w:r>
          </w:p>
        </w:tc>
        <w:tc>
          <w:tcPr>
            <w:tcW w:w="162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32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585"/>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00" w:type="dxa"/>
            <w:vAlign w:val="bottom"/>
            <w:gridSpan w:val="2"/>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5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bottom w:val="single" w:sz="8" w:color="auto"/>
            </w:tcBorders>
            <w:vMerge w:val="restart"/>
          </w:tcPr>
          <w:p>
            <w:pPr>
              <w:ind w:left="140"/>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9"/>
              </w:rPr>
              <w:t>Agreement and Plan of Merger dated January 28, 2014 by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6"/>
              </w:rPr>
              <w:t>among Fluidigm Corporation, DVS Sciences, Inc., Dawid Merger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Sub, Inc. and Shareholder Representative Services LLC.</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Eighth Amended and Restated Certificate of Incorporation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Fluidigm Corporation filed on February 15, 2011.</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6"/>
              </w:rPr>
              <w:t>Amended and Restated Bylaws of Fluidigm Corporation effective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as of February 9, 2011.</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Specimen Common Stock Certificate of Fluidigm Corporation.</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4"/>
              </w:rPr>
              <w:t>Indenture, dated as of February 4, 2014, by and between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Corporation and U.S. Bank National Association.</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4.3</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2"/>
              </w:rPr>
              <w:t>First Supplemental Indenture, dated as of February 4, 2014, by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between Fluidigm Corporation and U.S. Bank National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Association.</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4.4</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Form of Global Note (included in Exhibit 4.3).</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4.5</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4"/>
              </w:rPr>
              <w:t>Ninth Amended and Restated Investor Rights Agreement between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7"/>
              </w:rPr>
              <w:t>the registrant and certain holders of the registrant’s capital stock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named therein, including amendments No. 1, No. 2 and No. 3.</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4.6</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4.7</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4.8</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4"/>
              </w:rPr>
              <w:t>Business Financing Agreement between the registrant and Bridge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Bank, National Association, dated as of December 16, 2010.</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4.8A</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Business Financing Modification Agreement dated March 31,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4"/>
              </w:rPr>
              <w:t>2011, by and between Bridge Bank, National Association, and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4.8B</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5"/>
              </w:rPr>
              <w:t>Business Financing Modification Agreement dated December 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2012, by and between Bridge Bank, National Association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4.8C</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9"/>
              </w:rPr>
              <w:t>Business Financing Modification Agreement dated January 29,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2014, by and between Bridge Bank, National Association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4.8D</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7"/>
              </w:rPr>
              <w:t>Business Financing Modification Agreement dated May 9, 2014,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7"/>
              </w:rPr>
              <w:t>by and between Bridge Bank, National Association and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4.8E</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5"/>
              </w:rPr>
              <w:t>Business Financing Modification Agreement dated July 31, 2014,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7"/>
              </w:rPr>
              <w:t>by and between Bridge Bank, National Association and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472"/>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4"/>
              </w:rPr>
              <w:t>Form of Indemnification Agreement between the registrant and its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directors and officers.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1999 Stock Option Plan of the registrant, as amended.</w:t>
            </w:r>
          </w:p>
        </w:tc>
        <w:tc>
          <w:tcPr>
            <w:tcW w:w="0" w:type="dxa"/>
            <w:vAlign w:val="bottom"/>
          </w:tcPr>
          <w:p>
            <w:pPr>
              <w:spacing w:after="0"/>
              <w:rPr>
                <w:sz w:val="1"/>
                <w:szCs w:val="1"/>
                <w:color w:val="auto"/>
              </w:rPr>
            </w:pPr>
          </w:p>
        </w:tc>
      </w:tr>
      <w:tr>
        <w:trPr>
          <w:trHeight w:val="270"/>
        </w:trPr>
        <w:tc>
          <w:tcPr>
            <w:tcW w:w="1580" w:type="dxa"/>
            <w:vAlign w:val="bottom"/>
            <w:gridSpan w:val="2"/>
          </w:tcPr>
          <w:p>
            <w:pPr>
              <w:spacing w:after="0"/>
              <w:rPr>
                <w:sz w:val="20"/>
                <w:szCs w:val="20"/>
                <w:color w:val="auto"/>
              </w:rPr>
            </w:pPr>
            <w:r>
              <w:rPr>
                <w:rFonts w:ascii="Arial" w:cs="Arial" w:eastAsia="Arial" w:hAnsi="Arial"/>
                <w:sz w:val="18"/>
                <w:szCs w:val="18"/>
                <w:color w:val="auto"/>
              </w:rPr>
              <w:t>10.2A#</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2009 Equity Incentive Plan of the registrant, as amended.</w:t>
            </w:r>
          </w:p>
        </w:tc>
        <w:tc>
          <w:tcPr>
            <w:tcW w:w="0" w:type="dxa"/>
            <w:vAlign w:val="bottom"/>
          </w:tcPr>
          <w:p>
            <w:pPr>
              <w:spacing w:after="0"/>
              <w:rPr>
                <w:sz w:val="1"/>
                <w:szCs w:val="1"/>
                <w:color w:val="auto"/>
              </w:rPr>
            </w:pPr>
          </w:p>
        </w:tc>
      </w:tr>
      <w:tr>
        <w:trPr>
          <w:trHeight w:val="270"/>
        </w:trPr>
        <w:tc>
          <w:tcPr>
            <w:tcW w:w="1580" w:type="dxa"/>
            <w:vAlign w:val="bottom"/>
            <w:gridSpan w:val="2"/>
          </w:tcPr>
          <w:p>
            <w:pPr>
              <w:spacing w:after="0"/>
              <w:rPr>
                <w:sz w:val="20"/>
                <w:szCs w:val="20"/>
                <w:color w:val="auto"/>
              </w:rPr>
            </w:pPr>
            <w:r>
              <w:rPr>
                <w:rFonts w:ascii="Arial" w:cs="Arial" w:eastAsia="Arial" w:hAnsi="Arial"/>
                <w:sz w:val="18"/>
                <w:szCs w:val="18"/>
                <w:color w:val="auto"/>
              </w:rPr>
              <w:t>10.3A#</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2011 Equity Incentive Plan of the registrant.</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00" w:type="dxa"/>
            <w:vAlign w:val="bottom"/>
          </w:tcPr>
          <w:p>
            <w:pPr>
              <w:ind w:left="400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1/29/2014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2/7/2011</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124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4.8A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4/4/2011</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4.8B</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12/27/2012</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1/29/2014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5/12/2014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8/4/2014</w:t>
            </w:r>
          </w:p>
        </w:tc>
        <w:tc>
          <w:tcPr>
            <w:tcW w:w="0" w:type="dxa"/>
            <w:vAlign w:val="bottom"/>
          </w:tcPr>
          <w:p>
            <w:pPr>
              <w:spacing w:after="0"/>
              <w:rPr>
                <w:sz w:val="1"/>
                <w:szCs w:val="1"/>
                <w:color w:val="auto"/>
              </w:rPr>
            </w:pPr>
          </w:p>
        </w:tc>
      </w:tr>
      <w:tr>
        <w:trPr>
          <w:trHeight w:val="918"/>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10.2A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10.3A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bl>
    <w:p>
      <w:pPr>
        <w:sectPr>
          <w:pgSz w:w="11900" w:h="16838" w:orient="portrait"/>
          <w:cols w:equalWidth="0" w:num="2">
            <w:col w:w="6620" w:space="20"/>
            <w:col w:w="4760"/>
          </w:cols>
          <w:pgMar w:left="240" w:top="287"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86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6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680" w:type="dxa"/>
            <w:vAlign w:val="bottom"/>
            <w:gridSpan w:val="2"/>
            <w:vMerge w:val="restart"/>
          </w:tcPr>
          <w:p>
            <w:pPr>
              <w:spacing w:after="0"/>
              <w:rPr>
                <w:sz w:val="20"/>
                <w:szCs w:val="20"/>
                <w:color w:val="auto"/>
              </w:rPr>
            </w:pPr>
            <w:r>
              <w:rPr>
                <w:rFonts w:ascii="Arial" w:cs="Arial" w:eastAsia="Arial" w:hAnsi="Arial"/>
                <w:sz w:val="18"/>
                <w:szCs w:val="18"/>
                <w:color w:val="auto"/>
              </w:rPr>
              <w:t>10.4A#</w:t>
            </w:r>
          </w:p>
        </w:tc>
        <w:tc>
          <w:tcPr>
            <w:tcW w:w="4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680" w:type="dxa"/>
            <w:vAlign w:val="bottom"/>
            <w:gridSpan w:val="2"/>
            <w:vMerge w:val="continue"/>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10.5†</w:t>
            </w:r>
          </w:p>
        </w:tc>
        <w:tc>
          <w:tcPr>
            <w:tcW w:w="4860" w:type="dxa"/>
            <w:vAlign w:val="bottom"/>
          </w:tcPr>
          <w:p>
            <w:pPr>
              <w:ind w:left="40"/>
              <w:spacing w:after="0"/>
              <w:rPr>
                <w:sz w:val="20"/>
                <w:szCs w:val="20"/>
                <w:color w:val="auto"/>
              </w:rPr>
            </w:pPr>
            <w:r>
              <w:rPr>
                <w:rFonts w:ascii="Arial" w:cs="Arial" w:eastAsia="Arial" w:hAnsi="Arial"/>
                <w:sz w:val="18"/>
                <w:szCs w:val="18"/>
                <w:color w:val="auto"/>
              </w:rPr>
              <w:t>Second Amended and Restated License Agreement by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9"/>
              </w:rPr>
              <w:t>between California Institute of Technology and the registrant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effective as of May 1, 2004.</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10.5A†</w:t>
            </w:r>
          </w:p>
        </w:tc>
        <w:tc>
          <w:tcPr>
            <w:tcW w:w="4860" w:type="dxa"/>
            <w:vAlign w:val="bottom"/>
          </w:tcPr>
          <w:p>
            <w:pPr>
              <w:ind w:left="40"/>
              <w:spacing w:after="0"/>
              <w:rPr>
                <w:sz w:val="20"/>
                <w:szCs w:val="20"/>
                <w:color w:val="auto"/>
              </w:rPr>
            </w:pPr>
            <w:r>
              <w:rPr>
                <w:rFonts w:ascii="Arial" w:cs="Arial" w:eastAsia="Arial" w:hAnsi="Arial"/>
                <w:sz w:val="18"/>
                <w:szCs w:val="18"/>
                <w:color w:val="auto"/>
              </w:rPr>
              <w:t>First Addendum, effective as of March 29, 2007, to Second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9"/>
              </w:rPr>
              <w:t>Amended and Restated License Agreement by and between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1"/>
              </w:rPr>
              <w:t>California Institute of Technology and the registrant effective as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May 1, 2004.</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10.6†</w:t>
            </w:r>
          </w:p>
        </w:tc>
        <w:tc>
          <w:tcPr>
            <w:tcW w:w="4860" w:type="dxa"/>
            <w:vAlign w:val="bottom"/>
          </w:tcPr>
          <w:p>
            <w:pPr>
              <w:ind w:left="40"/>
              <w:spacing w:after="0"/>
              <w:rPr>
                <w:sz w:val="20"/>
                <w:szCs w:val="20"/>
                <w:color w:val="auto"/>
              </w:rPr>
            </w:pPr>
            <w:r>
              <w:rPr>
                <w:rFonts w:ascii="Arial" w:cs="Arial" w:eastAsia="Arial" w:hAnsi="Arial"/>
                <w:sz w:val="18"/>
                <w:szCs w:val="18"/>
                <w:color w:val="auto"/>
                <w:w w:val="92"/>
              </w:rPr>
              <w:t>Co-Exclusive License Agreement between President and Fellows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4"/>
              </w:rPr>
              <w:t>of Harvard College and the registrant effective as of October 15,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10.6A†</w:t>
            </w:r>
          </w:p>
        </w:tc>
        <w:tc>
          <w:tcPr>
            <w:tcW w:w="4860" w:type="dxa"/>
            <w:vAlign w:val="bottom"/>
          </w:tcPr>
          <w:p>
            <w:pPr>
              <w:ind w:left="40"/>
              <w:spacing w:after="0"/>
              <w:rPr>
                <w:sz w:val="20"/>
                <w:szCs w:val="20"/>
                <w:color w:val="auto"/>
              </w:rPr>
            </w:pPr>
            <w:r>
              <w:rPr>
                <w:rFonts w:ascii="Arial" w:cs="Arial" w:eastAsia="Arial" w:hAnsi="Arial"/>
                <w:sz w:val="18"/>
                <w:szCs w:val="18"/>
                <w:color w:val="auto"/>
                <w:w w:val="95"/>
              </w:rPr>
              <w:t>First Amendment to Co-Exclusive License Agreement between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President and Fellows of Harvard College and the registrant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effective as of October 15, 2000.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10.7†</w:t>
            </w:r>
          </w:p>
        </w:tc>
        <w:tc>
          <w:tcPr>
            <w:tcW w:w="4860" w:type="dxa"/>
            <w:vAlign w:val="bottom"/>
          </w:tcPr>
          <w:p>
            <w:pPr>
              <w:ind w:left="40"/>
              <w:spacing w:after="0"/>
              <w:rPr>
                <w:sz w:val="20"/>
                <w:szCs w:val="20"/>
                <w:color w:val="auto"/>
              </w:rPr>
            </w:pPr>
            <w:r>
              <w:rPr>
                <w:rFonts w:ascii="Arial" w:cs="Arial" w:eastAsia="Arial" w:hAnsi="Arial"/>
                <w:sz w:val="18"/>
                <w:szCs w:val="18"/>
                <w:color w:val="auto"/>
                <w:w w:val="92"/>
              </w:rPr>
              <w:t>Co-Exclusive License Agreement between President and Fellows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4"/>
              </w:rPr>
              <w:t>of Harvard College and the registrant effective as of October 15,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10.8†</w:t>
            </w:r>
          </w:p>
        </w:tc>
        <w:tc>
          <w:tcPr>
            <w:tcW w:w="4860" w:type="dxa"/>
            <w:vAlign w:val="bottom"/>
          </w:tcPr>
          <w:p>
            <w:pPr>
              <w:ind w:left="40"/>
              <w:spacing w:after="0"/>
              <w:rPr>
                <w:sz w:val="20"/>
                <w:szCs w:val="20"/>
                <w:color w:val="auto"/>
              </w:rPr>
            </w:pPr>
            <w:r>
              <w:rPr>
                <w:rFonts w:ascii="Arial" w:cs="Arial" w:eastAsia="Arial" w:hAnsi="Arial"/>
                <w:sz w:val="18"/>
                <w:szCs w:val="18"/>
                <w:color w:val="auto"/>
                <w:w w:val="92"/>
              </w:rPr>
              <w:t>Co-Exclusive License Agreement between President and Fellows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4"/>
              </w:rPr>
              <w:t>of Harvard College and the registrant effective as of October 15,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10.9†</w:t>
            </w:r>
          </w:p>
        </w:tc>
        <w:tc>
          <w:tcPr>
            <w:tcW w:w="4860" w:type="dxa"/>
            <w:vAlign w:val="bottom"/>
          </w:tcPr>
          <w:p>
            <w:pPr>
              <w:ind w:left="40"/>
              <w:spacing w:after="0"/>
              <w:rPr>
                <w:sz w:val="20"/>
                <w:szCs w:val="20"/>
                <w:color w:val="auto"/>
              </w:rPr>
            </w:pPr>
            <w:r>
              <w:rPr>
                <w:rFonts w:ascii="Arial" w:cs="Arial" w:eastAsia="Arial" w:hAnsi="Arial"/>
                <w:sz w:val="18"/>
                <w:szCs w:val="18"/>
                <w:color w:val="auto"/>
                <w:w w:val="99"/>
              </w:rPr>
              <w:t>Letter Agreement between President and Fellows of Harvard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College and the registrant dated December 22, 2004.</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10.14#</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8"/>
              </w:rPr>
              <w:t>Form of Amended and Restated Employment and Severance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Agreement between the registrant and each of its executive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w w:val="87"/>
              </w:rPr>
              <w:t>10.17#</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Offer Letter to Vikram Jog dated January 29, 2008.</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10.18#</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3"/>
              </w:rPr>
              <w:t>Offer Letter dated May 3, 2010 to Fredric Walder and Addendum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thereto dated November 8, 2010.</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2"/>
              </w:rPr>
              <w:t>Lease Agreement between ARE - San Francisco No. 17 LLC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the registrant, dated September 14, 2010, as amended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September 22, 2010.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10.19A</w:t>
            </w:r>
          </w:p>
        </w:tc>
        <w:tc>
          <w:tcPr>
            <w:tcW w:w="4860" w:type="dxa"/>
            <w:vAlign w:val="bottom"/>
          </w:tcPr>
          <w:p>
            <w:pPr>
              <w:ind w:left="40"/>
              <w:spacing w:after="0"/>
              <w:rPr>
                <w:sz w:val="20"/>
                <w:szCs w:val="20"/>
                <w:color w:val="auto"/>
              </w:rPr>
            </w:pPr>
            <w:r>
              <w:rPr>
                <w:rFonts w:ascii="Arial" w:cs="Arial" w:eastAsia="Arial" w:hAnsi="Arial"/>
                <w:sz w:val="18"/>
                <w:szCs w:val="18"/>
                <w:color w:val="auto"/>
                <w:w w:val="99"/>
              </w:rPr>
              <w:t>Second Amendment to Lease Agreement between ARE-San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7"/>
              </w:rPr>
              <w:t>Francisco No. 17, LLC and the registrant, dated April 9, 2013.</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10.19B</w:t>
            </w:r>
          </w:p>
        </w:tc>
        <w:tc>
          <w:tcPr>
            <w:tcW w:w="4860" w:type="dxa"/>
            <w:vAlign w:val="bottom"/>
          </w:tcPr>
          <w:p>
            <w:pPr>
              <w:ind w:left="40"/>
              <w:spacing w:after="0"/>
              <w:rPr>
                <w:sz w:val="20"/>
                <w:szCs w:val="20"/>
                <w:color w:val="auto"/>
              </w:rPr>
            </w:pPr>
            <w:r>
              <w:rPr>
                <w:rFonts w:ascii="Arial" w:cs="Arial" w:eastAsia="Arial" w:hAnsi="Arial"/>
                <w:sz w:val="18"/>
                <w:szCs w:val="18"/>
                <w:color w:val="auto"/>
              </w:rPr>
              <w:t>Fourth Amendment to Lease Agreement between ARE-San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7"/>
              </w:rPr>
              <w:t>Francisco No. 17, LLC and the registrant, dated June 4, 2014.</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10.19C</w:t>
            </w:r>
          </w:p>
        </w:tc>
        <w:tc>
          <w:tcPr>
            <w:tcW w:w="4860" w:type="dxa"/>
            <w:vAlign w:val="bottom"/>
          </w:tcPr>
          <w:p>
            <w:pPr>
              <w:ind w:left="40"/>
              <w:spacing w:after="0"/>
              <w:rPr>
                <w:sz w:val="20"/>
                <w:szCs w:val="20"/>
                <w:color w:val="auto"/>
              </w:rPr>
            </w:pPr>
            <w:r>
              <w:rPr>
                <w:rFonts w:ascii="Arial" w:cs="Arial" w:eastAsia="Arial" w:hAnsi="Arial"/>
                <w:sz w:val="18"/>
                <w:szCs w:val="18"/>
                <w:color w:val="auto"/>
              </w:rPr>
              <w:t>Fifth Amendment to Lease Agreement between ARE-San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5"/>
              </w:rPr>
              <w:t>Francisco No. 17, LLC and the registrant, dated September 15,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7"/>
              </w:rPr>
              <w:t>Tenancy for Flatted Factory Space in Singapore between JTC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4"/>
              </w:rPr>
              <w:t>Corporation and the registrant dated July 27, 2005, as amended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August 12, 2008 and May 31, 2010.</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60" w:type="dxa"/>
            <w:vAlign w:val="bottom"/>
          </w:tcPr>
          <w:p>
            <w:pPr>
              <w:ind w:left="39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by Reference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From Exhibit</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Filed</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10.4A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r>
        <w:trPr>
          <w:trHeight w:val="270"/>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10.5A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918"/>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10.6A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0"/>
        <w:spacing w:after="0"/>
        <w:tabs>
          <w:tab w:leader="none" w:pos="2120" w:val="left"/>
          <w:tab w:leader="none" w:pos="35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12/11/2012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000" w:type="dxa"/>
            <w:vAlign w:val="bottom"/>
          </w:tcPr>
          <w:p>
            <w:pPr>
              <w:jc w:val="center"/>
              <w:ind w:right="47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3"/>
              </w:rPr>
              <w:t>10.17</w:t>
            </w:r>
          </w:p>
        </w:tc>
        <w:tc>
          <w:tcPr>
            <w:tcW w:w="1200" w:type="dxa"/>
            <w:vAlign w:val="bottom"/>
          </w:tcPr>
          <w:p>
            <w:pPr>
              <w:jc w:val="center"/>
              <w:ind w:left="390"/>
              <w:spacing w:after="0"/>
              <w:rPr>
                <w:sz w:val="20"/>
                <w:szCs w:val="20"/>
                <w:color w:val="auto"/>
              </w:rPr>
            </w:pPr>
            <w:r>
              <w:rPr>
                <w:rFonts w:ascii="Arial" w:cs="Arial" w:eastAsia="Arial" w:hAnsi="Arial"/>
                <w:sz w:val="18"/>
                <w:szCs w:val="18"/>
                <w:color w:val="auto"/>
                <w:w w:val="89"/>
              </w:rPr>
              <w:t>12/3/2010</w:t>
            </w:r>
          </w:p>
        </w:tc>
      </w:tr>
      <w:tr>
        <w:trPr>
          <w:trHeight w:val="270"/>
        </w:trPr>
        <w:tc>
          <w:tcPr>
            <w:tcW w:w="1000" w:type="dxa"/>
            <w:vAlign w:val="bottom"/>
          </w:tcPr>
          <w:p>
            <w:pPr>
              <w:jc w:val="center"/>
              <w:ind w:right="47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3"/>
              </w:rPr>
              <w:t>10.18</w:t>
            </w:r>
          </w:p>
        </w:tc>
        <w:tc>
          <w:tcPr>
            <w:tcW w:w="1200" w:type="dxa"/>
            <w:vAlign w:val="bottom"/>
          </w:tcPr>
          <w:p>
            <w:pPr>
              <w:jc w:val="center"/>
              <w:ind w:left="390"/>
              <w:spacing w:after="0"/>
              <w:rPr>
                <w:sz w:val="20"/>
                <w:szCs w:val="20"/>
                <w:color w:val="auto"/>
              </w:rPr>
            </w:pPr>
            <w:r>
              <w:rPr>
                <w:rFonts w:ascii="Arial" w:cs="Arial" w:eastAsia="Arial" w:hAnsi="Arial"/>
                <w:sz w:val="18"/>
                <w:szCs w:val="18"/>
                <w:color w:val="auto"/>
                <w:w w:val="91"/>
              </w:rPr>
              <w:t>4/4/2011</w:t>
            </w:r>
          </w:p>
        </w:tc>
      </w:tr>
      <w:tr>
        <w:trPr>
          <w:trHeight w:val="486"/>
        </w:trPr>
        <w:tc>
          <w:tcPr>
            <w:tcW w:w="1000" w:type="dxa"/>
            <w:vAlign w:val="bottom"/>
          </w:tcPr>
          <w:p>
            <w:pPr>
              <w:jc w:val="center"/>
              <w:ind w:right="470"/>
              <w:spacing w:after="0"/>
              <w:rPr>
                <w:sz w:val="20"/>
                <w:szCs w:val="20"/>
                <w:color w:val="auto"/>
              </w:rPr>
            </w:pPr>
            <w:r>
              <w:rPr>
                <w:rFonts w:ascii="Arial" w:cs="Arial" w:eastAsia="Arial" w:hAnsi="Arial"/>
                <w:sz w:val="18"/>
                <w:szCs w:val="18"/>
                <w:color w:val="auto"/>
                <w:w w:val="97"/>
              </w:rPr>
              <w:t>S-1/A</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3"/>
              </w:rPr>
              <w:t>10.19</w:t>
            </w:r>
          </w:p>
        </w:tc>
        <w:tc>
          <w:tcPr>
            <w:tcW w:w="1200" w:type="dxa"/>
            <w:vAlign w:val="bottom"/>
          </w:tcPr>
          <w:p>
            <w:pPr>
              <w:jc w:val="center"/>
              <w:ind w:left="390"/>
              <w:spacing w:after="0"/>
              <w:rPr>
                <w:sz w:val="20"/>
                <w:szCs w:val="20"/>
                <w:color w:val="auto"/>
              </w:rPr>
            </w:pPr>
            <w:r>
              <w:rPr>
                <w:rFonts w:ascii="Arial" w:cs="Arial" w:eastAsia="Arial" w:hAnsi="Arial"/>
                <w:sz w:val="18"/>
                <w:szCs w:val="18"/>
                <w:color w:val="auto"/>
                <w:w w:val="91"/>
              </w:rPr>
              <w:t>1/7/2011</w:t>
            </w:r>
          </w:p>
        </w:tc>
      </w:tr>
      <w:tr>
        <w:trPr>
          <w:trHeight w:val="702"/>
        </w:trPr>
        <w:tc>
          <w:tcPr>
            <w:tcW w:w="1000" w:type="dxa"/>
            <w:vAlign w:val="bottom"/>
          </w:tcPr>
          <w:p>
            <w:pPr>
              <w:jc w:val="center"/>
              <w:ind w:right="47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4"/>
              </w:rPr>
              <w:t>10.19A</w:t>
            </w:r>
          </w:p>
        </w:tc>
        <w:tc>
          <w:tcPr>
            <w:tcW w:w="1200" w:type="dxa"/>
            <w:vAlign w:val="bottom"/>
          </w:tcPr>
          <w:p>
            <w:pPr>
              <w:jc w:val="center"/>
              <w:ind w:left="390"/>
              <w:spacing w:after="0"/>
              <w:rPr>
                <w:sz w:val="20"/>
                <w:szCs w:val="20"/>
                <w:color w:val="auto"/>
              </w:rPr>
            </w:pPr>
            <w:r>
              <w:rPr>
                <w:rFonts w:ascii="Arial" w:cs="Arial" w:eastAsia="Arial" w:hAnsi="Arial"/>
                <w:sz w:val="18"/>
                <w:szCs w:val="18"/>
                <w:color w:val="auto"/>
                <w:w w:val="91"/>
              </w:rPr>
              <w:t>5/9/2013</w:t>
            </w:r>
          </w:p>
        </w:tc>
      </w:tr>
      <w:tr>
        <w:trPr>
          <w:trHeight w:val="486"/>
        </w:trPr>
        <w:tc>
          <w:tcPr>
            <w:tcW w:w="1000" w:type="dxa"/>
            <w:vAlign w:val="bottom"/>
          </w:tcPr>
          <w:p>
            <w:pPr>
              <w:jc w:val="center"/>
              <w:ind w:right="47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5"/>
              </w:rPr>
              <w:t>10.3</w:t>
            </w:r>
          </w:p>
        </w:tc>
        <w:tc>
          <w:tcPr>
            <w:tcW w:w="1200" w:type="dxa"/>
            <w:vAlign w:val="bottom"/>
          </w:tcPr>
          <w:p>
            <w:pPr>
              <w:jc w:val="center"/>
              <w:ind w:left="390"/>
              <w:spacing w:after="0"/>
              <w:rPr>
                <w:sz w:val="20"/>
                <w:szCs w:val="20"/>
                <w:color w:val="auto"/>
              </w:rPr>
            </w:pPr>
            <w:r>
              <w:rPr>
                <w:rFonts w:ascii="Arial" w:cs="Arial" w:eastAsia="Arial" w:hAnsi="Arial"/>
                <w:sz w:val="18"/>
                <w:szCs w:val="18"/>
                <w:color w:val="auto"/>
                <w:w w:val="91"/>
              </w:rPr>
              <w:t>8/4/2014</w:t>
            </w:r>
          </w:p>
        </w:tc>
      </w:tr>
      <w:tr>
        <w:trPr>
          <w:trHeight w:val="486"/>
        </w:trPr>
        <w:tc>
          <w:tcPr>
            <w:tcW w:w="1000" w:type="dxa"/>
            <w:vAlign w:val="bottom"/>
          </w:tcPr>
          <w:p>
            <w:pPr>
              <w:jc w:val="center"/>
              <w:ind w:right="47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5"/>
              </w:rPr>
              <w:t>10.2</w:t>
            </w:r>
          </w:p>
        </w:tc>
        <w:tc>
          <w:tcPr>
            <w:tcW w:w="1200" w:type="dxa"/>
            <w:vAlign w:val="bottom"/>
          </w:tcPr>
          <w:p>
            <w:pPr>
              <w:jc w:val="center"/>
              <w:ind w:left="390"/>
              <w:spacing w:after="0"/>
              <w:rPr>
                <w:sz w:val="20"/>
                <w:szCs w:val="20"/>
                <w:color w:val="auto"/>
              </w:rPr>
            </w:pPr>
            <w:r>
              <w:rPr>
                <w:rFonts w:ascii="Arial" w:cs="Arial" w:eastAsia="Arial" w:hAnsi="Arial"/>
                <w:sz w:val="18"/>
                <w:szCs w:val="18"/>
                <w:color w:val="auto"/>
                <w:w w:val="89"/>
              </w:rPr>
              <w:t>11/6/2014</w:t>
            </w:r>
          </w:p>
        </w:tc>
      </w:tr>
      <w:tr>
        <w:trPr>
          <w:trHeight w:val="702"/>
        </w:trPr>
        <w:tc>
          <w:tcPr>
            <w:tcW w:w="1000" w:type="dxa"/>
            <w:vAlign w:val="bottom"/>
          </w:tcPr>
          <w:p>
            <w:pPr>
              <w:jc w:val="center"/>
              <w:ind w:right="47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3"/>
              </w:rPr>
              <w:t>10.20</w:t>
            </w:r>
          </w:p>
        </w:tc>
        <w:tc>
          <w:tcPr>
            <w:tcW w:w="1200" w:type="dxa"/>
            <w:vAlign w:val="bottom"/>
          </w:tcPr>
          <w:p>
            <w:pPr>
              <w:jc w:val="center"/>
              <w:ind w:left="390"/>
              <w:spacing w:after="0"/>
              <w:rPr>
                <w:sz w:val="20"/>
                <w:szCs w:val="20"/>
                <w:color w:val="auto"/>
              </w:rPr>
            </w:pPr>
            <w:r>
              <w:rPr>
                <w:rFonts w:ascii="Arial" w:cs="Arial" w:eastAsia="Arial" w:hAnsi="Arial"/>
                <w:sz w:val="18"/>
                <w:szCs w:val="18"/>
                <w:color w:val="auto"/>
                <w:w w:val="89"/>
              </w:rPr>
              <w:t>12/3/2010</w:t>
            </w:r>
          </w:p>
        </w:tc>
      </w:tr>
    </w:tbl>
    <w:p>
      <w:pPr>
        <w:sectPr>
          <w:pgSz w:w="11900" w:h="16838" w:orient="portrait"/>
          <w:cols w:equalWidth="0" w:num="2">
            <w:col w:w="6580" w:space="120"/>
            <w:col w:w="4600"/>
          </w:cols>
          <w:pgMar w:left="240" w:top="287" w:right="3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by Reference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gridSpan w:val="4"/>
            <w:vMerge w:val="continue"/>
          </w:tcPr>
          <w:p>
            <w:pPr>
              <w:spacing w:after="0"/>
              <w:rPr>
                <w:sz w:val="12"/>
                <w:szCs w:val="12"/>
                <w:color w:val="auto"/>
              </w:rPr>
            </w:pPr>
          </w:p>
        </w:tc>
        <w:tc>
          <w:tcPr>
            <w:tcW w:w="4980" w:type="dxa"/>
            <w:vAlign w:val="bottom"/>
            <w:gridSpan w:val="2"/>
            <w:vMerge w:val="restart"/>
          </w:tcPr>
          <w:p>
            <w:pPr>
              <w:ind w:left="2080"/>
              <w:spacing w:after="0"/>
              <w:rPr>
                <w:sz w:val="20"/>
                <w:szCs w:val="20"/>
                <w:color w:val="auto"/>
              </w:rPr>
            </w:pPr>
            <w:r>
              <w:rPr>
                <w:rFonts w:ascii="Arial" w:cs="Arial" w:eastAsia="Arial" w:hAnsi="Arial"/>
                <w:sz w:val="14"/>
                <w:szCs w:val="14"/>
                <w:b w:val="1"/>
                <w:bCs w:val="1"/>
                <w:color w:val="auto"/>
              </w:rPr>
              <w:t>Description</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From Exhibit</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Filed</w:t>
            </w:r>
          </w:p>
        </w:tc>
        <w:tc>
          <w:tcPr>
            <w:tcW w:w="0" w:type="dxa"/>
            <w:vAlign w:val="bottom"/>
          </w:tcPr>
          <w:p>
            <w:pPr>
              <w:spacing w:after="0"/>
              <w:rPr>
                <w:sz w:val="1"/>
                <w:szCs w:val="1"/>
                <w:color w:val="auto"/>
              </w:rPr>
            </w:pPr>
          </w:p>
        </w:tc>
      </w:tr>
      <w:tr>
        <w:trPr>
          <w:trHeight w:val="158"/>
        </w:trPr>
        <w:tc>
          <w:tcPr>
            <w:tcW w:w="172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Number</w:t>
            </w:r>
          </w:p>
        </w:tc>
        <w:tc>
          <w:tcPr>
            <w:tcW w:w="4980" w:type="dxa"/>
            <w:vAlign w:val="bottom"/>
            <w:gridSpan w:val="2"/>
            <w:vMerge w:val="continue"/>
          </w:tcPr>
          <w:p>
            <w:pPr>
              <w:spacing w:after="0"/>
              <w:rPr>
                <w:sz w:val="13"/>
                <w:szCs w:val="13"/>
                <w:color w:val="auto"/>
              </w:rPr>
            </w:pPr>
          </w:p>
        </w:tc>
        <w:tc>
          <w:tcPr>
            <w:tcW w:w="15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7"/>
              </w:rPr>
              <w:t>From Form</w:t>
            </w:r>
          </w:p>
        </w:tc>
        <w:tc>
          <w:tcPr>
            <w:tcW w:w="16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Number</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auto"/>
              </w:rPr>
              <w:t>10.21</w:t>
            </w: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4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w w:val="96"/>
              </w:rPr>
              <w:t>Offer of Tenancy for Facility Lease between Fluidigm Singapore</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Pte. Ltd. and SBC Institutional Trust Services (Singapore)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Limited, as trustee of Ascendas Real Estate Investment Trust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dated October 14, 2013.</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10.22</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Reserved.</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10.23</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Reserved.</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10.24</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Reserved.</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0" w:type="dxa"/>
            <w:vAlign w:val="bottom"/>
            <w:gridSpan w:val="2"/>
          </w:tcPr>
          <w:p>
            <w:pPr>
              <w:ind w:left="40"/>
              <w:spacing w:after="0"/>
              <w:rPr>
                <w:sz w:val="20"/>
                <w:szCs w:val="20"/>
                <w:color w:val="auto"/>
              </w:rPr>
            </w:pPr>
            <w:r>
              <w:rPr>
                <w:rFonts w:ascii="Arial" w:cs="Arial" w:eastAsia="Arial" w:hAnsi="Arial"/>
                <w:sz w:val="18"/>
                <w:szCs w:val="18"/>
                <w:color w:val="auto"/>
                <w:w w:val="87"/>
              </w:rPr>
              <w:t>10.25#</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Executive Bonus Plan.</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256"/>
        </w:trPr>
        <w:tc>
          <w:tcPr>
            <w:tcW w:w="540" w:type="dxa"/>
            <w:vAlign w:val="bottom"/>
            <w:gridSpan w:val="2"/>
          </w:tcPr>
          <w:p>
            <w:pPr>
              <w:ind w:left="40"/>
              <w:spacing w:after="0"/>
              <w:rPr>
                <w:sz w:val="20"/>
                <w:szCs w:val="20"/>
                <w:color w:val="auto"/>
              </w:rPr>
            </w:pPr>
            <w:r>
              <w:rPr>
                <w:rFonts w:ascii="Arial" w:cs="Arial" w:eastAsia="Arial" w:hAnsi="Arial"/>
                <w:sz w:val="18"/>
                <w:szCs w:val="18"/>
                <w:color w:val="auto"/>
                <w:w w:val="87"/>
              </w:rPr>
              <w:t>10.26#</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w w:val="96"/>
              </w:rPr>
              <w:t>Letter Agreement between Fluidigm Corporation and William M.</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5/12/2014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w w:val="97"/>
              </w:rPr>
              <w:t>Smith, the registrant's Executive Vice President of Legal Affairs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and General Counsel, dated March 4, 2014.</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20" w:type="dxa"/>
            <w:vAlign w:val="bottom"/>
            <w:gridSpan w:val="4"/>
          </w:tcPr>
          <w:p>
            <w:pPr>
              <w:ind w:left="40"/>
              <w:spacing w:after="0"/>
              <w:rPr>
                <w:sz w:val="20"/>
                <w:szCs w:val="20"/>
                <w:color w:val="auto"/>
              </w:rPr>
            </w:pPr>
            <w:r>
              <w:rPr>
                <w:rFonts w:ascii="Arial" w:cs="Arial" w:eastAsia="Arial" w:hAnsi="Arial"/>
                <w:sz w:val="18"/>
                <w:szCs w:val="18"/>
                <w:color w:val="auto"/>
              </w:rPr>
              <w:t>10.27†</w:t>
            </w: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License Agreement between MDS Analytical Technologies, a</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10-Q/A</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9/15/2014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w w:val="98"/>
              </w:rPr>
              <w:t>business unit of MDS INC., and DVS Sciences Inc., dated July</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17, 2008.</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20" w:type="dxa"/>
            <w:vAlign w:val="bottom"/>
            <w:gridSpan w:val="4"/>
          </w:tcPr>
          <w:p>
            <w:pPr>
              <w:ind w:left="40"/>
              <w:spacing w:after="0"/>
              <w:rPr>
                <w:sz w:val="20"/>
                <w:szCs w:val="20"/>
                <w:color w:val="auto"/>
              </w:rPr>
            </w:pPr>
            <w:r>
              <w:rPr>
                <w:rFonts w:ascii="Arial" w:cs="Arial" w:eastAsia="Arial" w:hAnsi="Arial"/>
                <w:sz w:val="18"/>
                <w:szCs w:val="18"/>
                <w:color w:val="auto"/>
              </w:rPr>
              <w:t>10.28†</w:t>
            </w:r>
          </w:p>
        </w:tc>
        <w:tc>
          <w:tcPr>
            <w:tcW w:w="4980" w:type="dxa"/>
            <w:vAlign w:val="bottom"/>
            <w:gridSpan w:val="2"/>
          </w:tcPr>
          <w:p>
            <w:pPr>
              <w:ind w:left="40"/>
              <w:spacing w:after="0"/>
              <w:rPr>
                <w:sz w:val="20"/>
                <w:szCs w:val="20"/>
                <w:color w:val="auto"/>
              </w:rPr>
            </w:pPr>
            <w:r>
              <w:rPr>
                <w:rFonts w:ascii="Arial" w:cs="Arial" w:eastAsia="Arial" w:hAnsi="Arial"/>
                <w:sz w:val="18"/>
                <w:szCs w:val="18"/>
                <w:color w:val="auto"/>
                <w:w w:val="95"/>
              </w:rPr>
              <w:t>Sublicense Agreement between DVS Sciences Inc. and Fluidigm</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10-Q/A</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9/15/2014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Corporation, dated January 28, 2014.</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12.1</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w w:val="97"/>
              </w:rPr>
              <w:t>Computation of ratio of earnings to combined fixed charges and</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preference dividends.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21.1</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Subsidiaries of the registrant.</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23.1</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Consent of Independent Registered Public Accounting Firm.</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24.1</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Power of Attorney (contained in the signature page to this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Form 10-K).</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 Adopted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Pursuant to Section 302 of the Sarbanes-Oxley Act of 2002 of</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 Adopted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Pursuant to Section 302 of the Sarbanes-Oxley Act of 2002 of</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 Adopted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Pursuant to Section 906 of the Sarbanes-Oxley Act of 2002 of</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 Adopted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Pursuant to Section 906 of the Sarbanes-Oxley Act of 2002 of</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20" w:type="dxa"/>
            <w:vAlign w:val="bottom"/>
            <w:gridSpan w:val="4"/>
          </w:tcPr>
          <w:p>
            <w:pPr>
              <w:ind w:left="40"/>
              <w:spacing w:after="0"/>
              <w:rPr>
                <w:sz w:val="20"/>
                <w:szCs w:val="20"/>
                <w:color w:val="auto"/>
              </w:rPr>
            </w:pPr>
            <w:r>
              <w:rPr>
                <w:rFonts w:ascii="Arial" w:cs="Arial" w:eastAsia="Arial" w:hAnsi="Arial"/>
                <w:sz w:val="18"/>
                <w:szCs w:val="18"/>
                <w:color w:val="auto"/>
              </w:rPr>
              <w:t>101.INS</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20" w:type="dxa"/>
            <w:vAlign w:val="bottom"/>
            <w:gridSpan w:val="4"/>
          </w:tcPr>
          <w:p>
            <w:pPr>
              <w:ind w:left="40"/>
              <w:spacing w:after="0"/>
              <w:rPr>
                <w:sz w:val="20"/>
                <w:szCs w:val="20"/>
                <w:color w:val="auto"/>
              </w:rPr>
            </w:pPr>
            <w:r>
              <w:rPr>
                <w:rFonts w:ascii="Arial" w:cs="Arial" w:eastAsia="Arial" w:hAnsi="Arial"/>
                <w:sz w:val="18"/>
                <w:szCs w:val="18"/>
                <w:color w:val="auto"/>
              </w:rPr>
              <w:t>101.SCH</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20" w:type="dxa"/>
            <w:vAlign w:val="bottom"/>
            <w:gridSpan w:val="4"/>
          </w:tcPr>
          <w:p>
            <w:pPr>
              <w:ind w:left="40"/>
              <w:spacing w:after="0"/>
              <w:rPr>
                <w:sz w:val="20"/>
                <w:szCs w:val="20"/>
                <w:color w:val="auto"/>
              </w:rPr>
            </w:pPr>
            <w:r>
              <w:rPr>
                <w:rFonts w:ascii="Arial" w:cs="Arial" w:eastAsia="Arial" w:hAnsi="Arial"/>
                <w:sz w:val="18"/>
                <w:szCs w:val="18"/>
                <w:color w:val="auto"/>
              </w:rPr>
              <w:t>101.CAL</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20" w:type="dxa"/>
            <w:vAlign w:val="bottom"/>
            <w:gridSpan w:val="4"/>
          </w:tcPr>
          <w:p>
            <w:pPr>
              <w:ind w:left="40"/>
              <w:spacing w:after="0"/>
              <w:rPr>
                <w:sz w:val="20"/>
                <w:szCs w:val="20"/>
                <w:color w:val="auto"/>
              </w:rPr>
            </w:pPr>
            <w:r>
              <w:rPr>
                <w:rFonts w:ascii="Arial" w:cs="Arial" w:eastAsia="Arial" w:hAnsi="Arial"/>
                <w:sz w:val="18"/>
                <w:szCs w:val="18"/>
                <w:color w:val="auto"/>
              </w:rPr>
              <w:t>101.DEF</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20" w:type="dxa"/>
            <w:vAlign w:val="bottom"/>
            <w:gridSpan w:val="4"/>
          </w:tcPr>
          <w:p>
            <w:pPr>
              <w:ind w:left="40"/>
              <w:spacing w:after="0"/>
              <w:rPr>
                <w:sz w:val="20"/>
                <w:szCs w:val="20"/>
                <w:color w:val="auto"/>
              </w:rPr>
            </w:pPr>
            <w:r>
              <w:rPr>
                <w:rFonts w:ascii="Arial" w:cs="Arial" w:eastAsia="Arial" w:hAnsi="Arial"/>
                <w:sz w:val="18"/>
                <w:szCs w:val="18"/>
                <w:color w:val="auto"/>
              </w:rPr>
              <w:t>101.LAB</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Document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20" w:type="dxa"/>
            <w:vAlign w:val="bottom"/>
            <w:gridSpan w:val="4"/>
          </w:tcPr>
          <w:p>
            <w:pPr>
              <w:ind w:left="40"/>
              <w:spacing w:after="0"/>
              <w:rPr>
                <w:sz w:val="20"/>
                <w:szCs w:val="20"/>
                <w:color w:val="auto"/>
              </w:rPr>
            </w:pPr>
            <w:r>
              <w:rPr>
                <w:rFonts w:ascii="Arial" w:cs="Arial" w:eastAsia="Arial" w:hAnsi="Arial"/>
                <w:sz w:val="18"/>
                <w:szCs w:val="18"/>
                <w:color w:val="auto"/>
              </w:rPr>
              <w:t>101.PRE</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Document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27"/>
        <w:spacing w:after="0"/>
        <w:tabs>
          <w:tab w:leader="none" w:pos="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are eligible to participate.</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Portions of the exhibit have been omitted pursuant to an order granted by the Securities and Exchange Commission for confidential treatment.</w:t>
      </w: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00"/>
          </w:cols>
          <w:pgMar w:left="240" w:top="287" w:right="3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hanging="172"/>
        <w:spacing w:after="0" w:line="257" w:lineRule="auto"/>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287" w:right="41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
        <w:spacing w:after="0"/>
        <w:rPr>
          <w:sz w:val="20"/>
          <w:szCs w:val="20"/>
          <w:color w:val="auto"/>
        </w:rPr>
      </w:pPr>
      <w:r>
        <w:rPr>
          <w:rFonts w:ascii="Arial" w:cs="Arial" w:eastAsia="Arial" w:hAnsi="Arial"/>
          <w:sz w:val="18"/>
          <w:szCs w:val="18"/>
          <w:color w:val="auto"/>
        </w:rPr>
        <w:t>(In thousands)</w:t>
      </w:r>
    </w:p>
    <w:p>
      <w:pPr>
        <w:spacing w:after="0" w:line="252" w:lineRule="exact"/>
        <w:rPr>
          <w:sz w:val="20"/>
          <w:szCs w:val="20"/>
          <w:color w:val="auto"/>
        </w:rPr>
      </w:pPr>
    </w:p>
    <w:p>
      <w:pPr>
        <w:ind w:left="32"/>
        <w:spacing w:after="0"/>
        <w:rPr>
          <w:sz w:val="20"/>
          <w:szCs w:val="20"/>
          <w:color w:val="auto"/>
        </w:rPr>
      </w:pPr>
      <w:r>
        <w:rPr>
          <w:rFonts w:ascii="Arial" w:cs="Arial" w:eastAsia="Arial" w:hAnsi="Arial"/>
          <w:sz w:val="18"/>
          <w:szCs w:val="18"/>
          <w:color w:val="auto"/>
        </w:rPr>
        <w:t>Earnings:</w:t>
      </w:r>
    </w:p>
    <w:p>
      <w:pPr>
        <w:spacing w:after="0" w:line="252" w:lineRule="exact"/>
        <w:rPr>
          <w:sz w:val="20"/>
          <w:szCs w:val="20"/>
          <w:color w:val="auto"/>
        </w:rPr>
      </w:pPr>
    </w:p>
    <w:p>
      <w:pPr>
        <w:jc w:val="both"/>
        <w:ind w:left="672" w:right="260" w:hanging="215"/>
        <w:spacing w:after="0" w:line="264" w:lineRule="auto"/>
        <w:rPr>
          <w:sz w:val="20"/>
          <w:szCs w:val="20"/>
          <w:color w:val="auto"/>
        </w:rPr>
      </w:pPr>
      <w:r>
        <w:rPr>
          <w:rFonts w:ascii="Arial" w:cs="Arial" w:eastAsia="Arial" w:hAnsi="Arial"/>
          <w:sz w:val="18"/>
          <w:szCs w:val="18"/>
          <w:color w:val="auto"/>
        </w:rPr>
        <w:t>Net loss attributed to common stockholders before income taxes</w:t>
      </w:r>
    </w:p>
    <w:p>
      <w:pPr>
        <w:spacing w:after="0" w:line="208" w:lineRule="exact"/>
        <w:rPr>
          <w:sz w:val="20"/>
          <w:szCs w:val="20"/>
          <w:color w:val="auto"/>
        </w:rPr>
      </w:pPr>
    </w:p>
    <w:p>
      <w:pPr>
        <w:ind w:left="672" w:hanging="215"/>
        <w:spacing w:after="0" w:line="277" w:lineRule="auto"/>
        <w:rPr>
          <w:sz w:val="20"/>
          <w:szCs w:val="20"/>
          <w:color w:val="auto"/>
        </w:rPr>
      </w:pPr>
      <w:r>
        <w:rPr>
          <w:rFonts w:ascii="Arial" w:cs="Arial" w:eastAsia="Arial" w:hAnsi="Arial"/>
          <w:sz w:val="18"/>
          <w:szCs w:val="18"/>
          <w:color w:val="auto"/>
        </w:rPr>
        <w:t>Add: Combined fixed charges and preference dividends</w:t>
      </w:r>
    </w:p>
    <w:p>
      <w:pPr>
        <w:spacing w:after="0" w:line="19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Less: Capitalized interest</w:t>
      </w:r>
    </w:p>
    <w:p>
      <w:pPr>
        <w:spacing w:after="0" w:line="387" w:lineRule="exact"/>
        <w:rPr>
          <w:sz w:val="20"/>
          <w:szCs w:val="20"/>
          <w:color w:val="auto"/>
        </w:rPr>
      </w:pPr>
    </w:p>
    <w:p>
      <w:pPr>
        <w:ind w:left="32"/>
        <w:spacing w:after="0"/>
        <w:rPr>
          <w:sz w:val="20"/>
          <w:szCs w:val="20"/>
          <w:color w:val="auto"/>
        </w:rPr>
      </w:pPr>
      <w:r>
        <w:rPr>
          <w:rFonts w:ascii="Arial" w:cs="Arial" w:eastAsia="Arial" w:hAnsi="Arial"/>
          <w:sz w:val="17"/>
          <w:szCs w:val="17"/>
          <w:color w:val="auto"/>
        </w:rPr>
        <w:t>Total earnings for computation of ratio</w:t>
      </w:r>
    </w:p>
    <w:p>
      <w:pPr>
        <w:spacing w:after="0" w:line="264" w:lineRule="exact"/>
        <w:rPr>
          <w:sz w:val="20"/>
          <w:szCs w:val="20"/>
          <w:color w:val="auto"/>
        </w:rPr>
      </w:pPr>
    </w:p>
    <w:p>
      <w:pPr>
        <w:ind w:left="32"/>
        <w:spacing w:after="0"/>
        <w:rPr>
          <w:sz w:val="20"/>
          <w:szCs w:val="20"/>
          <w:color w:val="auto"/>
        </w:rPr>
      </w:pPr>
      <w:r>
        <w:rPr>
          <w:rFonts w:ascii="Arial" w:cs="Arial" w:eastAsia="Arial" w:hAnsi="Arial"/>
          <w:sz w:val="18"/>
          <w:szCs w:val="18"/>
          <w:color w:val="auto"/>
        </w:rPr>
        <w:t>Fixed Charges:</w:t>
      </w:r>
    </w:p>
    <w:p>
      <w:pPr>
        <w:spacing w:after="0" w:line="252" w:lineRule="exact"/>
        <w:rPr>
          <w:sz w:val="20"/>
          <w:szCs w:val="20"/>
          <w:color w:val="auto"/>
        </w:rPr>
      </w:pPr>
    </w:p>
    <w:p>
      <w:pPr>
        <w:ind w:left="672" w:right="580" w:hanging="215"/>
        <w:spacing w:after="0" w:line="342" w:lineRule="auto"/>
        <w:rPr>
          <w:sz w:val="20"/>
          <w:szCs w:val="20"/>
          <w:color w:val="auto"/>
        </w:rPr>
      </w:pPr>
      <w:r>
        <w:rPr>
          <w:rFonts w:ascii="Arial" w:cs="Arial" w:eastAsia="Arial" w:hAnsi="Arial"/>
          <w:sz w:val="16"/>
          <w:szCs w:val="16"/>
          <w:color w:val="auto"/>
        </w:rPr>
        <w:t>Interest expense including capitalized interest</w:t>
      </w:r>
    </w:p>
    <w:p>
      <w:pPr>
        <w:spacing w:after="0" w:line="151" w:lineRule="exact"/>
        <w:rPr>
          <w:sz w:val="20"/>
          <w:szCs w:val="20"/>
          <w:color w:val="auto"/>
        </w:rPr>
      </w:pPr>
    </w:p>
    <w:p>
      <w:pPr>
        <w:ind w:left="672" w:right="140" w:hanging="215"/>
        <w:spacing w:after="0" w:line="277" w:lineRule="auto"/>
        <w:rPr>
          <w:sz w:val="20"/>
          <w:szCs w:val="20"/>
          <w:color w:val="auto"/>
        </w:rPr>
      </w:pPr>
      <w:r>
        <w:rPr>
          <w:rFonts w:ascii="Arial" w:cs="Arial" w:eastAsia="Arial" w:hAnsi="Arial"/>
          <w:sz w:val="18"/>
          <w:szCs w:val="18"/>
          <w:color w:val="auto"/>
        </w:rPr>
        <w:t>Estimated interest component of rent</w:t>
      </w:r>
    </w:p>
    <w:p>
      <w:pPr>
        <w:spacing w:after="0" w:line="333" w:lineRule="exact"/>
        <w:rPr>
          <w:sz w:val="20"/>
          <w:szCs w:val="20"/>
          <w:color w:val="auto"/>
        </w:rPr>
      </w:pPr>
    </w:p>
    <w:p>
      <w:pPr>
        <w:ind w:left="32"/>
        <w:spacing w:after="0"/>
        <w:rPr>
          <w:sz w:val="20"/>
          <w:szCs w:val="20"/>
          <w:color w:val="auto"/>
        </w:rPr>
      </w:pPr>
      <w:r>
        <w:rPr>
          <w:rFonts w:ascii="Arial" w:cs="Arial" w:eastAsia="Arial" w:hAnsi="Arial"/>
          <w:sz w:val="18"/>
          <w:szCs w:val="18"/>
          <w:color w:val="auto"/>
        </w:rPr>
        <w:t>Total fixed charges</w:t>
      </w:r>
    </w:p>
    <w:p>
      <w:pPr>
        <w:spacing w:after="0" w:line="252" w:lineRule="exact"/>
        <w:rPr>
          <w:sz w:val="20"/>
          <w:szCs w:val="20"/>
          <w:color w:val="auto"/>
        </w:rPr>
      </w:pPr>
    </w:p>
    <w:p>
      <w:pPr>
        <w:ind w:left="252" w:right="40" w:hanging="215"/>
        <w:spacing w:after="0" w:line="277" w:lineRule="auto"/>
        <w:rPr>
          <w:sz w:val="20"/>
          <w:szCs w:val="20"/>
          <w:color w:val="auto"/>
        </w:rPr>
      </w:pPr>
      <w:r>
        <w:rPr>
          <w:rFonts w:ascii="Arial" w:cs="Arial" w:eastAsia="Arial" w:hAnsi="Arial"/>
          <w:sz w:val="18"/>
          <w:szCs w:val="18"/>
          <w:color w:val="auto"/>
        </w:rPr>
        <w:t>Combined fixed charges and preference dividends:</w:t>
      </w:r>
    </w:p>
    <w:p>
      <w:pPr>
        <w:spacing w:after="0" w:line="197" w:lineRule="exact"/>
        <w:rPr>
          <w:sz w:val="20"/>
          <w:szCs w:val="20"/>
          <w:color w:val="auto"/>
        </w:rPr>
      </w:pPr>
    </w:p>
    <w:p>
      <w:pPr>
        <w:ind w:left="672" w:right="580" w:hanging="215"/>
        <w:spacing w:after="0" w:line="342" w:lineRule="auto"/>
        <w:rPr>
          <w:sz w:val="20"/>
          <w:szCs w:val="20"/>
          <w:color w:val="auto"/>
        </w:rPr>
      </w:pPr>
      <w:r>
        <w:rPr>
          <w:rFonts w:ascii="Arial" w:cs="Arial" w:eastAsia="Arial" w:hAnsi="Arial"/>
          <w:sz w:val="16"/>
          <w:szCs w:val="16"/>
          <w:color w:val="auto"/>
        </w:rPr>
        <w:t>Interest expense including capitalized interest</w:t>
      </w:r>
    </w:p>
    <w:p>
      <w:pPr>
        <w:spacing w:after="0" w:line="151" w:lineRule="exact"/>
        <w:rPr>
          <w:sz w:val="20"/>
          <w:szCs w:val="20"/>
          <w:color w:val="auto"/>
        </w:rPr>
      </w:pPr>
    </w:p>
    <w:p>
      <w:pPr>
        <w:ind w:left="672" w:right="140" w:hanging="215"/>
        <w:spacing w:after="0" w:line="277" w:lineRule="auto"/>
        <w:rPr>
          <w:sz w:val="20"/>
          <w:szCs w:val="20"/>
          <w:color w:val="auto"/>
        </w:rPr>
      </w:pPr>
      <w:r>
        <w:rPr>
          <w:rFonts w:ascii="Arial" w:cs="Arial" w:eastAsia="Arial" w:hAnsi="Arial"/>
          <w:sz w:val="18"/>
          <w:szCs w:val="18"/>
          <w:color w:val="auto"/>
        </w:rPr>
        <w:t>Estimated interest component of rent</w:t>
      </w:r>
    </w:p>
    <w:p>
      <w:pPr>
        <w:spacing w:after="0" w:line="19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Deemed dividend</w:t>
      </w:r>
    </w:p>
    <w:p>
      <w:pPr>
        <w:spacing w:after="0" w:line="387" w:lineRule="exact"/>
        <w:rPr>
          <w:sz w:val="20"/>
          <w:szCs w:val="20"/>
          <w:color w:val="auto"/>
        </w:rPr>
      </w:pPr>
    </w:p>
    <w:p>
      <w:pPr>
        <w:ind w:left="252" w:right="480" w:hanging="215"/>
        <w:spacing w:after="0" w:line="277" w:lineRule="auto"/>
        <w:rPr>
          <w:sz w:val="20"/>
          <w:szCs w:val="20"/>
          <w:color w:val="auto"/>
        </w:rPr>
      </w:pPr>
      <w:r>
        <w:rPr>
          <w:rFonts w:ascii="Arial" w:cs="Arial" w:eastAsia="Arial" w:hAnsi="Arial"/>
          <w:sz w:val="18"/>
          <w:szCs w:val="18"/>
          <w:color w:val="auto"/>
        </w:rPr>
        <w:t>Total combined fixed charges and preference dividends</w:t>
      </w:r>
    </w:p>
    <w:p>
      <w:pPr>
        <w:spacing w:after="0" w:line="197" w:lineRule="exact"/>
        <w:rPr>
          <w:sz w:val="20"/>
          <w:szCs w:val="20"/>
          <w:color w:val="auto"/>
        </w:rPr>
      </w:pPr>
    </w:p>
    <w:p>
      <w:pPr>
        <w:ind w:left="32"/>
        <w:spacing w:after="0"/>
        <w:rPr>
          <w:sz w:val="20"/>
          <w:szCs w:val="20"/>
          <w:color w:val="auto"/>
        </w:rPr>
      </w:pPr>
      <w:r>
        <w:rPr>
          <w:rFonts w:ascii="Arial" w:cs="Arial" w:eastAsia="Arial" w:hAnsi="Arial"/>
          <w:sz w:val="17"/>
          <w:szCs w:val="17"/>
          <w:color w:val="auto"/>
        </w:rPr>
        <w:t>Ratio of earnings to fixed charges (1)</w:t>
      </w:r>
    </w:p>
    <w:p>
      <w:pPr>
        <w:spacing w:after="0" w:line="264" w:lineRule="exact"/>
        <w:rPr>
          <w:sz w:val="20"/>
          <w:szCs w:val="20"/>
          <w:color w:val="auto"/>
        </w:rPr>
      </w:pPr>
    </w:p>
    <w:p>
      <w:pPr>
        <w:ind w:left="252" w:right="40" w:hanging="215"/>
        <w:spacing w:after="0" w:line="381" w:lineRule="auto"/>
        <w:rPr>
          <w:sz w:val="20"/>
          <w:szCs w:val="20"/>
          <w:color w:val="auto"/>
        </w:rPr>
      </w:pPr>
      <w:r>
        <w:rPr>
          <w:rFonts w:ascii="Arial" w:cs="Arial" w:eastAsia="Arial" w:hAnsi="Arial"/>
          <w:sz w:val="15"/>
          <w:szCs w:val="15"/>
          <w:color w:val="auto"/>
        </w:rPr>
        <w:t>Ratio of earnings to combined fixed charges and preference dividends (1)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ind w:right="3200"/>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3200"/>
        <w:spacing w:after="0"/>
        <w:rPr>
          <w:sz w:val="20"/>
          <w:szCs w:val="20"/>
          <w:color w:val="auto"/>
        </w:rPr>
      </w:pPr>
      <w:r>
        <w:rPr>
          <w:rFonts w:ascii="Arial" w:cs="Arial" w:eastAsia="Arial" w:hAnsi="Arial"/>
          <w:sz w:val="18"/>
          <w:szCs w:val="18"/>
          <w:b w:val="1"/>
          <w:bCs w:val="1"/>
          <w:color w:val="auto"/>
        </w:rPr>
        <w:t>Ratio of earnings to fixed charges</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Fiscal Years 2010 through 2014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52139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December 31,</w:t>
            </w: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6"/>
                <w:szCs w:val="16"/>
                <w:color w:val="auto"/>
              </w:rPr>
            </w:pPr>
          </w:p>
        </w:tc>
        <w:tc>
          <w:tcPr>
            <w:tcW w:w="13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6"/>
                <w:szCs w:val="16"/>
                <w:color w:val="auto"/>
              </w:rPr>
            </w:pPr>
          </w:p>
        </w:tc>
        <w:tc>
          <w:tcPr>
            <w:tcW w:w="13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-8255</wp:posOffset>
            </wp:positionV>
            <wp:extent cx="7246620"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574675</wp:posOffset>
            </wp:positionV>
            <wp:extent cx="7246620" cy="5657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(16,819)</w:t>
            </w:r>
          </w:p>
        </w:tc>
        <w:tc>
          <w:tcPr>
            <w:tcW w:w="3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(22,304)</w:t>
            </w:r>
          </w:p>
        </w:tc>
        <w:tc>
          <w:tcPr>
            <w:tcW w:w="3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(18,888)</w:t>
            </w:r>
          </w:p>
        </w:tc>
        <w:tc>
          <w:tcPr>
            <w:tcW w:w="3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(16,389)</w:t>
            </w:r>
          </w:p>
        </w:tc>
        <w:tc>
          <w:tcPr>
            <w:tcW w:w="3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(57,705)</w:t>
            </w:r>
          </w:p>
        </w:tc>
      </w:tr>
      <w:tr>
        <w:trPr>
          <w:trHeight w:val="675"/>
        </w:trPr>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2,908</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3,578</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1,169</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7,081</w:t>
            </w:r>
          </w:p>
        </w:tc>
      </w:tr>
      <w:tr>
        <w:trPr>
          <w:trHeight w:val="459"/>
        </w:trPr>
        <w:tc>
          <w:tcPr>
            <w:tcW w:w="40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47"/>
        </w:trPr>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(13,911)</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(18,726)</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(17,882)</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(15,220)</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(50,624)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-650875</wp:posOffset>
            </wp:positionV>
            <wp:extent cx="7246620"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17145</wp:posOffset>
            </wp:positionV>
            <wp:extent cx="7246620"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2,158</w:t>
            </w:r>
          </w:p>
        </w:tc>
        <w:tc>
          <w:tcPr>
            <w:tcW w:w="3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3,101</w:t>
            </w:r>
          </w:p>
        </w:tc>
        <w:tc>
          <w:tcPr>
            <w:tcW w:w="3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3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5,344</w:t>
            </w:r>
          </w:p>
        </w:tc>
      </w:tr>
      <w:tr>
        <w:trPr>
          <w:trHeight w:val="675"/>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3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1,155</w:t>
            </w:r>
          </w:p>
        </w:tc>
        <w:tc>
          <w:tcPr>
            <w:tcW w:w="3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1,737</w:t>
            </w:r>
          </w:p>
        </w:tc>
      </w:tr>
      <w:tr>
        <w:trPr>
          <w:trHeight w:val="27"/>
        </w:trPr>
        <w:tc>
          <w:tcPr>
            <w:tcW w:w="1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47"/>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2,908</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3,578</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3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1,169</w:t>
            </w:r>
          </w:p>
        </w:tc>
        <w:tc>
          <w:tcPr>
            <w:tcW w:w="3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-788035</wp:posOffset>
            </wp:positionV>
            <wp:extent cx="7246620" cy="428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17145</wp:posOffset>
            </wp:positionV>
            <wp:extent cx="7246620" cy="428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2,158</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3,101</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5,344</w:t>
            </w:r>
          </w:p>
        </w:tc>
      </w:tr>
      <w:tr>
        <w:trPr>
          <w:trHeight w:val="675"/>
        </w:trPr>
        <w:tc>
          <w:tcPr>
            <w:tcW w:w="50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1,155</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1,737</w:t>
            </w:r>
          </w:p>
        </w:tc>
      </w:tr>
      <w:tr>
        <w:trPr>
          <w:trHeight w:val="459"/>
        </w:trPr>
        <w:tc>
          <w:tcPr>
            <w:tcW w:w="50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9,900</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763"/>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2,908</w:t>
            </w:r>
          </w:p>
        </w:tc>
        <w:tc>
          <w:tcPr>
            <w:tcW w:w="36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13,478</w:t>
            </w:r>
          </w:p>
        </w:tc>
        <w:tc>
          <w:tcPr>
            <w:tcW w:w="36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3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1,169</w:t>
            </w:r>
          </w:p>
        </w:tc>
        <w:tc>
          <w:tcPr>
            <w:tcW w:w="3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7,081</w:t>
            </w:r>
          </w:p>
        </w:tc>
      </w:tr>
      <w:tr>
        <w:trPr>
          <w:trHeight w:val="459"/>
        </w:trPr>
        <w:tc>
          <w:tcPr>
            <w:tcW w:w="50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75"/>
        </w:trPr>
        <w:tc>
          <w:tcPr>
            <w:tcW w:w="50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-1937385</wp:posOffset>
            </wp:positionV>
            <wp:extent cx="7246620" cy="428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-1131570</wp:posOffset>
            </wp:positionV>
            <wp:extent cx="7246620" cy="428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-410845</wp:posOffset>
            </wp:positionV>
            <wp:extent cx="7246620" cy="428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32" w:space="260"/>
            <w:col w:w="8220"/>
          </w:cols>
          <w:pgMar w:left="248" w:top="364" w:right="239" w:bottom="1440" w:gutter="0" w:footer="0" w:header="0"/>
        </w:sectPr>
      </w:pPr>
    </w:p>
    <w:p>
      <w:pPr>
        <w:spacing w:after="0" w:line="69" w:lineRule="exact"/>
        <w:rPr>
          <w:sz w:val="20"/>
          <w:szCs w:val="20"/>
          <w:color w:val="auto"/>
        </w:rPr>
      </w:pPr>
    </w:p>
    <w:p>
      <w:pPr>
        <w:ind w:left="-8" w:right="100" w:firstLine="8"/>
        <w:spacing w:after="0" w:line="277" w:lineRule="auto"/>
        <w:tabs>
          <w:tab w:leader="none" w:pos="2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Earnings for 2010, 2011, 2012, 2013, and 2014 were insufficient to cover fixed charges by $16.8 million, $22.3 million, $18.9 million, $16.4 million, and $57.7 million, respectively.</w:t>
      </w:r>
    </w:p>
    <w:p>
      <w:pPr>
        <w:sectPr>
          <w:pgSz w:w="11900" w:h="16838" w:orient="portrait"/>
          <w:cols w:equalWidth="0" w:num="1">
            <w:col w:w="11412"/>
          </w:cols>
          <w:pgMar w:left="248" w:top="364" w:right="239" w:bottom="1440" w:gutter="0" w:footer="0" w:header="0"/>
          <w:type w:val="continuous"/>
        </w:sectPr>
      </w:pPr>
    </w:p>
    <w:bookmarkStart w:id="101" w:name="page102"/>
    <w:bookmarkEnd w:id="101"/>
    <w:p>
      <w:pPr>
        <w:jc w:val="right"/>
        <w:ind w:right="2519"/>
        <w:spacing w:after="0"/>
        <w:rPr>
          <w:sz w:val="20"/>
          <w:szCs w:val="20"/>
          <w:color w:val="auto"/>
        </w:rPr>
      </w:pPr>
      <w:r>
        <w:rPr>
          <w:rFonts w:ascii="Arial" w:cs="Arial" w:eastAsia="Arial" w:hAnsi="Arial"/>
          <w:sz w:val="18"/>
          <w:szCs w:val="18"/>
          <w:b w:val="1"/>
          <w:bCs w:val="1"/>
          <w:color w:val="auto"/>
        </w:rPr>
        <w:t>SUBSIDIARIES OF FLUIDIGM 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Corporation (Delaware):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Fluidigm K.K. (Japan)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Fluidigm Europe, B.V. (Netherlands)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Fluidigm Singapore Pte. Ltd. (Singapore)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Fluidigm (Shanghai) Instrument Technology Company Limited (China)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Fluidigm Sciences Inc. (Delaware)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Europe, BV (Netherlands):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Fluidigm France SARL (France)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Fluidigm UK Limited (United Kingdom)</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Fluidigm GmbH (Germany)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Sciences Inc. (Delaware):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Fluidigm Canada Inc. (Ontario, Canada)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DVS Sciences (UK) Ltd. (United Kingdom)</w:t>
      </w:r>
    </w:p>
    <w:p>
      <w:pPr>
        <w:sectPr>
          <w:pgSz w:w="11900" w:h="16838" w:orient="portrait"/>
          <w:cols w:equalWidth="0" w:num="1">
            <w:col w:w="10179"/>
          </w:cols>
          <w:pgMar w:left="280" w:top="540" w:right="1440" w:bottom="1440" w:gutter="0" w:footer="0" w:header="0"/>
        </w:sectPr>
      </w:pPr>
    </w:p>
    <w:bookmarkStart w:id="102" w:name="page103"/>
    <w:bookmarkEnd w:id="102"/>
    <w:p>
      <w:pPr>
        <w:ind w:left="194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26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Registration Statements (Form S-3ASR No. 333-193624) of Fluidigm Corporation,</w:t>
      </w:r>
    </w:p>
    <w:p>
      <w:pPr>
        <w:spacing w:after="0" w:line="260" w:lineRule="exact"/>
        <w:rPr>
          <w:rFonts w:ascii="Arial" w:cs="Arial" w:eastAsia="Arial" w:hAnsi="Arial"/>
          <w:sz w:val="22"/>
          <w:szCs w:val="22"/>
          <w:color w:val="auto"/>
        </w:rPr>
      </w:pPr>
    </w:p>
    <w:p>
      <w:pPr>
        <w:ind w:left="660" w:right="160" w:hanging="652"/>
        <w:spacing w:after="0" w:line="287" w:lineRule="auto"/>
        <w:tabs>
          <w:tab w:leader="none" w:pos="660" w:val="left"/>
        </w:tabs>
        <w:numPr>
          <w:ilvl w:val="0"/>
          <w:numId w:val="35"/>
        </w:numPr>
        <w:rPr>
          <w:rFonts w:ascii="Arial" w:cs="Arial" w:eastAsia="Arial" w:hAnsi="Arial"/>
          <w:sz w:val="21"/>
          <w:szCs w:val="21"/>
          <w:color w:val="auto"/>
        </w:rPr>
      </w:pPr>
      <w:r>
        <w:rPr>
          <w:rFonts w:ascii="Arial" w:cs="Arial" w:eastAsia="Arial" w:hAnsi="Arial"/>
          <w:sz w:val="21"/>
          <w:szCs w:val="21"/>
          <w:color w:val="auto"/>
        </w:rPr>
        <w:t>Registration Statements (Form S-8 Nos. 333-172206, 333-180363 and 333-187204) pertaining to the 1999 Stock Option Plan, 2009 Equity Incentive Plan, and 2011 Equity Incentive Plan of Fluidigm Corporation, and</w:t>
      </w:r>
    </w:p>
    <w:p>
      <w:pPr>
        <w:spacing w:after="0" w:line="192" w:lineRule="exact"/>
        <w:rPr>
          <w:rFonts w:ascii="Arial" w:cs="Arial" w:eastAsia="Arial" w:hAnsi="Arial"/>
          <w:sz w:val="21"/>
          <w:szCs w:val="21"/>
          <w:color w:val="auto"/>
        </w:rPr>
      </w:pPr>
    </w:p>
    <w:p>
      <w:pPr>
        <w:ind w:left="660" w:hanging="652"/>
        <w:spacing w:after="0" w:line="250"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Registration Statement (Form S-8/S-3 No. 333-194084) pertaining to (a) the 2011 Equity Incentive Plan of Fluidigm Corporation, (b) stock options granted under the DVS Sciences, Inc. 2010 Equity Incentive Plan, as amended, assumed by Fluidigm Corporation, and (c) the DVS Sciences, Inc. Stock Restriction Agreements and Restricted Stock Purchase Agreements assumed by Fluidigm Corporation;</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of our reports dated February 26, 2015, with respect to the consolidated financial statements of Fluidigm Corporation and the effectiveness of internal control over financial reporting of Fluidigm Corporation included in this Annual Report (Form 10-K) of Fluidigm Corporation for the year ended December 31, 2014.</w:t>
      </w:r>
    </w:p>
    <w:p>
      <w:pPr>
        <w:spacing w:after="0" w:line="226"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/s/ Ernst &amp; Young LLP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Redwood City, 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February 26, 2015</w:t>
      </w:r>
    </w:p>
    <w:p>
      <w:pPr>
        <w:sectPr>
          <w:pgSz w:w="11900" w:h="16838" w:orient="portrait"/>
          <w:cols w:equalWidth="0" w:num="1">
            <w:col w:w="11220"/>
          </w:cols>
          <w:pgMar w:left="240" w:top="369" w:right="4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171"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482"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120" w:hanging="655"/>
        <w:spacing w:after="0" w:line="286" w:lineRule="auto"/>
        <w:tabs>
          <w:tab w:leader="none" w:pos="1492"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482"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200" w:hanging="655"/>
        <w:spacing w:after="0" w:line="286" w:lineRule="auto"/>
        <w:tabs>
          <w:tab w:leader="none" w:pos="1492"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8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340" w:hanging="655"/>
        <w:spacing w:after="0" w:line="342" w:lineRule="auto"/>
        <w:tabs>
          <w:tab w:leader="none" w:pos="1482"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140" w:hanging="655"/>
        <w:spacing w:after="0" w:line="277" w:lineRule="auto"/>
        <w:tabs>
          <w:tab w:leader="none" w:pos="14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6760" w:val="left"/>
          <w:tab w:leader="none" w:pos="7440" w:val="left"/>
        </w:tabs>
        <w:rPr>
          <w:sz w:val="20"/>
          <w:szCs w:val="20"/>
          <w:color w:val="auto"/>
        </w:rPr>
      </w:pPr>
      <w:r>
        <w:rPr>
          <w:rFonts w:ascii="Arial" w:cs="Arial" w:eastAsia="Arial" w:hAnsi="Arial"/>
          <w:sz w:val="18"/>
          <w:szCs w:val="18"/>
          <w:color w:val="auto"/>
        </w:rPr>
        <w:t>Date: February 26,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31750</wp:posOffset>
            </wp:positionV>
            <wp:extent cx="26670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742"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171" w:lineRule="exact"/>
        <w:rPr>
          <w:rFonts w:ascii="Arial" w:cs="Arial" w:eastAsia="Arial" w:hAnsi="Arial"/>
          <w:sz w:val="18"/>
          <w:szCs w:val="18"/>
          <w:color w:val="auto"/>
        </w:rPr>
      </w:pPr>
    </w:p>
    <w:p>
      <w:pPr>
        <w:ind w:left="1960" w:right="240" w:hanging="1304"/>
        <w:spacing w:after="0" w:line="264" w:lineRule="auto"/>
        <w:tabs>
          <w:tab w:leader="none" w:pos="13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960" w:right="280" w:hanging="1304"/>
        <w:spacing w:after="0" w:line="264" w:lineRule="auto"/>
        <w:tabs>
          <w:tab w:leader="none" w:pos="13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ind w:left="1960" w:right="20" w:hanging="1304"/>
        <w:spacing w:after="0" w:line="291" w:lineRule="auto"/>
        <w:tabs>
          <w:tab w:leader="none" w:pos="131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1960" w:right="80" w:hanging="655"/>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960" w:right="460" w:hanging="1304"/>
        <w:spacing w:after="0" w:line="264" w:lineRule="auto"/>
        <w:tabs>
          <w:tab w:leader="none" w:pos="13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760" w:val="left"/>
          <w:tab w:leader="none" w:pos="7440" w:val="left"/>
        </w:tabs>
        <w:rPr>
          <w:sz w:val="20"/>
          <w:szCs w:val="20"/>
          <w:color w:val="auto"/>
        </w:rPr>
      </w:pPr>
      <w:r>
        <w:rPr>
          <w:rFonts w:ascii="Arial" w:cs="Arial" w:eastAsia="Arial" w:hAnsi="Arial"/>
          <w:sz w:val="18"/>
          <w:szCs w:val="18"/>
          <w:color w:val="auto"/>
        </w:rPr>
        <w:t>Date: February 26,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31750</wp:posOffset>
            </wp:positionV>
            <wp:extent cx="26670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2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left="1060" w:right="460" w:firstLine="1"/>
        <w:spacing w:after="0" w:line="277" w:lineRule="auto"/>
        <w:tabs>
          <w:tab w:leader="none" w:pos="12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2014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060" w:right="480" w:firstLine="1"/>
        <w:spacing w:after="0" w:line="277" w:lineRule="auto"/>
        <w:tabs>
          <w:tab w:leader="none" w:pos="132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678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Date: February 26, 2015</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left="900" w:right="620" w:hanging="1"/>
        <w:spacing w:after="0" w:line="277" w:lineRule="auto"/>
        <w:tabs>
          <w:tab w:leader="none" w:pos="11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2014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900" w:right="640" w:hanging="1"/>
        <w:spacing w:after="0" w:line="277" w:lineRule="auto"/>
        <w:tabs>
          <w:tab w:leader="none" w:pos="11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6500"/>
        <w:spacing w:after="0"/>
        <w:tabs>
          <w:tab w:leader="none" w:pos="7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31750</wp:posOffset>
            </wp:positionV>
            <wp:extent cx="23926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Date: February 26,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lvl w:ilvl="1">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2"/>
    </w:lvl>
  </w:abstractNum>
  <w:abstractNum w:abstractNumId="22">
    <w:nsid w:val="7C3DBD3D"/>
    <w:multiLevelType w:val="hybridMultilevel"/>
    <w:lvl w:ilvl="0">
      <w:lvlJc w:val="left"/>
      <w:lvlText w:val="%1."/>
      <w:numFmt w:val="decimal"/>
      <w:start w:val="3"/>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6"/>
    </w:lvl>
  </w:abstractNum>
  <w:abstractNum w:abstractNumId="25">
    <w:nsid w:val="22221A70"/>
    <w:multiLevelType w:val="hybridMultilevel"/>
    <w:lvl w:ilvl="0">
      <w:lvlJc w:val="left"/>
      <w:lvlText w:val="%1."/>
      <w:numFmt w:val="decimal"/>
      <w:start w:val="9"/>
    </w:lvl>
  </w:abstractNum>
  <w:abstractNum w:abstractNumId="26">
    <w:nsid w:val="4516DDE9"/>
    <w:multiLevelType w:val="hybridMultilevel"/>
    <w:lvl w:ilvl="0">
      <w:lvlJc w:val="left"/>
      <w:lvlText w:val="%1."/>
      <w:numFmt w:val="decimal"/>
      <w:start w:val="10"/>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
      <w:numFmt w:val="bullet"/>
      <w:start w:val="1"/>
    </w:lvl>
    <w:lvl w:ilvl="1">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lvl w:ilvl="1">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2019-12-29T19:01:48Z</dcterms:created>
  <dcterms:modified xsi:type="dcterms:W3CDTF">2019-12-29T19:01:48Z</dcterms:modified>
</cp:coreProperties>
</file>