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lab-20260930.htm"/>
      <w:bookmarkStart w:id="1" w:name="kslab20260930"/>
      <w:bookmarkEnd w:id="0"/>
      <w:bookmarkEnd w:id="1"/>
      <w: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w:t>
      </w:r>
    </w:p>
    <w:p>
      <w:pPr>
        <w:pStyle w:val="TextBody"/>
        <w:bidi w:val="0"/>
        <w:jc w:val="center"/>
        <w:rPr>
          <w:rFonts w:ascii="Times New Roman" w:hAnsi="Times New Roman"/>
          <w:sz w:val="32"/>
        </w:rPr>
      </w:pPr>
      <w:r>
        <w:rPr>
          <w:rFonts w:ascii="Times New Roman" w:hAnsi="Times New Roman"/>
          <w:b/>
          <w:color w:val="000000"/>
          <w:sz w:val="32"/>
        </w:rPr>
        <w:t>FORM 10-Q</w:t>
      </w:r>
      <w:r>
        <w:rPr>
          <w:rFonts w:ascii="Times New Roman" w:hAnsi="Times New Roman"/>
          <w:color w:val="000000"/>
          <w:sz w:val="32"/>
        </w:rPr>
        <w:t xml:space="preserve">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4"/>
        </w:rPr>
      </w:pPr>
      <w:r>
        <w:rPr>
          <w:rFonts w:ascii="Times New Roman" w:hAnsi="Times New Roman"/>
          <w:b/>
          <w:color w:val="000000"/>
          <w:sz w:val="24"/>
        </w:rPr>
        <w:t>For the quarterly period ended September 30, 2026</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or</w:t>
      </w:r>
    </w:p>
    <w:p>
      <w:pPr>
        <w:pStyle w:val="TextBody"/>
        <w:bidi w:val="0"/>
        <w:jc w:val="left"/>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For the transition period from to</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jc w:val="center"/>
        <w:rPr>
          <w:rFonts w:ascii="Times New Roman" w:hAnsi="Times New Roman"/>
          <w:sz w:val="24"/>
        </w:rPr>
      </w:pPr>
      <w:r>
        <w:rPr>
          <w:rFonts w:ascii="Times New Roman" w:hAnsi="Times New Roman"/>
          <w:b/>
          <w:color w:val="000000"/>
          <w:sz w:val="24"/>
        </w:rPr>
        <w:t>Commission file number: 001-34180</w:t>
      </w:r>
      <w:r>
        <w:rPr>
          <w:rFonts w:ascii="Times New Roman" w:hAnsi="Times New Roman"/>
          <w:color w:val="000000"/>
          <w:sz w:val="24"/>
        </w:rPr>
        <w:t xml:space="preserve"> </w:t>
      </w:r>
    </w:p>
    <w:p>
      <w:pPr>
        <w:pStyle w:val="TextBody"/>
        <w:bidi w:val="0"/>
        <w:spacing w:before="80" w:after="283"/>
        <w:jc w:val="center"/>
      </w:pPr>
      <w:r>
        <w:drawing>
          <wp:inline distT="0" distB="0" distL="0" distR="0">
            <wp:extent cx="142875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028700"/>
                    </a:xfrm>
                    <a:prstGeom prst="rect">
                      <a:avLst/>
                    </a:prstGeom>
                  </pic:spPr>
                </pic:pic>
              </a:graphicData>
            </a:graphic>
          </wp:inline>
        </w:drawing>
      </w:r>
    </w:p>
    <w:p>
      <w:pPr>
        <w:pStyle w:val="TextBody"/>
        <w:bidi w:val="0"/>
        <w:jc w:val="center"/>
      </w:pPr>
      <w:r>
        <w:t> </w:t>
      </w:r>
    </w:p>
    <w:p>
      <w:pPr>
        <w:pStyle w:val="TextBody"/>
        <w:bidi w:val="0"/>
        <w:jc w:val="center"/>
        <w:rPr>
          <w:rFonts w:ascii="Times New Roman" w:hAnsi="Times New Roman"/>
          <w:sz w:val="44"/>
        </w:rPr>
      </w:pPr>
      <w:r>
        <w:rPr>
          <w:rFonts w:ascii="Times New Roman" w:hAnsi="Times New Roman"/>
          <w:b/>
          <w:color w:val="000000"/>
          <w:sz w:val="44"/>
        </w:rPr>
        <w:t>STANDARD BIOTOOLS INC.</w:t>
      </w:r>
      <w:r>
        <w:rPr>
          <w:rFonts w:ascii="Times New Roman" w:hAnsi="Times New Roman"/>
          <w:color w:val="000000"/>
          <w:sz w:val="44"/>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6868" w:type="dxa"/>
        <w:jc w:val="left"/>
        <w:tblInd w:w="0" w:type="dxa"/>
        <w:tblLayout w:type="fixed"/>
        <w:tblCellMar>
          <w:top w:w="28" w:type="dxa"/>
          <w:left w:w="28" w:type="dxa"/>
          <w:bottom w:w="28" w:type="dxa"/>
          <w:right w:w="28" w:type="dxa"/>
        </w:tblCellMar>
      </w:tblPr>
      <w:tblGrid>
        <w:gridCol w:w="4171"/>
        <w:gridCol w:w="146"/>
        <w:gridCol w:w="2551"/>
      </w:tblGrid>
      <w:t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77-0513190</w:t>
            </w:r>
          </w:p>
        </w:tc>
      </w:tr>
      <w:tr>
        <w:tc>
          <w:tcPr>
            <w:tcW w:w="41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I.R.S. Employer Identification No.</w:t>
            </w:r>
          </w:p>
        </w:tc>
      </w:tr>
      <w:tr>
        <w:tc>
          <w:tcPr>
            <w:tcW w:w="41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51" w:type="dxa"/>
            <w:tcBorders/>
            <w:tcMar>
              <w:top w:w="0" w:type="dxa"/>
              <w:left w:w="0" w:type="dxa"/>
              <w:bottom w:w="0" w:type="dxa"/>
              <w:right w:w="0" w:type="dxa"/>
            </w:tcMar>
            <w:vAlign w:val="center"/>
          </w:tcPr>
          <w:p>
            <w:pPr>
              <w:pStyle w:val="TableContents"/>
              <w:bidi w:val="0"/>
              <w:spacing w:before="0" w:after="283"/>
              <w:jc w:val="left"/>
            </w:pPr>
            <w:r>
              <w:t> </w:t>
            </w:r>
          </w:p>
        </w:tc>
      </w:tr>
      <w:tr>
        <w:tc>
          <w:tcPr>
            <w:tcW w:w="41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50 Milk Street, 10th Floor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Boston, MA</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02109</w:t>
            </w:r>
          </w:p>
        </w:tc>
      </w:tr>
      <w:t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rFonts w:ascii="Times New Roman" w:hAnsi="Times New Roman"/>
          <w:sz w:val="16"/>
        </w:rPr>
      </w:pPr>
      <w:r>
        <w:rPr>
          <w:rFonts w:ascii="Times New Roman" w:hAnsi="Times New Roman"/>
          <w:color w:val="000000"/>
          <w:sz w:val="16"/>
        </w:rPr>
        <w:t xml:space="preserve">Registrant’s telephone number, including area code: </w:t>
      </w:r>
      <w:r>
        <w:rPr>
          <w:rFonts w:ascii="Times New Roman" w:hAnsi="Times New Roman"/>
          <w:b/>
          <w:color w:val="000000"/>
          <w:sz w:val="16"/>
        </w:rPr>
        <w:t>(650) 266-6000</w:t>
      </w:r>
      <w:r>
        <w:rPr>
          <w:rFonts w:ascii="Times New Roman" w:hAnsi="Times New Roman"/>
          <w:color w:val="000000"/>
          <w:sz w:val="16"/>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spacing w:before="0" w:after="100"/>
        <w:jc w:val="center"/>
        <w:rPr>
          <w:rFonts w:ascii="Times New Roman" w:hAnsi="Times New Roman"/>
          <w:color w:val="000000"/>
          <w:sz w:val="16"/>
        </w:rPr>
      </w:pPr>
      <w:r>
        <w:rPr>
          <w:rFonts w:ascii="Times New Roman" w:hAnsi="Times New Roman"/>
          <w:color w:val="000000"/>
          <w:sz w:val="16"/>
        </w:rPr>
        <w:t>Securities registered pursuant to Section 12(b) of the Act:</w:t>
      </w:r>
    </w:p>
    <w:tbl>
      <w:tblPr>
        <w:tblW w:w="7923" w:type="dxa"/>
        <w:jc w:val="left"/>
        <w:tblInd w:w="0" w:type="dxa"/>
        <w:tblLayout w:type="fixed"/>
        <w:tblCellMar>
          <w:top w:w="28" w:type="dxa"/>
          <w:left w:w="28" w:type="dxa"/>
          <w:bottom w:w="28" w:type="dxa"/>
          <w:right w:w="28" w:type="dxa"/>
        </w:tblCellMar>
      </w:tblPr>
      <w:tblGrid>
        <w:gridCol w:w="3271"/>
        <w:gridCol w:w="1426"/>
        <w:gridCol w:w="3226"/>
      </w:tblGrid>
      <w:tr>
        <w:tc>
          <w:tcPr>
            <w:tcW w:w="327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$0.001 par value per share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LAB</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Global Select Market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pPr>
      <w:r>
        <w:t> </w:t>
      </w:r>
    </w:p>
    <w:tbl>
      <w:tblPr>
        <w:tblW w:w="4998" w:type="dxa"/>
        <w:jc w:val="left"/>
        <w:tblInd w:w="0" w:type="dxa"/>
        <w:tblLayout w:type="fixed"/>
        <w:tblCellMar>
          <w:top w:w="28" w:type="dxa"/>
          <w:left w:w="28" w:type="dxa"/>
          <w:bottom w:w="28" w:type="dxa"/>
          <w:right w:w="28" w:type="dxa"/>
        </w:tblCellMar>
      </w:tblPr>
      <w:tblGrid>
        <w:gridCol w:w="1666"/>
        <w:gridCol w:w="146"/>
        <w:gridCol w:w="316"/>
        <w:gridCol w:w="146"/>
        <w:gridCol w:w="146"/>
        <w:gridCol w:w="2071"/>
        <w:gridCol w:w="146"/>
        <w:gridCol w:w="361"/>
      </w:tblGrid>
      <w:t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Smaller reporting company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c>
          <w:tcPr>
            <w:tcW w:w="166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1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As of November 1, 2026, there were 394,790,441 shares of the registrant’s common stock, $0.001 par value per share, outstanding.</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both"/>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The forward-looking statements are contained principally in the section titled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timing of shipments, business strategies, financing plans, expansion of our business, investments to expand our customer base, plans for our products, competitive position, industry environment, existing and potential future National Institutes of Health funding pressures, the effect from existing and potential future U.S. export controls and tariffs, potential growth opportunities, market growth expectations, the effects of competition, cost structure optimization, acceleration of growth, potential merger and acquisition activity and restructuring plans (including expense reduction activities, modifications to the scope of our proteomic and genomics businesses, and discontinuing certain product lines), our expectations regarding the benefits and integration of acquired businesses and/or products, the transaction with Illumina, Inc., including the financial impact of the transaction, potential earnout payments and royalty streams, potential integration, and restructuring and transition-related disruption from the transaction, the transaction with Treeline Biosciences, Inc., including the expected timing of the closing, the potential benefits of the transaction, the expected post-closing ownership of the combined company, the dispositions of the mass cytometry and microfluidics businesses and the expected outcome, timing and benefits of such dispositions, as well as any assumptions underlying any of the foregoing, and the inability to maintain the listing of our common stock on The Nasdaq Stock Market LLC (“Nasdaq”).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“Risk Factors” section of our Annual Report on Form 10-K for the year ended December 31, 2025 filed with the Securities and Exchange Commission (the “SEC”) on March 16, 2026 (the “Annual Report”), our Quarterly Report on Form 10-Q for the quarter ended June 30, 2026 filed with the SEC on August 5, 2026, and this Quarterly Report on Form 10-Q, as updated and/or supplemented in subsequent filings with the SEC. Given these uncertainties, you should not place undue reliance on these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represent our management’s beliefs and assumptions only as of the date of this Quarterly Report on Form 10-Q.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on Form 10-Q completely and with the understanding that our actual future results may be materially different from what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IMC, Imaging Mass Cytometry, Immune Profiling Assay, Juno, Maxpar®, MCD, MSL®, Nanoflex, Open App, Pathsetter, Polaris, qdPCR 37K, Script Builder, Script Hub, Singular, SNP Trace, SNP Type, “Unleashing tools to accelerate breakthroughs in human health”, X9 Real Time PCR System, and Xgrade are trademarks or registered trademarks of Standard BioTools Inc. or its affiliates in the United States and/or other countries. Other service marks, trademarks and trade names referred to in this Quarterly Report on Form 10-Q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827"/>
        <w:gridCol w:w="8866"/>
        <w:gridCol w:w="512"/>
      </w:tblGrid>
      <w:tr>
        <w:tc>
          <w:tcPr>
            <w:tcW w:w="827" w:type="dxa"/>
            <w:tcBorders/>
            <w:vAlign w:val="center"/>
          </w:tcPr>
          <w:p>
            <w:pPr>
              <w:pStyle w:val="TableContents"/>
              <w:bidi w:val="0"/>
              <w:spacing w:before="0" w:after="283"/>
              <w:jc w:val="left"/>
              <w:rPr>
                <w:sz w:val="4"/>
                <w:szCs w:val="4"/>
              </w:rPr>
            </w:pPr>
            <w:r>
              <w:rPr>
                <w:sz w:val="4"/>
                <w:szCs w:val="4"/>
              </w:rPr>
            </w:r>
          </w:p>
        </w:tc>
        <w:tc>
          <w:tcPr>
            <w:tcW w:w="88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Page</w:t>
            </w:r>
          </w:p>
        </w:tc>
      </w:tr>
      <w:tr>
        <w:tc>
          <w:tcPr>
            <w:tcW w:w="827"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b/>
                <w:color w:val="000000"/>
                <w:sz w:val="20"/>
              </w:rPr>
            </w:pPr>
            <w:r>
              <w:rPr>
                <w:rFonts w:ascii="Times New Roman" w:hAnsi="Times New Roman"/>
                <w:b/>
                <w:color w:val="000000"/>
                <w:sz w:val="20"/>
              </w:rPr>
              <w:t>PART I.</w:t>
            </w:r>
          </w:p>
        </w:tc>
        <w:tc>
          <w:tcPr>
            <w:tcW w:w="8866"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b/>
                <w:color w:val="000000"/>
                <w:sz w:val="20"/>
              </w:rPr>
            </w:pPr>
            <w:r>
              <w:rPr>
                <w:rFonts w:ascii="Times New Roman" w:hAnsi="Times New Roman"/>
                <w:b/>
                <w:color w:val="000000"/>
                <w:sz w:val="20"/>
              </w:rPr>
              <w:t>FINANCIAL INFORMATION</w:t>
            </w:r>
          </w:p>
        </w:tc>
        <w:tc>
          <w:tcPr>
            <w:tcW w:w="512" w:type="dxa"/>
            <w:tcBorders/>
            <w:tcMar>
              <w:top w:w="0" w:type="dxa"/>
              <w:left w:w="0" w:type="dxa"/>
              <w:bottom w:w="0" w:type="dxa"/>
              <w:right w:w="0" w:type="dxa"/>
            </w:tcMar>
            <w:vAlign w:val="center"/>
          </w:tcPr>
          <w:p>
            <w:pPr>
              <w:pStyle w:val="TableContents"/>
              <w:bidi w:val="0"/>
              <w:spacing w:before="0" w:after="283"/>
              <w:jc w:val="lef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left"/>
            </w:pPr>
            <w:r>
              <w:t> </w:t>
            </w:r>
          </w:p>
        </w:tc>
      </w:tr>
      <w:tr>
        <w:tc>
          <w:tcPr>
            <w:tcW w:w="827"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1.</w:t>
            </w:r>
          </w:p>
        </w:tc>
        <w:tc>
          <w:tcPr>
            <w:tcW w:w="8866" w:type="dxa"/>
            <w:tcBorders/>
            <w:tcMar>
              <w:top w:w="0" w:type="dxa"/>
              <w:left w:w="0" w:type="dxa"/>
              <w:bottom w:w="0" w:type="dxa"/>
              <w:right w:w="0" w:type="dxa"/>
            </w:tcMar>
            <w:vAlign w:val="center"/>
          </w:tcPr>
          <w:p>
            <w:pPr>
              <w:pStyle w:val="TableContents"/>
              <w:bidi w:val="0"/>
              <w:spacing w:before="75" w:after="283"/>
              <w:jc w:val="left"/>
            </w:pPr>
            <w:hyperlink w:anchor="item_1_financialstatements">
              <w:r>
                <w:rPr>
                  <w:rStyle w:val="InternetLink"/>
                  <w:rFonts w:ascii="Times New Roman" w:hAnsi="Times New Roman"/>
                  <w:color w:val="0000FF"/>
                  <w:sz w:val="20"/>
                  <w:u w:val="single"/>
                </w:rPr>
                <w:t>Financial Statements (unaudited)</w:t>
              </w:r>
            </w:hyperlink>
          </w:p>
        </w:tc>
        <w:tc>
          <w:tcPr>
            <w:tcW w:w="512" w:type="dxa"/>
            <w:tcBorders/>
            <w:tcMar>
              <w:top w:w="0" w:type="dxa"/>
              <w:left w:w="0" w:type="dxa"/>
              <w:bottom w:w="0" w:type="dxa"/>
              <w:right w:w="0" w:type="dxa"/>
            </w:tcMar>
            <w:vAlign w:val="center"/>
          </w:tcPr>
          <w:p>
            <w:pPr>
              <w:pStyle w:val="TableContents"/>
              <w:bidi w:val="0"/>
              <w:spacing w:before="75" w:after="283"/>
              <w:jc w:val="right"/>
              <w:rPr>
                <w:rFonts w:ascii="Times New Roman" w:hAnsi="Times New Roman"/>
                <w:color w:val="000000"/>
                <w:sz w:val="20"/>
              </w:rPr>
            </w:pPr>
            <w:r>
              <w:rPr>
                <w:rFonts w:ascii="Times New Roman" w:hAnsi="Times New Roman"/>
                <w:color w:val="000000"/>
                <w:sz w:val="20"/>
              </w:rPr>
              <w:t>1</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condensed_consolidated_balance_sheets">
              <w:r>
                <w:rPr>
                  <w:rStyle w:val="InternetLink"/>
                  <w:rFonts w:ascii="Times New Roman" w:hAnsi="Times New Roman"/>
                  <w:color w:val="0000FF"/>
                  <w:sz w:val="20"/>
                  <w:u w:val="single"/>
                </w:rPr>
                <w:t>Condensed Consolidated Balance Sheets as of September 30, 2026 and December 31, 2025</w:t>
              </w:r>
            </w:hyperlink>
          </w:p>
        </w:tc>
        <w:tc>
          <w:tcPr>
            <w:tcW w:w="512" w:type="dxa"/>
            <w:tcBorders/>
            <w:tcMar>
              <w:top w:w="0" w:type="dxa"/>
              <w:left w:w="0" w:type="dxa"/>
              <w:bottom w:w="0" w:type="dxa"/>
              <w:right w:w="0" w:type="dxa"/>
            </w:tcMar>
            <w:vAlign w:val="center"/>
          </w:tcPr>
          <w:p>
            <w:pPr>
              <w:pStyle w:val="TableContents"/>
              <w:bidi w:val="0"/>
              <w:spacing w:before="75" w:after="283"/>
              <w:jc w:val="right"/>
              <w:rPr>
                <w:rFonts w:ascii="Times New Roman" w:hAnsi="Times New Roman"/>
                <w:color w:val="000000"/>
                <w:sz w:val="20"/>
              </w:rPr>
            </w:pPr>
            <w:r>
              <w:rPr>
                <w:rFonts w:ascii="Times New Roman" w:hAnsi="Times New Roman"/>
                <w:color w:val="000000"/>
                <w:sz w:val="20"/>
              </w:rPr>
              <w:t>1</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condensed_consolida_stmt_of_operations">
              <w:r>
                <w:rPr>
                  <w:rStyle w:val="InternetLink"/>
                  <w:rFonts w:ascii="Times New Roman" w:hAnsi="Times New Roman"/>
                  <w:color w:val="0000FF"/>
                  <w:sz w:val="20"/>
                  <w:u w:val="single"/>
                </w:rPr>
                <w:t>Condensed Consolidated Statements of Operations for the three and nine months ended September 30, 2026 and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comprehensive_loss">
              <w:r>
                <w:rPr>
                  <w:rStyle w:val="InternetLink"/>
                  <w:rFonts w:ascii="Times New Roman" w:hAnsi="Times New Roman"/>
                  <w:color w:val="0000FF"/>
                  <w:sz w:val="20"/>
                  <w:u w:val="single"/>
                </w:rPr>
                <w:t>Condensed Consolidated Statements of Comprehensive Income (Loss) for the three and nine months ended September 30, 2026 and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stockholders_equity">
              <w:r>
                <w:rPr>
                  <w:rStyle w:val="InternetLink"/>
                  <w:rFonts w:ascii="Times New Roman" w:hAnsi="Times New Roman"/>
                  <w:color w:val="0000FF"/>
                  <w:sz w:val="20"/>
                  <w:u w:val="single"/>
                </w:rPr>
                <w:t>Condensed Consolidated Statements of Stockholders’ Equity (Deficit) for the three and nine months ended September 30, 2026 and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cash_flows">
              <w:r>
                <w:rPr>
                  <w:rStyle w:val="InternetLink"/>
                  <w:rFonts w:ascii="Times New Roman" w:hAnsi="Times New Roman"/>
                  <w:color w:val="0000FF"/>
                  <w:sz w:val="20"/>
                  <w:u w:val="single"/>
                </w:rPr>
                <w:t>Condensed Consolidated Statements of Cash Flows for the nine months ended September 30, 2026 and 2025</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notes_to_consolidated_financial_state">
              <w:r>
                <w:rPr>
                  <w:rStyle w:val="InternetLink"/>
                  <w:rFonts w:ascii="Times New Roman" w:hAnsi="Times New Roman"/>
                  <w:color w:val="0000FF"/>
                  <w:sz w:val="20"/>
                  <w:u w:val="single"/>
                </w:rPr>
                <w:t>Notes to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item4_controls_and_procedures">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31</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item_1_legal_proceeding">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item_1a_riskfactors">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item_2_unregistered">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33</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33</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item_4_mine_safety_disclosures">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33</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item_5_othe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33</w:t>
            </w:r>
          </w:p>
        </w:tc>
      </w:tr>
      <w:tr>
        <w:tc>
          <w:tcPr>
            <w:tcW w:w="827" w:type="dxa"/>
            <w:tcBorders/>
            <w:tcMar>
              <w:top w:w="0" w:type="dxa"/>
              <w:left w:w="0" w:type="dxa"/>
              <w:bottom w:w="0" w:type="dxa"/>
              <w:right w:w="0" w:type="dxa"/>
            </w:tcMar>
            <w:vAlign w:val="center"/>
          </w:tcPr>
          <w:p>
            <w:pPr>
              <w:pStyle w:val="TableContents"/>
              <w:bidi w:val="0"/>
              <w:spacing w:before="0" w:after="283"/>
              <w:jc w:val="left"/>
            </w:pPr>
            <w:r>
              <w:t> </w:t>
            </w:r>
          </w:p>
        </w:tc>
        <w:tc>
          <w:tcPr>
            <w:tcW w:w="8866" w:type="dxa"/>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66" w:type="dxa"/>
            <w:tcBorders/>
            <w:tcMar>
              <w:top w:w="0" w:type="dxa"/>
              <w:left w:w="0" w:type="dxa"/>
              <w:bottom w:w="0" w:type="dxa"/>
              <w:right w:w="0" w:type="dxa"/>
            </w:tcMar>
            <w:vAlign w:val="center"/>
          </w:tcPr>
          <w:p>
            <w:pPr>
              <w:pStyle w:val="TableContents"/>
              <w:bidi w:val="0"/>
              <w:spacing w:before="0" w:after="283"/>
              <w:jc w:val="left"/>
            </w:pPr>
            <w:hyperlink w:anchor="item_6_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35</w:t>
            </w:r>
          </w:p>
        </w:tc>
      </w:tr>
      <w:tr>
        <w:tc>
          <w:tcPr>
            <w:tcW w:w="9693"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9693" w:type="dxa"/>
            <w:gridSpan w:val="2"/>
            <w:tcBorders/>
            <w:tcMar>
              <w:top w:w="0" w:type="dxa"/>
              <w:left w:w="0" w:type="dxa"/>
              <w:bottom w:w="0" w:type="dxa"/>
              <w:right w:w="0" w:type="dxa"/>
            </w:tcMar>
            <w:vAlign w:val="center"/>
          </w:tcPr>
          <w:p>
            <w:pPr>
              <w:pStyle w:val="TableContents"/>
              <w:bidi w:val="0"/>
              <w:spacing w:before="0" w:after="283"/>
              <w:jc w:val="left"/>
            </w:pPr>
            <w:hyperlink w:anchor="exhibit_list">
              <w:r>
                <w:rPr>
                  <w:rStyle w:val="InternetLink"/>
                  <w:rFonts w:ascii="Times New Roman" w:hAnsi="Times New Roman"/>
                  <w:color w:val="0000FF"/>
                  <w:sz w:val="20"/>
                  <w:u w:val="single"/>
                </w:rPr>
                <w:t>EXHIBIT LIST</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35</w:t>
            </w:r>
          </w:p>
        </w:tc>
      </w:tr>
      <w:tr>
        <w:tc>
          <w:tcPr>
            <w:tcW w:w="9693" w:type="dxa"/>
            <w:gridSpan w:val="2"/>
            <w:tcBorders/>
            <w:tcMar>
              <w:top w:w="0" w:type="dxa"/>
              <w:left w:w="0" w:type="dxa"/>
              <w:bottom w:w="0" w:type="dxa"/>
              <w:right w:w="0" w:type="dxa"/>
            </w:tcMar>
            <w:vAlign w:val="center"/>
          </w:tcPr>
          <w:p>
            <w:pPr>
              <w:pStyle w:val="TableContents"/>
              <w:bidi w:val="0"/>
              <w:spacing w:before="0" w:after="283"/>
              <w:jc w:val="left"/>
            </w:pPr>
            <w:r>
              <w:t> </w:t>
            </w:r>
          </w:p>
        </w:tc>
        <w:tc>
          <w:tcPr>
            <w:tcW w:w="512" w:type="dxa"/>
            <w:tcBorders/>
            <w:tcMar>
              <w:top w:w="0" w:type="dxa"/>
              <w:left w:w="0" w:type="dxa"/>
              <w:bottom w:w="0" w:type="dxa"/>
              <w:right w:w="0" w:type="dxa"/>
            </w:tcMar>
            <w:vAlign w:val="center"/>
          </w:tcPr>
          <w:p>
            <w:pPr>
              <w:pStyle w:val="TableContents"/>
              <w:bidi w:val="0"/>
              <w:spacing w:before="0" w:after="283"/>
              <w:jc w:val="right"/>
            </w:pPr>
            <w:r>
              <w:t> </w:t>
            </w:r>
          </w:p>
        </w:tc>
      </w:tr>
      <w:tr>
        <w:tc>
          <w:tcPr>
            <w:tcW w:w="9693" w:type="dxa"/>
            <w:gridSpan w:val="2"/>
            <w:tcBorders/>
            <w:tcMar>
              <w:top w:w="0" w:type="dxa"/>
              <w:left w:w="0" w:type="dxa"/>
              <w:bottom w:w="0" w:type="dxa"/>
              <w:right w:w="0" w:type="dxa"/>
            </w:tcMar>
            <w:vAlign w:val="center"/>
          </w:tcPr>
          <w:p>
            <w:pPr>
              <w:pStyle w:val="TableContents"/>
              <w:bidi w:val="0"/>
              <w:spacing w:before="0" w:after="283"/>
              <w:jc w:val="left"/>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37</w:t>
            </w:r>
          </w:p>
        </w:tc>
      </w:tr>
    </w:tbl>
    <w:p>
      <w:pPr>
        <w:pStyle w:val="TextBody"/>
        <w:bidi w:val="0"/>
        <w:jc w:val="left"/>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center"/>
        <w:rPr>
          <w:rFonts w:ascii="Times New Roman" w:hAnsi="Times New Roman"/>
          <w:b/>
          <w:color w:val="000000"/>
          <w:sz w:val="20"/>
        </w:rPr>
      </w:pPr>
      <w:bookmarkStart w:id="2" w:name="part_i_financial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152"/>
        <w:gridCol w:w="146"/>
        <w:gridCol w:w="198"/>
        <w:gridCol w:w="899"/>
        <w:gridCol w:w="166"/>
        <w:gridCol w:w="146"/>
        <w:gridCol w:w="196"/>
        <w:gridCol w:w="889"/>
        <w:gridCol w:w="413"/>
      </w:tblGrid>
      <w:t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120,863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66,712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13,431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19,981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4,871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228,406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497,302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454,264</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19,275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right-of-use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26,732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3,154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25,701</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asset,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38,628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635,332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567,754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5,407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29,783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5,490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38,949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grant income,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liabilities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25,633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108,308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Convertible notes,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25,038</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grant income,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4,290</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143,463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Preferred stock: $0.001 par value, 10,000 shares authorized at September 30, 2026 and December 31, 2025, respectively; no shares issued and outstanding at September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Common stock: $0.001 par value, 600,000 shares authorized at September 30, 2026 and December 31, 2025; 413,251 and 404,961 shares issued at September 30, 2026 and December 31, 2025, respectively; 394,671 and 386,381 shares outstanding at September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1,748,204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1,732,393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(1,146,754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(1,260,547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Treasury stock at cost: 18,580 shares at September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(46,467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c>
          <w:tcPr>
            <w:tcW w:w="71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555,750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424,291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1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635,332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567,754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5" w:name="condensed_consolida_stmt_of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66"/>
        <w:gridCol w:w="146"/>
        <w:gridCol w:w="211"/>
        <w:gridCol w:w="781"/>
        <w:gridCol w:w="391"/>
      </w:tblGrid>
      <w:t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from continuing operations,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from discontinued operations,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6" w:name="comprehensive_loss"/>
      <w:bookmarkEnd w:id="6"/>
      <w:r>
        <w:rPr>
          <w:rFonts w:ascii="Times New Roman" w:hAnsi="Times New Roman"/>
          <w:b/>
          <w:color w:val="000000"/>
          <w:sz w:val="20"/>
        </w:rPr>
        <w:t>CONDENSED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pPr>
      <w:r>
        <w:t> </w:t>
      </w:r>
    </w:p>
    <w:tbl>
      <w:tblPr>
        <w:tblW w:w="9247" w:type="dxa"/>
        <w:jc w:val="left"/>
        <w:tblInd w:w="0" w:type="dxa"/>
        <w:tblLayout w:type="fixed"/>
        <w:tblCellMar>
          <w:top w:w="28" w:type="dxa"/>
          <w:left w:w="28" w:type="dxa"/>
          <w:bottom w:w="28" w:type="dxa"/>
          <w:right w:w="28" w:type="dxa"/>
        </w:tblCellMar>
      </w:tblPr>
      <w:tblGrid>
        <w:gridCol w:w="3981"/>
        <w:gridCol w:w="146"/>
        <w:gridCol w:w="211"/>
        <w:gridCol w:w="676"/>
        <w:gridCol w:w="166"/>
        <w:gridCol w:w="146"/>
        <w:gridCol w:w="211"/>
        <w:gridCol w:w="736"/>
        <w:gridCol w:w="166"/>
        <w:gridCol w:w="146"/>
        <w:gridCol w:w="211"/>
        <w:gridCol w:w="781"/>
        <w:gridCol w:w="166"/>
        <w:gridCol w:w="146"/>
        <w:gridCol w:w="211"/>
        <w:gridCol w:w="736"/>
        <w:gridCol w:w="411"/>
      </w:tblGrid>
      <w:tr>
        <w:tc>
          <w:tcPr>
            <w:tcW w:w="3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39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(95,881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7" w:name="stockholders_equity"/>
      <w:bookmarkEnd w:id="7"/>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pPr>
      <w:r>
        <w:t> </w:t>
      </w:r>
    </w:p>
    <w:tbl>
      <w:tblPr>
        <w:tblW w:w="10947" w:type="dxa"/>
        <w:jc w:val="left"/>
        <w:tblInd w:w="0" w:type="dxa"/>
        <w:tblLayout w:type="fixed"/>
        <w:tblCellMar>
          <w:top w:w="28" w:type="dxa"/>
          <w:left w:w="28" w:type="dxa"/>
          <w:bottom w:w="28" w:type="dxa"/>
          <w:right w:w="28" w:type="dxa"/>
        </w:tblCellMar>
      </w:tblPr>
      <w:tblGrid>
        <w:gridCol w:w="1371"/>
        <w:gridCol w:w="146"/>
        <w:gridCol w:w="146"/>
        <w:gridCol w:w="691"/>
        <w:gridCol w:w="146"/>
        <w:gridCol w:w="146"/>
        <w:gridCol w:w="196"/>
        <w:gridCol w:w="376"/>
        <w:gridCol w:w="146"/>
        <w:gridCol w:w="146"/>
        <w:gridCol w:w="196"/>
        <w:gridCol w:w="826"/>
        <w:gridCol w:w="166"/>
        <w:gridCol w:w="146"/>
        <w:gridCol w:w="196"/>
        <w:gridCol w:w="571"/>
        <w:gridCol w:w="166"/>
        <w:gridCol w:w="146"/>
        <w:gridCol w:w="196"/>
        <w:gridCol w:w="886"/>
        <w:gridCol w:w="166"/>
        <w:gridCol w:w="146"/>
        <w:gridCol w:w="146"/>
        <w:gridCol w:w="661"/>
        <w:gridCol w:w="166"/>
        <w:gridCol w:w="146"/>
        <w:gridCol w:w="196"/>
        <w:gridCol w:w="661"/>
        <w:gridCol w:w="166"/>
        <w:gridCol w:w="146"/>
        <w:gridCol w:w="205"/>
        <w:gridCol w:w="726"/>
        <w:gridCol w:w="411"/>
      </w:tblGrid>
      <w:t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424,291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408,722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1,741,172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561,123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410,701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1,745,082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(1,160,237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539,971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w:t>
              <w:br/>
              <w:t>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1,748,204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555,750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pPr>
      <w:r/>
    </w:p>
    <w:p>
      <w:pPr>
        <w:pStyle w:val="TextBody"/>
        <w:bidi w:val="0"/>
        <w:spacing w:before="180" w:after="283"/>
        <w:jc w:val="left"/>
      </w:pPr>
      <w:r>
        <w:t> </w:t>
      </w:r>
    </w:p>
    <w:tbl>
      <w:tblPr>
        <w:tblW w:w="10947" w:type="dxa"/>
        <w:jc w:val="left"/>
        <w:tblInd w:w="0" w:type="dxa"/>
        <w:tblLayout w:type="fixed"/>
        <w:tblCellMar>
          <w:top w:w="28" w:type="dxa"/>
          <w:left w:w="28" w:type="dxa"/>
          <w:bottom w:w="28" w:type="dxa"/>
          <w:right w:w="28" w:type="dxa"/>
        </w:tblCellMar>
      </w:tblPr>
      <w:tblGrid>
        <w:gridCol w:w="1371"/>
        <w:gridCol w:w="146"/>
        <w:gridCol w:w="146"/>
        <w:gridCol w:w="691"/>
        <w:gridCol w:w="146"/>
        <w:gridCol w:w="146"/>
        <w:gridCol w:w="196"/>
        <w:gridCol w:w="376"/>
        <w:gridCol w:w="146"/>
        <w:gridCol w:w="146"/>
        <w:gridCol w:w="196"/>
        <w:gridCol w:w="826"/>
        <w:gridCol w:w="166"/>
        <w:gridCol w:w="146"/>
        <w:gridCol w:w="196"/>
        <w:gridCol w:w="571"/>
        <w:gridCol w:w="166"/>
        <w:gridCol w:w="146"/>
        <w:gridCol w:w="196"/>
        <w:gridCol w:w="886"/>
        <w:gridCol w:w="166"/>
        <w:gridCol w:w="146"/>
        <w:gridCol w:w="146"/>
        <w:gridCol w:w="661"/>
        <w:gridCol w:w="166"/>
        <w:gridCol w:w="146"/>
        <w:gridCol w:w="196"/>
        <w:gridCol w:w="661"/>
        <w:gridCol w:w="166"/>
        <w:gridCol w:w="146"/>
        <w:gridCol w:w="205"/>
        <w:gridCol w:w="726"/>
        <w:gridCol w:w="411"/>
      </w:tblGrid>
      <w:t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397,667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(1,211,684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454,595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1,717,673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424,535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1,726,032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(1,279,830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399,659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center"/>
      </w:pPr>
      <w: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8" w:name="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8599" w:type="dxa"/>
        <w:jc w:val="left"/>
        <w:tblInd w:w="0" w:type="dxa"/>
        <w:tblLayout w:type="fixed"/>
        <w:tblCellMar>
          <w:top w:w="28" w:type="dxa"/>
          <w:left w:w="28" w:type="dxa"/>
          <w:bottom w:w="28" w:type="dxa"/>
          <w:right w:w="28" w:type="dxa"/>
        </w:tblCellMar>
      </w:tblPr>
      <w:tblGrid>
        <w:gridCol w:w="5896"/>
        <w:gridCol w:w="146"/>
        <w:gridCol w:w="196"/>
        <w:gridCol w:w="751"/>
        <w:gridCol w:w="166"/>
        <w:gridCol w:w="146"/>
        <w:gridCol w:w="196"/>
        <w:gridCol w:w="691"/>
        <w:gridCol w:w="411"/>
      </w:tblGrid>
      <w:tr>
        <w:tc>
          <w:tcPr>
            <w:tcW w:w="5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sale of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Indemnification-related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 on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Realized gain on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excess and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tax asset,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business,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sales of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sales and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ESPP stock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for taxes related to net share settlement of equity awards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foreign exchange rate fluctuations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(refunded)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right-of-use assets and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9" w:name="notes_to_consolidated_financial_state"/>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September 30, 2026</w:t>
      </w:r>
    </w:p>
    <w:p>
      <w:pPr>
        <w:pStyle w:val="TextBody"/>
        <w:bidi w:val="0"/>
        <w:spacing w:before="240" w:after="283"/>
        <w:jc w:val="left"/>
        <w:rPr>
          <w:rFonts w:ascii="Times New Roman" w:hAnsi="Times New Roman"/>
          <w:b/>
          <w:color w:val="000000"/>
          <w:sz w:val="20"/>
        </w:rPr>
      </w:pPr>
      <w:bookmarkStart w:id="10" w:name="note_1"/>
      <w:bookmarkEnd w:id="10"/>
      <w:r>
        <w:rPr>
          <w:rFonts w:ascii="Times New Roman" w:hAnsi="Times New Roman"/>
          <w:b/>
          <w:color w:val="000000"/>
          <w:sz w:val="20"/>
        </w:rPr>
        <w:t>1. Basis of Presentation and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Standard BioTools Inc. (“Standard BioTools” or the “Company”) is a Delaware corporation headquartered in Boston, Massachusetts.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develops, manufactures and sells a diversified range of instrumentation, consumables, and services that help scientists and biomedical researchers develop better therapeutics faster. Its proprietary multi-omics tools provide unique insights into human health, immune response, and disease states across a broad range of applications, including proteomics and genomics, and other areas of translational and clinical research.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works with leading academic, government, pharmaceutical, biotechnology, plant and animal research, and clinical laboratories worldwide, focusing on the most pressing needs in translational and clinical research, including oncology, immunology, and immunotherapy.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unaudited condensed consolidated financial statements have been prepared in accordance with accounting principles generally accepted in the United States of America ("GAAP") for interim financial information and applicable rules and regulations of the U.S. Securities and Exchange Commission (the "SEC") regarding financial reporting. All intercompany transactions and balances have been eliminated in consolidation. These interim condensed consolidated financial statements and related disclosures are unaudited and have been prepared on the same basis as the annual financial statements. In the opinion of management, the accompanying financial statements contain all adjustments of a normal and recurring nature, necessary for a fair statement of the Company's financial position as of September 30, 2026, results of operations for the three and nine months ended September 30, 2026 and 2025, and cash flows for the nine months ended September 30, 2026 and 2025.The condensed consolidated balance sheet at December 31, 2025 was derived from the Company’s audited annual financial statements included in the Company’s Annual Report on Form 10-K for the year ended December 31, 2025 (the “Annual Report”) but does not contain all of the footnote disclosures from the annual financial statements.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Certain information and disclosures normally included in consolidated financial statements prepared in accordance with GAAP have been condensed or omitted. Accordingly, these condensed consolidated financial statements should be read in conjunction with the Company's audited consolidated financial statements as of and for the year ended December 31, 2025 (the "2025 Financial Statements") included in the Company's Annual Report.</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On June 22, 2025, the Company entered into a Stock Purchase Agreement (the "Purchase Agreement") with Illumina, Inc. (“Illumina”). Pursuant to the terms of the Purchase Agreement, Illumina acquired all of the equity interests of SomaLogic, Inc. ("SomaLogic"), Sengenics Corporation LLC and Sengenics Corporation Pte Ltd (collectively, the "Disposed Entities"), each a wholly owned subsidiary of the Company that operated the Company's aptamer-based and functional proteomics business, including KREX, Single SOMAmer, translational and diagnostic assays (collectively, the "SomaScan Business") (such transaction, the "Transaction"). The Transaction did not include the Company's mass cytometry and microfluidics businesses, which were retained by the Company. The Transaction closed on January 30, 2026. See Note 3, </w:t>
      </w:r>
      <w:r>
        <w:rPr>
          <w:rFonts w:ascii="Times New Roman" w:hAnsi="Times New Roman"/>
          <w:i/>
          <w:color w:val="000000"/>
          <w:sz w:val="20"/>
        </w:rPr>
        <w:t>Discontinued Operations</w:t>
      </w:r>
      <w:r>
        <w:rPr>
          <w:rFonts w:ascii="Times New Roman" w:hAnsi="Times New Roman"/>
          <w:color w:val="000000"/>
          <w:sz w:val="20"/>
        </w:rPr>
        <w:t>, for additional information.</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Consistent with Accounting Standards Codification ("ASC") 205, </w:t>
      </w:r>
      <w:r>
        <w:rPr>
          <w:rFonts w:ascii="Times New Roman" w:hAnsi="Times New Roman"/>
          <w:i/>
          <w:color w:val="000000"/>
          <w:sz w:val="20"/>
        </w:rPr>
        <w:t>Presentation of Financial Statements</w:t>
      </w:r>
      <w:r>
        <w:rPr>
          <w:rFonts w:ascii="Times New Roman" w:hAnsi="Times New Roman"/>
          <w:color w:val="000000"/>
          <w:sz w:val="20"/>
        </w:rPr>
        <w:t>, the Company classifies disposal groups as held-for-sale in the reporting period when all the held-for-sale classification criteria are met. Disposal groups held for sale are presented as discontinued operations when the disposal represents a strategic shift with a major effect on operations, and the operations and cash flows are clearly distinguishable from the rest of the entity. Upon classification as held-for-sale, assets and liabilities are presented as held-for-sale and measured at the lower of carrying value or fair value less costs to sell, and upon classification as discontinued operations, results of operations are reclassified as discontinued operations for all periods presented.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determined that the SomaScan Business met the held-for-sale and discontinued operations accounting criteria in the second quarter of 2025. The Company completed the sale of the SomaScan Business on January 30, 2026. Accordingly, the Company has classified the results of the SomaScan Business as discontinued operations in its condensed consolidated statements of operations for all periods presented. The assets and liabilities of the SomaScan Business were classified as held-for-sale in the condensed consolidated balance sheet as of December 31, 2025. Upon closing of the Transaction on January 30, 2026, the Company derecognized all assets and liabilities of the SomaScan Business and recognized a pre-tax gain on sale of $172.3 million, which 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rPr>
          <w:rFonts w:ascii="Times New Roman" w:hAnsi="Times New Roman"/>
          <w:sz w:val="20"/>
        </w:rPr>
      </w:pPr>
      <w:r>
        <w:rPr>
          <w:rFonts w:ascii="Times New Roman" w:hAnsi="Times New Roman"/>
          <w:color w:val="000000"/>
          <w:sz w:val="20"/>
        </w:rPr>
        <w:t xml:space="preserve">reflected in income from discontinued operations, net of tax, in the condensed consolidated statements of operations for the nine months ended September 30, 2026. During the three months ended September 30, 2026, the Company recognized an additional gain of $30.0 million in connection with the termination of the 2026 earnout and related royalty and license agreements. See Note 3, </w:t>
      </w:r>
      <w:r>
        <w:rPr>
          <w:rFonts w:ascii="Times New Roman" w:hAnsi="Times New Roman"/>
          <w:i/>
          <w:color w:val="000000"/>
          <w:sz w:val="20"/>
        </w:rPr>
        <w:t>Discontinued Operations</w:t>
      </w:r>
      <w:r>
        <w:rPr>
          <w:rFonts w:ascii="Times New Roman" w:hAnsi="Times New Roman"/>
          <w:color w:val="000000"/>
          <w:sz w:val="20"/>
        </w:rPr>
        <w:t xml:space="preserve">. The cash flows related to discontinued operations have not been segregated and are included in the condensed consolidated statements of cash flows. The discussions in these notes to the condensed consolidated financial statements relate solely to the Company's continuing operations, unless otherwise noted. For further discussion of the discontinued operations related to the SomaScan Business, refer to Note 3, </w:t>
      </w:r>
      <w:r>
        <w:rPr>
          <w:rFonts w:ascii="Times New Roman" w:hAnsi="Times New Roman"/>
          <w:i/>
          <w:color w:val="000000"/>
          <w:sz w:val="20"/>
        </w:rPr>
        <w:t>Discontinued Operations</w:t>
      </w:r>
      <w:r>
        <w:rPr>
          <w:rFonts w:ascii="Times New Roman" w:hAnsi="Times New Roman"/>
          <w:color w:val="000000"/>
          <w:sz w:val="20"/>
        </w:rPr>
        <w: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Interim results are not necessarily indicative of the results to be expected for the full year ending December 31,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identifies operating and reportable segments based on how the chief operating decision maker (“CODM”) manages the business, allocates resources, makes operating decisions and evaluates operating performance. The Company's Chief Executive Officer (“CEO”) is its CODM. The Company reassesses its operating segments when facts and circumstances suggest that there may have been a change in the way that the Company is managed.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CODM manages the business on a consolidated basis, as a multi-omics company. Therefore, the Company concluded it has one operating and reportable segment: the consolidated company. </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The segment information presented reflects the Company's continuing operations and excludes discontinued operations. See Note 12, </w:t>
      </w:r>
      <w:r>
        <w:rPr>
          <w:rFonts w:ascii="Times New Roman" w:hAnsi="Times New Roman"/>
          <w:i/>
          <w:color w:val="000000"/>
          <w:sz w:val="20"/>
        </w:rPr>
        <w:t>Segment Reporting</w:t>
      </w:r>
      <w:r>
        <w:rPr>
          <w:rFonts w:ascii="Times New Roman" w:hAnsi="Times New Roman"/>
          <w:color w:val="000000"/>
          <w:sz w:val="20"/>
        </w:rPr>
        <w:t>, for more information on the reportable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Contingent Consideration Receivable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Contingent consideration arrangements arising from the disposal of a business are evaluated to determine whether the arrangement meets the definition of a derivative in accordance with ASC 815. When the arrangement qualifies for a scope exception under ASC 815 or does not meet the definition of a derivative, the Company has elected to recognize contingent consideration when it is determined to be realizable in accordance with ASC 450. Any gains or losses from the subsequent accounting for contingent consideration are recognized within the same financial statement line item as the original gain or loss on the sale.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preparation of financial statements in accordance with GAAP requires management to make estimates and assumptions that affect the amounts reported in the financial statements and disclosed in the accompanying notes. Actual results could differ materially from these estimates.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Significant estimates and assumptions which form the basis of amounts reported in the condensed consolidated financial statements include, but are not limited to, the identification of performance obligations in contracts with customers; standalone selling prices of the Company's performance obligations; timing of revenue recognition; fair value measurements; net realizable value of inventory; income taxes; and impairment of long-lived assets (property and equipment, and operating lease right-of-use assets). The Company bases its estimates on current facts and circumstances, historical experience, forecasted results, and various other assumptions that it believes to be reasonable. The Company obtains reports from third-party valuation experts to inform and support estimates related to certain fair value measurements.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Changes and Accounting Pronouncements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Adoption of New Accounting Guidance</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In July 2025, the Financial Accounting Standards Board (the “FASB”) issued Accounting Standards Update No. </w:t>
      </w:r>
      <w:r>
        <w:rPr>
          <w:rFonts w:ascii="Times New Roman" w:hAnsi="Times New Roman"/>
          <w:i/>
          <w:color w:val="000000"/>
          <w:sz w:val="20"/>
        </w:rPr>
        <w:t>2025-05</w:t>
      </w:r>
      <w:r>
        <w:rPr>
          <w:rFonts w:ascii="Times New Roman" w:hAnsi="Times New Roman"/>
          <w:color w:val="000000"/>
          <w:sz w:val="20"/>
        </w:rPr>
        <w:t xml:space="preserve">, </w:t>
      </w:r>
      <w:r>
        <w:rPr>
          <w:rFonts w:ascii="Times New Roman" w:hAnsi="Times New Roman"/>
          <w:i/>
          <w:color w:val="000000"/>
          <w:sz w:val="20"/>
        </w:rPr>
        <w:t>Financial Instruments - Credit Losses</w:t>
      </w:r>
      <w:r>
        <w:rPr>
          <w:rFonts w:ascii="Times New Roman" w:hAnsi="Times New Roman"/>
          <w:color w:val="000000"/>
          <w:sz w:val="20"/>
        </w:rPr>
        <w:t xml:space="preserve">: </w:t>
      </w:r>
      <w:r>
        <w:rPr>
          <w:rFonts w:ascii="Times New Roman" w:hAnsi="Times New Roman"/>
          <w:i/>
          <w:color w:val="000000"/>
          <w:sz w:val="20"/>
        </w:rPr>
        <w:t>Measurement of Credit Losses for Accounts Receivable</w:t>
      </w:r>
      <w:r>
        <w:rPr>
          <w:rFonts w:ascii="Times New Roman" w:hAnsi="Times New Roman"/>
          <w:color w:val="000000"/>
          <w:sz w:val="20"/>
        </w:rPr>
        <w:t xml:space="preserve"> and </w:t>
      </w:r>
      <w:r>
        <w:rPr>
          <w:rFonts w:ascii="Times New Roman" w:hAnsi="Times New Roman"/>
          <w:i/>
          <w:color w:val="000000"/>
          <w:sz w:val="20"/>
        </w:rPr>
        <w:t>Contract Assets</w:t>
      </w:r>
      <w:r>
        <w:rPr>
          <w:rFonts w:ascii="Times New Roman" w:hAnsi="Times New Roman"/>
          <w:color w:val="000000"/>
          <w:sz w:val="20"/>
        </w:rPr>
        <w:t xml:space="preserve"> (“ASU </w:t>
      </w:r>
      <w:r>
        <w:rPr>
          <w:rFonts w:ascii="Times New Roman" w:hAnsi="Times New Roman"/>
          <w:i/>
          <w:color w:val="000000"/>
          <w:sz w:val="20"/>
        </w:rPr>
        <w:t>2025-05</w:t>
      </w:r>
      <w:r>
        <w:rPr>
          <w:rFonts w:ascii="Times New Roman" w:hAnsi="Times New Roman"/>
          <w:color w:val="000000"/>
          <w:sz w:val="20"/>
        </w:rPr>
        <w:t xml:space="preserve">”), which provides a practical expedient for estimating expected credit losses for current accounts receivable and current contract assets. ASU </w:t>
      </w:r>
      <w:r>
        <w:rPr>
          <w:rFonts w:ascii="Times New Roman" w:hAnsi="Times New Roman"/>
          <w:i/>
          <w:color w:val="000000"/>
          <w:sz w:val="20"/>
        </w:rPr>
        <w:t>2025-05</w:t>
      </w:r>
      <w:r>
        <w:rPr>
          <w:rFonts w:ascii="Times New Roman" w:hAnsi="Times New Roman"/>
          <w:color w:val="000000"/>
          <w:sz w:val="20"/>
        </w:rPr>
        <w:t>became effective for annual periods beginning after December 15, 2025 and interim periods within those annual reporting periods and is required to be applied prospectively. The Company adopted this ASU on January 1, 2026 and elected to utilize the practical expedient. The adoption of the ASU and the election of the practical expedient did not have a material impact on the Company’s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No. 2024-03, Disaggregation of Income Statement Expenses</w:t>
      </w:r>
      <w:r>
        <w:rPr>
          <w:rFonts w:ascii="Times New Roman" w:hAnsi="Times New Roman"/>
          <w:color w:val="000000"/>
          <w:sz w:val="20"/>
        </w:rPr>
        <w:t xml:space="preserve">. The new standard requires additional disclosure of the nature of the expenses included in the income statement, including disaggregation of the expense captions presented on the face of the income statement into specific categories. </w:t>
      </w:r>
      <w:r>
        <w:rPr>
          <w:rFonts w:ascii="Times New Roman" w:hAnsi="Times New Roman"/>
          <w:i/>
          <w:color w:val="000000"/>
          <w:sz w:val="20"/>
        </w:rPr>
        <w:t>ASU 2024-03</w:t>
      </w:r>
      <w:r>
        <w:rPr>
          <w:rFonts w:ascii="Times New Roman" w:hAnsi="Times New Roman"/>
          <w:color w:val="000000"/>
          <w:sz w:val="20"/>
        </w:rPr>
        <w:t xml:space="preserve"> is effective for fiscal years beginning after December 15, 2026, with early adoption permitted, and may be applied retrospectively or prospectively. The Company is currently evaluating the impact of this standard on its consolidated financial statements and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September 2025, the FASB issued </w:t>
      </w:r>
      <w:r>
        <w:rPr>
          <w:rFonts w:ascii="Times New Roman" w:hAnsi="Times New Roman"/>
          <w:i/>
          <w:color w:val="000000"/>
          <w:sz w:val="20"/>
        </w:rPr>
        <w:t>ASU 2025-06,</w:t>
      </w:r>
      <w:r>
        <w:rPr>
          <w:rFonts w:ascii="Times New Roman" w:hAnsi="Times New Roman"/>
          <w:color w:val="000000"/>
          <w:sz w:val="20"/>
        </w:rPr>
        <w:t xml:space="preserve"> </w:t>
      </w:r>
      <w:r>
        <w:rPr>
          <w:rFonts w:ascii="Times New Roman" w:hAnsi="Times New Roman"/>
          <w:i/>
          <w:color w:val="000000"/>
          <w:sz w:val="20"/>
        </w:rPr>
        <w:t xml:space="preserve">Targeted Improvements to the Accounting for Internal-Use Software. </w:t>
      </w:r>
      <w:r>
        <w:rPr>
          <w:rFonts w:ascii="Times New Roman" w:hAnsi="Times New Roman"/>
          <w:color w:val="000000"/>
          <w:sz w:val="20"/>
        </w:rPr>
        <w:t xml:space="preserve">The new standard modernizes the recognition and disclosure framework for capitalized internal-use software costs, removing the previous "development" stage model and introducing a judgment-based approach. </w:t>
      </w:r>
      <w:r>
        <w:rPr>
          <w:rFonts w:ascii="Times New Roman" w:hAnsi="Times New Roman"/>
          <w:i/>
          <w:color w:val="000000"/>
          <w:sz w:val="20"/>
        </w:rPr>
        <w:t>ASU 2025-06</w:t>
      </w:r>
      <w:r>
        <w:rPr>
          <w:rFonts w:ascii="Times New Roman" w:hAnsi="Times New Roman"/>
          <w:color w:val="000000"/>
          <w:sz w:val="20"/>
        </w:rPr>
        <w:t xml:space="preserve"> is effective for fiscal years beginning after December 15, 2027, with early adoption permitted, and may be applied using a prospective, retrospective, or modified transition approach. The Company is currently evaluating the impact of this standard on its consolidated financial statements and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December 2025, the FASB issued </w:t>
      </w:r>
      <w:r>
        <w:rPr>
          <w:rFonts w:ascii="Times New Roman" w:hAnsi="Times New Roman"/>
          <w:i/>
          <w:color w:val="000000"/>
          <w:sz w:val="20"/>
        </w:rPr>
        <w:t>ASU 2025-10, Accounting for Government Grants Received by Business Entities</w:t>
      </w:r>
      <w:r>
        <w:rPr>
          <w:rFonts w:ascii="Times New Roman" w:hAnsi="Times New Roman"/>
          <w:color w:val="000000"/>
          <w:sz w:val="20"/>
        </w:rPr>
        <w:t>. The new standard provides guidance on the recognition, measurement, and presentation of government grants. ASU 2025-10 is effective for fiscal years beginning after December 15, 2028, with early adoption permitted, and may be applied using a modified prospective, modified retrospective or full retrospective transition approach. The Company is currently evaluating the impact of this standard on its consolidated financial statements and disclosures.</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2. Merger Agreement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June 6, 2026, the Company entered into an Agreement and Plan of Merger and Reorganization (the “Merger Agreement”) with Treeline Biosciences, Inc. (“Treeline”) and Siri Merger Sub, Inc., a wholly owned subsidiary of the Company (“Merger Sub”), pursuant to which the Company and Treeline will combine in an all-stock merger. Pursuant to the Merger Agreement, Merger Sub will merge with and into Treeline, with Treeline surviving as a wholly owned subsidiary of the Company (the “Merger”). At the effective time of the Merger, the Company will be renamed Treeline Biosciences, Inc. and will effect a reverse stock split of its outstanding common stock, if not effected prior to the effective time as permitted by the Merger Agreement.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At the effective time of the Merger, each outstanding share of Treeline capital stock will be converted into the right to receive shares of the Company’s common stock based on an exchange ratio calculated in accordance with the Merger Agreement. Following the closing, the Company’s existing stockholders are expected to hold approximately 16% of the combined company on a fully diluted basis, and former Treeline stockholders are expected to hold approximately 84%, subject to adjustment in accordance with the Merger Agreement. In accordance with the Merger Agreement, the board of directors of the combined company following the Merger is expected to consist of ten directors nominated by Treeline and two directors nominated by the Company, and Treeline’s management team will become the management team of the combined company.</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Merger is expected to be accounted for as a reverse recapitalization, with Treeline treated as the accounting acquirer. This determination is preliminary and subject to the final terms of the Merger and the completion of the disposition of the Company’s mass cytometry and microfluidics businesses.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Prior to the effective time of the Merger, the Company expects to declare a dividend to its stockholders of one contingent value right (“CVR”) for each outstanding share of the Company’s common stock. Each CVR will entitle the holder to receive, for each 12-month payment period during the five-year term of the CVR agreement, a pro rata portion of the net proceeds received by the combined company from specified sources, less certain permitted deductions. These sources include proceeds from the sale, disposition, or other monetization of the Company’s mass cytometry and microfluidics businesses; proceeds from convertible notes or other investments held by the Company as of the closing date; contingent payments due to the Company under contracts in effect as of the closing date; and certain other amounts specified in the CVR agreement. Payments in respect of the CVR will be settled in shares of the combined company’s common stock, subject to a maximum of 76.0 million shares issuable under the CVR agreement. There can be no assurance that any payments will be made on the CVR.</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Under the Merger Agreement, the Company must use commercially reasonable efforts to effect the sale, license, transfer, disposition, divestiture or other monetization of its mass cytometry and microfluidics businesses. If the Company had not entered into a definitive agreement for the disposition of any portion of these businesses on or before the date the registration statement on Form S-4 filed in connection with the Merger was declared effective, the Company would have been required to commence mutually agreed wind-down activities with respect to that portion of the business. The Company entered into a definitive agreement for the sale of its mass cytometry business on September 30, 2026, as described below, and for the sale of its microfluidics business on October 4, 2026, as described in Note 15, </w:t>
      </w:r>
      <w:r>
        <w:rPr>
          <w:rFonts w:ascii="Times New Roman" w:hAnsi="Times New Roman"/>
          <w:i/>
          <w:color w:val="000000"/>
          <w:sz w:val="20"/>
        </w:rPr>
        <w:t>Subsequent Events</w:t>
      </w:r>
      <w:r>
        <w:rPr>
          <w:rFonts w:ascii="Times New Roman" w:hAnsi="Times New Roman"/>
          <w:color w:val="000000"/>
          <w:sz w:val="20"/>
        </w:rPr>
        <w: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Completion of the Merger is subject to customary closing conditions, including approval by the Company’s stockholders of the share issuance and an amendment to the Company’s certificate of incorporation, continued listing of the Company’s common stock on Nasdaq, and approval for listing of the shares issuable in the Merger. The waiting period under the Hart-Scott-Rodino Antitrust Improvements Act of 1976, as amended, was terminated early on July 21, 2026. The Company filed the registration statement on Form S-4 on July 20, 2026, which was amended on September 9, 2026 and October 9, 2026 and which was further amended and declared effective by the SEC on October 21, 2026. The Merger is expected to close in the fourth quarter of 2026. If the Merger is not consummated by March 31, 2027, either party may terminate the Merger Agreement. Upon termination under specified circumstances, the Company may be required to pay Treeline a termination fee of $16.1 million or to reimburse Treeline’s transaction expenses up to $5.0 million, with any such expense reimbursement credited against any such termination fee.</w:t>
      </w:r>
    </w:p>
    <w:p>
      <w:pPr>
        <w:pStyle w:val="TextBody"/>
        <w:bidi w:val="0"/>
        <w:jc w:val="left"/>
      </w:pPr>
      <w:r>
        <w:t> </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Sale of Mass Cytometry Business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July 28, 2026, the Company entered into a Share and Asset Purchase Agreement (the “Multiplex Bio Purchase Agreement”) with Multiplex Bio Inc. (“Multiplex Bio”), pursuant to which Multiplex Bio agreed to acquire the Company’s mass cytometry business (the “Mass Cytometry Business”). Total consideration under the Multiplex Bio Purchase Agreement was up to $10.0 million, consisting of $5.0 million payable at closing through the issuance of a promissory note and up to an additional $5.0 million payable upon a qualifying future sale transaction by Multiplex Bio. The Company would not have received cash consideration at closing and could have been required to provide Multiplex Bio a working capital loan of up to $10.0 million.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September 30, 2026, the Company’s board of directors determined that it had received a superior proposal for the Mass Cytometry Business from GMT Venture Partners, LLC (“GMT Venture”). The Company and Multiplex Bio then mutually agreed to terminate the Multiplex Bio Purchase Agreement, and the Company agreed to pay Multiplex Bio a termination fee of $1.5 million. GMT Venture agreed to pay $1.0 million of the termination fee to Multiplex Bio on the Company’s behalf. The Company may be required to refund that amount in certain circumstances if the Element Purchase Agreement, as defined and described below, is terminated. The Company recognized the $1.5 million termination fee within transaction and integration expenses for the three and nine months ended September 30, 2026. As a result of the termination, the Company has no further obligations under the Multiplex Bio Purchase Agreement, including the working capital loan commitment.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Also on September 30, 2026, the Company entered into a Share and Asset Purchase Agreement (the “Element Purchase Agreement”) with Element Biosystems, LLC (“Element”), a wholly owned subsidiary of GMT Venture. Under the Element Purchase Agreement, Element will acquire the Mass Cytometry Business for $5.5 million in cash, on a cash-free and debt-free basis and subject to customary adjustments. GMT Venture delivered an equity commitment letter to fund Element’s payment obligations at closing, and the transaction is not subject to a financing condition. At closing, the Company and Element will enter into a transition services agreement under which the Company will provide specified services to Element following the closing. Consummation of the sale is subject to approval by the Company’s stockholders, consummation of the Merger, and other customary closing conditions.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Either party may terminate the Element Purchase Agreement if the sale has not been consummated by June 30, 2027, subject to up to two automatic three-month extensions in specified circumstances. Upon termination under specified circumstances, the Company will be required to pay Element a termination fee of $1.0 million and, in certain circumstances, to refund the $1.0 million contributed by GMT Venture toward the Multiplex Bio termination fee. The Company will also be required to reimburse Element’s reasonable out-of-pocket expenses of up to $125,000 if the sale is not consummated by December 31, 2026, and up to an additional $125,000 if it is not consummated by March 31, 2027. Any reimbursement will be credited against the termination fee.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Mass Cytometry Business did not meet the criteria to be classified as held for sale as of September 30, 2026, as consummation of the sale is subject to approval by the Company’s stockholders and consummation of the Merger. In light of the agreed purchase price, the Company evaluated the long-lived assets of the Mass Cytometry Business for impairment as of September 30, 2026 and concluded that no impairment was required. The Company may recognize a loss on the sale upon closing, which will depend on the carrying value of the net assets transferred at closing, the final purchase price after adjustments, and transaction costs.</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Sale of Microfluidics Business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3, 2026, the Company completed the sale of its microfluidics business to Biomark Scientific Corp., an entity formed by ARCHIMED SAS, an investment firm focused exclusively on healthcare industries, for an aggregate purchase price of $5.0 million, on a cash-free and debt-free basis and subject to customary post-closing adjustments. The sale was completed pursuant to a Share and Asset Purchase Agreement entered into on October 4, 2026 (the “Microfluidics Purchase Agreement”). Net proceeds from the sale will be included in the proceeds from the Company’s Mass Cytometry Business and microfluidics business used to determine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payments under the CVRs, as described above.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microfluidics business did not meet the criteria to be classified as held for sale as of September 30, 2026, as the Company’s board of directors had not approved the sale as of that date. In light of the agreed purchase price, the Company evaluated the long-lived assets of the microfluidics business for impairment as of September 30, 2026 and concluded that no impairment was required.</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3. Discontinued Operations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June 22, 2025, the Company entered into the Purchase Agreement with Illumina for the divestiture of the SomaScan Business. On January 30, 2026, the Company completed the sale of the Disposed Entities to Illumina pursuant to the Purchase Agreement. The Disposed Entities comprised the Company's SomaScan Business, including its SomaScan assay platform and related products and services. The Company retained its mass cytometry and microfluidics businesses, which were not part of the Transaction.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At closing, the Company received net cash consideration of $388.2 million, which included $25.0 million of contingent consideration earned based on the achievement of specified revenue thresholds during fiscal year 2025. The Company was also eligible to receive additional contingent earnout payments of up to $50.0 million based on the achievement of specified revenue thresholds for SomaScan assay services and related products during fiscal year 2026. Consistent with its accounting policy, the Company recognizes contingent consideration when it is determined to be realizable. Accordingly, no amount related to the 2026 earnout was recognized at closing.</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July 24, 2026, the Company entered into a Termination, Waiver and Release Agreement with Illumina (the “Termination Agreement”). Under the Termination Agreement, the Company received a cash payment of $30.0 million in exchange for waiving its right to the 2026 earnout and terminating the royalty and license agreements described below. The Company recognized the $30.0 million as an additional gain on the sale of the SomaScan Business during the three months ended September 30, 2026. The gain is included in income from discontinued operations, net of tax. Following the Termination Agreement, the Company is not entitled to any further earnout, royalty or other contingent payments from Illumina related to the Transaction.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Additionally, in July 2026, the Company paid $7.5 million to settle certain litigation matters for which it had agreed to indemnify Illumina in connection with the Transaction, as described in footnote (2) to the table below. As a result, during the nine months ended September 30, 2026, the Company received net cash proceeds of $410.7 million from the sale of the SomaScan Business, consisting of $388.2 million received at closing and $30.0 million received under the Termination Agreement, net of the $7.5 million of indemnification payments. These proceeds are presented as proceeds from sale of business, net within investing activities in the condensed consolidated statements of cash flows.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Upon closing on January 30, 2026, the Company recognized a pre-tax gain of $172.3 million on the sale, calculated as the excess of the fair value of consideration received and consideration receivable over the carrying value of the net assets of the Disposed Entities, including allocated goodwill, and recognized $39.2 million of related income tax expense. Including the $30.0 million gain recognized in connection with the Termination Agreement, the Company recognized a total pre-tax gain on the sale of $202.3 million for the nine months ended September 30, 2026. The gain and income tax expense are reflected in income from discontinued operations, net of tax.</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closing, the Company and Illumina entered into (i) a royalty agreement, pursuant to which the Company was entitled to a specified royalty stream on net revenues generated from sales of SOMAmer-based next-generation sequencing library preparation kits, (ii) a license agreement, pursuant to which Illumina provided a specified license to the Company for the intellectual property relating to Single SOMAmers for potential development and commercialization of Single SOMAmer reagents for use in single plex affinity assays, and (iii) a royalty agreement, pursuant to which the Company was entitled to a specified royalty stream on net revenues generated from sales of Single SOMAmers. The royalty rates were low- to mid-single digit percentages. The royalty arrangements described in (i) and (iii) were considered to be contingent consideration for the sale of the SomaScan Business, and the Company elected to account for this contingent consideration as a gain contingency under ASC 450-30. These agreements were terminated on July 24, 2026 pursuant to the Termination Agreement. No royalty income was recognized under these agreements prior to termination.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result of the closing of the Transaction, the Company no longer has any subsidiary that is a party to the collaboration agreement that the Company previously entered into with Illumina in December 2021 (the “Collaboration Agreement”), and neither the Company nor any of its subsidiaries is entitled to any royalties or other payments under the Collaboration Agreement.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results of operations of the Disposed Entities are reported as discontinued operations for all periods presented. The following tables summarize the financial results of the discontinued operations:</w:t>
      </w:r>
    </w:p>
    <w:p>
      <w:pPr>
        <w:pStyle w:val="TextBody"/>
        <w:bidi w:val="0"/>
        <w:jc w:val="left"/>
      </w:pPr>
      <w:r>
        <w:t>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pPr>
      <w:r/>
    </w:p>
    <w:p>
      <w:pPr>
        <w:pStyle w:val="TextBody"/>
        <w:bidi w:val="0"/>
        <w:spacing w:before="180" w:after="283"/>
        <w:jc w:val="left"/>
      </w:pPr>
      <w:r>
        <w:t> </w:t>
      </w:r>
    </w:p>
    <w:tbl>
      <w:tblPr>
        <w:tblW w:w="10205" w:type="dxa"/>
        <w:jc w:val="left"/>
        <w:tblInd w:w="0" w:type="dxa"/>
        <w:tblLayout w:type="fixed"/>
        <w:tblCellMar>
          <w:top w:w="28" w:type="dxa"/>
          <w:left w:w="28" w:type="dxa"/>
          <w:bottom w:w="28" w:type="dxa"/>
          <w:right w:w="28" w:type="dxa"/>
        </w:tblCellMar>
      </w:tblPr>
      <w:tblGrid>
        <w:gridCol w:w="5119"/>
        <w:gridCol w:w="146"/>
        <w:gridCol w:w="211"/>
        <w:gridCol w:w="676"/>
        <w:gridCol w:w="166"/>
        <w:gridCol w:w="146"/>
        <w:gridCol w:w="211"/>
        <w:gridCol w:w="676"/>
        <w:gridCol w:w="166"/>
        <w:gridCol w:w="146"/>
        <w:gridCol w:w="211"/>
        <w:gridCol w:w="781"/>
        <w:gridCol w:w="166"/>
        <w:gridCol w:w="146"/>
        <w:gridCol w:w="211"/>
        <w:gridCol w:w="736"/>
        <w:gridCol w:w="291"/>
      </w:tblGrid>
      <w:tr>
        <w:tc>
          <w:tcPr>
            <w:tcW w:w="5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51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1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11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Revenue</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1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51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1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1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1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1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51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1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11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Indemnification-related loss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1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1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1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During the nine months ended September 30, 2026, the Company recognized revenue of $29.8 million related to the transaction price under the Collaboration Agreement with Illumina, which primarily reflects the release of the deferred revenue balance previously established under the Collaboration Agreement upon the sale of the SomaScan Business. The Company has classified the $29.8 million within discontinued operations consistent with the treatment of all SomaScan Business-related activities. Out of the $29.8 million recognized, $0.6 million reflects Illumina’s exercise of its material right to be provided with SOMAmer reagents for commercialization of the co-branded kits.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connection with the sale of SomaLogic to Illumina, the Company agreed to indemnify Illumina for certain litigation matters. The Company recorded a liability of $3.3 million as of the closing date, which remained unchanged as of March 31, 2026. During the three months ended June 30, 2026, the Company recorded an additional charge of $4.2 million related to the litigation matters, which were settled in July 2026. The Company paid $7.5 million in July 2026 in full settlement of these matters, and no indemnification liability remained as of September 30, 2026.</w:t>
      </w:r>
    </w:p>
    <w:p>
      <w:pPr>
        <w:pStyle w:val="TextBody"/>
        <w:bidi w:val="0"/>
        <w:spacing w:before="40" w:after="283"/>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Details of non-cash operating expenses and capital expenditures of the discontinued operations are as follows:</w:t>
      </w:r>
    </w:p>
    <w:p>
      <w:pPr>
        <w:pStyle w:val="TextBody"/>
        <w:bidi w:val="0"/>
        <w:jc w:val="left"/>
      </w:pPr>
      <w:r>
        <w:t> </w:t>
      </w:r>
    </w:p>
    <w:tbl>
      <w:tblPr>
        <w:tblW w:w="6022" w:type="dxa"/>
        <w:jc w:val="left"/>
        <w:tblInd w:w="0" w:type="dxa"/>
        <w:tblLayout w:type="fixed"/>
        <w:tblCellMar>
          <w:top w:w="28" w:type="dxa"/>
          <w:left w:w="28" w:type="dxa"/>
          <w:bottom w:w="28" w:type="dxa"/>
          <w:right w:w="28" w:type="dxa"/>
        </w:tblCellMar>
      </w:tblPr>
      <w:tblGrid>
        <w:gridCol w:w="3091"/>
        <w:gridCol w:w="146"/>
        <w:gridCol w:w="295"/>
        <w:gridCol w:w="798"/>
        <w:gridCol w:w="204"/>
        <w:gridCol w:w="204"/>
        <w:gridCol w:w="295"/>
        <w:gridCol w:w="798"/>
        <w:gridCol w:w="191"/>
      </w:tblGrid>
      <w:t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spacing w:before="360" w:after="283"/>
        <w:jc w:val="left"/>
        <w:rPr>
          <w:rFonts w:ascii="Times New Roman" w:hAnsi="Times New Roman"/>
          <w:b/>
          <w:color w:val="000000"/>
          <w:sz w:val="20"/>
        </w:rPr>
      </w:pPr>
      <w:bookmarkStart w:id="11" w:name="note_3"/>
      <w:bookmarkEnd w:id="11"/>
      <w:r>
        <w:rPr>
          <w:rFonts w:ascii="Times New Roman" w:hAnsi="Times New Roman"/>
          <w:b/>
          <w:color w:val="000000"/>
          <w:sz w:val="20"/>
        </w:rPr>
        <w:t>4. Revenue and Geographic Area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 by Product Type and Geographic Area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Company's revenue for the three and nine months ended September 30, 2026 and 2025 based on product type and the geographic location of customers’ facilities (in thousands):</w:t>
      </w:r>
    </w:p>
    <w:p>
      <w:pPr>
        <w:pStyle w:val="TextBody"/>
        <w:bidi w:val="0"/>
        <w:jc w:val="left"/>
      </w:pPr>
      <w:r>
        <w:t> </w:t>
      </w:r>
    </w:p>
    <w:tbl>
      <w:tblPr>
        <w:tblW w:w="9241" w:type="dxa"/>
        <w:jc w:val="left"/>
        <w:tblInd w:w="0" w:type="dxa"/>
        <w:tblLayout w:type="fixed"/>
        <w:tblCellMar>
          <w:top w:w="28" w:type="dxa"/>
          <w:left w:w="28" w:type="dxa"/>
          <w:bottom w:w="28" w:type="dxa"/>
          <w:right w:w="28" w:type="dxa"/>
        </w:tblCellMar>
      </w:tblPr>
      <w:tblGrid>
        <w:gridCol w:w="2296"/>
        <w:gridCol w:w="146"/>
        <w:gridCol w:w="318"/>
        <w:gridCol w:w="1021"/>
        <w:gridCol w:w="220"/>
        <w:gridCol w:w="220"/>
        <w:gridCol w:w="318"/>
        <w:gridCol w:w="1021"/>
        <w:gridCol w:w="146"/>
        <w:gridCol w:w="146"/>
        <w:gridCol w:w="306"/>
        <w:gridCol w:w="981"/>
        <w:gridCol w:w="212"/>
        <w:gridCol w:w="212"/>
        <w:gridCol w:w="306"/>
        <w:gridCol w:w="981"/>
        <w:gridCol w:w="391"/>
      </w:tblGrid>
      <w:t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8,330</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19,385</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60,635</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9296" w:type="dxa"/>
        <w:jc w:val="left"/>
        <w:tblInd w:w="0" w:type="dxa"/>
        <w:tblLayout w:type="fixed"/>
        <w:tblCellMar>
          <w:top w:w="28" w:type="dxa"/>
          <w:left w:w="28" w:type="dxa"/>
          <w:bottom w:w="28" w:type="dxa"/>
          <w:right w:w="28" w:type="dxa"/>
        </w:tblCellMar>
      </w:tblPr>
      <w:tblGrid>
        <w:gridCol w:w="3391"/>
        <w:gridCol w:w="146"/>
        <w:gridCol w:w="274"/>
        <w:gridCol w:w="878"/>
        <w:gridCol w:w="189"/>
        <w:gridCol w:w="189"/>
        <w:gridCol w:w="274"/>
        <w:gridCol w:w="878"/>
        <w:gridCol w:w="146"/>
        <w:gridCol w:w="146"/>
        <w:gridCol w:w="265"/>
        <w:gridCol w:w="849"/>
        <w:gridCol w:w="183"/>
        <w:gridCol w:w="183"/>
        <w:gridCol w:w="265"/>
        <w:gridCol w:w="849"/>
        <w:gridCol w:w="191"/>
      </w:tblGrid>
      <w:t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11,403</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19,385</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60,635</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Unfulfilled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change in deferred revenue is as follows (in thousands):</w:t>
      </w:r>
    </w:p>
    <w:p>
      <w:pPr>
        <w:pStyle w:val="TextBody"/>
        <w:bidi w:val="0"/>
        <w:jc w:val="left"/>
      </w:pPr>
      <w:r>
        <w:t> </w:t>
      </w:r>
    </w:p>
    <w:tbl>
      <w:tblPr>
        <w:tblW w:w="6795" w:type="dxa"/>
        <w:jc w:val="left"/>
        <w:tblInd w:w="0" w:type="dxa"/>
        <w:tblLayout w:type="fixed"/>
        <w:tblCellMar>
          <w:top w:w="28" w:type="dxa"/>
          <w:left w:w="28" w:type="dxa"/>
          <w:bottom w:w="28" w:type="dxa"/>
          <w:right w:w="28" w:type="dxa"/>
        </w:tblCellMar>
      </w:tblPr>
      <w:tblGrid>
        <w:gridCol w:w="5491"/>
        <w:gridCol w:w="146"/>
        <w:gridCol w:w="211"/>
        <w:gridCol w:w="736"/>
        <w:gridCol w:w="211"/>
      </w:tblGrid>
      <w:t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54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revenue from beginning deferred revenue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49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Recognition of revenue attributed to discontinued operations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deferred during the period, net of revenue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pBdr>
          <w:bottom w:val="single" w:sz="6" w:space="1" w:color="000000"/>
        </w:pBdr>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Deferred revenue related to the Collaboration Agreement with Illumina was fully recognized upon the sale of the Disposed Entities. The Company has classified this revenue within discontinued operations consistent with the treatment of all SomaScan Business-related activities. Please see Note 3, </w:t>
      </w:r>
      <w:r>
        <w:rPr>
          <w:rFonts w:ascii="Times New Roman" w:hAnsi="Times New Roman"/>
          <w:i/>
          <w:color w:val="000000"/>
          <w:sz w:val="20"/>
        </w:rPr>
        <w:t>Discontinued Operations,</w:t>
      </w:r>
      <w:r>
        <w:rPr>
          <w:rFonts w:ascii="Times New Roman" w:hAnsi="Times New Roman"/>
          <w:color w:val="000000"/>
          <w:sz w:val="20"/>
        </w:rPr>
        <w:t xml:space="preserve"> for more information.</w:t>
      </w:r>
    </w:p>
    <w:p>
      <w:pPr>
        <w:pStyle w:val="TextBody"/>
        <w:bidi w:val="0"/>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recognize revenue from unfulfilled performance obligations associated with service contracts that were partially completed as of September 30, 2026 in the following periods (in thousands):</w:t>
      </w:r>
    </w:p>
    <w:p>
      <w:pPr>
        <w:pStyle w:val="TextBody"/>
        <w:bidi w:val="0"/>
        <w:jc w:val="left"/>
      </w:pPr>
      <w:r>
        <w:t> </w:t>
      </w:r>
    </w:p>
    <w:tbl>
      <w:tblPr>
        <w:tblW w:w="4223" w:type="dxa"/>
        <w:jc w:val="left"/>
        <w:tblInd w:w="0" w:type="dxa"/>
        <w:tblLayout w:type="fixed"/>
        <w:tblCellMar>
          <w:top w:w="28" w:type="dxa"/>
          <w:left w:w="28" w:type="dxa"/>
          <w:bottom w:w="28" w:type="dxa"/>
          <w:right w:w="28" w:type="dxa"/>
        </w:tblCellMar>
      </w:tblPr>
      <w:tblGrid>
        <w:gridCol w:w="2296"/>
        <w:gridCol w:w="146"/>
        <w:gridCol w:w="378"/>
        <w:gridCol w:w="1212"/>
        <w:gridCol w:w="191"/>
      </w:tblGrid>
      <w:t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 xml:space="preserve">Expected Revenue </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pBdr>
          <w:bottom w:val="single" w:sz="6" w:space="1" w:color="000000"/>
        </w:pBdr>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revenue includes both billed amounts included in deferred revenue and unbilled amounts that are not reflected in the Company’s condensed consolidated financial statements and are subject to change if the Company’s customers decide to cancel or modify their contracts. Purchase orders for instrument service contracts can generally be canceled before the service period begins.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has unsatisfied performance obligations for service contracts with an expected term of one year or less not included in the amounts above.</w:t>
      </w:r>
    </w:p>
    <w:p>
      <w:pPr>
        <w:pStyle w:val="TextBody"/>
        <w:bidi w:val="0"/>
        <w:jc w:val="left"/>
      </w:pPr>
      <w:r>
        <w:t> </w:t>
      </w:r>
    </w:p>
    <w:p>
      <w:pPr>
        <w:pStyle w:val="TextBody"/>
        <w:bidi w:val="0"/>
        <w:spacing w:before="160" w:after="283"/>
        <w:jc w:val="left"/>
        <w:rPr>
          <w:rFonts w:ascii="Times New Roman" w:hAnsi="Times New Roman"/>
          <w:b/>
          <w:color w:val="000000"/>
          <w:sz w:val="20"/>
        </w:rPr>
      </w:pPr>
      <w:bookmarkStart w:id="12" w:name="note_5"/>
      <w:bookmarkEnd w:id="12"/>
      <w:r>
        <w:rPr>
          <w:rFonts w:ascii="Times New Roman" w:hAnsi="Times New Roman"/>
          <w:b/>
          <w:color w:val="000000"/>
          <w:sz w:val="20"/>
        </w:rPr>
        <w:t>5. Balance Sheet Details</w:t>
      </w:r>
    </w:p>
    <w:p>
      <w:pPr>
        <w:pStyle w:val="TextBody"/>
        <w:bidi w:val="0"/>
        <w:spacing w:before="120" w:after="283"/>
        <w:jc w:val="left"/>
        <w:rPr>
          <w:rFonts w:ascii="Times New Roman" w:hAnsi="Times New Roman"/>
          <w:sz w:val="20"/>
        </w:rPr>
      </w:pPr>
      <w:r>
        <w:rPr>
          <w:rFonts w:ascii="Times New Roman" w:hAnsi="Times New Roman"/>
          <w:b/>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cash equivalents and restricted cash consisted of the following (in thousands):</w:t>
      </w:r>
    </w:p>
    <w:p>
      <w:pPr>
        <w:pStyle w:val="TextBody"/>
        <w:bidi w:val="0"/>
        <w:jc w:val="left"/>
      </w:pPr>
      <w:r>
        <w:t> </w:t>
      </w:r>
    </w:p>
    <w:tbl>
      <w:tblPr>
        <w:tblW w:w="7620" w:type="dxa"/>
        <w:jc w:val="left"/>
        <w:tblInd w:w="0" w:type="dxa"/>
        <w:tblLayout w:type="fixed"/>
        <w:tblCellMar>
          <w:top w:w="28" w:type="dxa"/>
          <w:left w:w="28" w:type="dxa"/>
          <w:bottom w:w="28" w:type="dxa"/>
          <w:right w:w="28" w:type="dxa"/>
        </w:tblCellMar>
      </w:tblPr>
      <w:tblGrid>
        <w:gridCol w:w="3946"/>
        <w:gridCol w:w="146"/>
        <w:gridCol w:w="328"/>
        <w:gridCol w:w="1217"/>
        <w:gridCol w:w="146"/>
        <w:gridCol w:w="146"/>
        <w:gridCol w:w="319"/>
        <w:gridCol w:w="1181"/>
        <w:gridCol w:w="191"/>
      </w:tblGrid>
      <w:t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9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40" w:after="283"/>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Restricted cash of $2.1 million and $2.4 million is included in other non-current assets on the condensed consolidated balance sheets as of September 30, 2026 and December 31, 2025, respectively.</w:t>
      </w:r>
    </w:p>
    <w:p>
      <w:pPr>
        <w:pStyle w:val="TextBody"/>
        <w:bidi w:val="0"/>
        <w:spacing w:before="40" w:after="283"/>
        <w:jc w:val="left"/>
      </w:pPr>
      <w: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consisted of the following (in thousands):</w:t>
      </w:r>
    </w:p>
    <w:p>
      <w:pPr>
        <w:pStyle w:val="TextBody"/>
        <w:bidi w:val="0"/>
        <w:jc w:val="left"/>
      </w:pPr>
      <w:r>
        <w:t> </w:t>
      </w:r>
    </w:p>
    <w:tbl>
      <w:tblPr>
        <w:tblW w:w="7210" w:type="dxa"/>
        <w:jc w:val="left"/>
        <w:tblInd w:w="0" w:type="dxa"/>
        <w:tblLayout w:type="fixed"/>
        <w:tblCellMar>
          <w:top w:w="28" w:type="dxa"/>
          <w:left w:w="28" w:type="dxa"/>
          <w:bottom w:w="28" w:type="dxa"/>
          <w:right w:w="28" w:type="dxa"/>
        </w:tblCellMar>
      </w:tblPr>
      <w:tblGrid>
        <w:gridCol w:w="3496"/>
        <w:gridCol w:w="146"/>
        <w:gridCol w:w="367"/>
        <w:gridCol w:w="1178"/>
        <w:gridCol w:w="166"/>
        <w:gridCol w:w="146"/>
        <w:gridCol w:w="357"/>
        <w:gridCol w:w="1143"/>
        <w:gridCol w:w="211"/>
      </w:tblGrid>
      <w:t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34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40" w:after="283"/>
        <w:jc w:val="left"/>
      </w:pPr>
      <w: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consisted of the following (in thousands):</w:t>
      </w:r>
    </w:p>
    <w:p>
      <w:pPr>
        <w:pStyle w:val="TextBody"/>
        <w:bidi w:val="0"/>
        <w:jc w:val="left"/>
      </w:pPr>
      <w:r>
        <w:t> </w:t>
      </w:r>
    </w:p>
    <w:tbl>
      <w:tblPr>
        <w:tblW w:w="5130" w:type="dxa"/>
        <w:jc w:val="left"/>
        <w:tblInd w:w="0" w:type="dxa"/>
        <w:tblLayout w:type="fixed"/>
        <w:tblCellMar>
          <w:top w:w="28" w:type="dxa"/>
          <w:left w:w="28" w:type="dxa"/>
          <w:bottom w:w="28" w:type="dxa"/>
          <w:right w:w="28" w:type="dxa"/>
        </w:tblCellMar>
      </w:tblPr>
      <w:tblGrid>
        <w:gridCol w:w="1456"/>
        <w:gridCol w:w="146"/>
        <w:gridCol w:w="367"/>
        <w:gridCol w:w="1178"/>
        <w:gridCol w:w="146"/>
        <w:gridCol w:w="146"/>
        <w:gridCol w:w="357"/>
        <w:gridCol w:w="1143"/>
        <w:gridCol w:w="191"/>
      </w:tblGrid>
      <w:t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charges for excess and obsolete inventory of $1.8 million and $1.9 million for the nine months ended September 30, 2026 and 2025, respectively.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pPr>
      <w:r>
        <w:t> </w:t>
      </w:r>
    </w:p>
    <w:tbl>
      <w:tblPr>
        <w:tblW w:w="7825" w:type="dxa"/>
        <w:jc w:val="left"/>
        <w:tblInd w:w="0" w:type="dxa"/>
        <w:tblLayout w:type="fixed"/>
        <w:tblCellMar>
          <w:top w:w="28" w:type="dxa"/>
          <w:left w:w="28" w:type="dxa"/>
          <w:bottom w:w="28" w:type="dxa"/>
          <w:right w:w="28" w:type="dxa"/>
        </w:tblCellMar>
      </w:tblPr>
      <w:tblGrid>
        <w:gridCol w:w="4111"/>
        <w:gridCol w:w="146"/>
        <w:gridCol w:w="344"/>
        <w:gridCol w:w="1201"/>
        <w:gridCol w:w="166"/>
        <w:gridCol w:w="146"/>
        <w:gridCol w:w="334"/>
        <w:gridCol w:w="1166"/>
        <w:gridCol w:w="211"/>
      </w:tblGrid>
      <w:t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and amortization expense related to property and equipment was $3.9 million and $5.6 million for the nine months ended September 30, 2026 and 2025, respectively.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which are included in current liabilities on the condensed consolidated balance sheets, consisted of the following (in thousands):</w:t>
      </w:r>
    </w:p>
    <w:p>
      <w:pPr>
        <w:pStyle w:val="TextBody"/>
        <w:bidi w:val="0"/>
        <w:jc w:val="left"/>
      </w:pPr>
      <w:r>
        <w:t> </w:t>
      </w:r>
    </w:p>
    <w:tbl>
      <w:tblPr>
        <w:tblW w:w="7290" w:type="dxa"/>
        <w:jc w:val="left"/>
        <w:tblInd w:w="0" w:type="dxa"/>
        <w:tblLayout w:type="fixed"/>
        <w:tblCellMar>
          <w:top w:w="28" w:type="dxa"/>
          <w:left w:w="28" w:type="dxa"/>
          <w:bottom w:w="28" w:type="dxa"/>
          <w:right w:w="28" w:type="dxa"/>
        </w:tblCellMar>
      </w:tblPr>
      <w:tblGrid>
        <w:gridCol w:w="3616"/>
        <w:gridCol w:w="146"/>
        <w:gridCol w:w="367"/>
        <w:gridCol w:w="1178"/>
        <w:gridCol w:w="146"/>
        <w:gridCol w:w="146"/>
        <w:gridCol w:w="357"/>
        <w:gridCol w:w="1143"/>
        <w:gridCol w:w="191"/>
      </w:tblGrid>
      <w:t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Uninvoiced receipts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spacing w:before="360" w:after="283"/>
        <w:jc w:val="left"/>
        <w:rPr>
          <w:rFonts w:ascii="Times New Roman" w:hAnsi="Times New Roman"/>
          <w:sz w:val="20"/>
        </w:rPr>
      </w:pPr>
      <w:bookmarkStart w:id="13" w:name="note_8"/>
      <w:bookmarkEnd w:id="13"/>
      <w:r>
        <w:rPr>
          <w:rFonts w:ascii="Times New Roman" w:hAnsi="Times New Roman"/>
          <w:b/>
          <w:color w:val="000000"/>
          <w:sz w:val="20"/>
        </w:rPr>
        <w:t>6. Commitments and Contingencies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South San Francisco Office Lease</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In connection with the restructuring activities described in Note 13, </w:t>
      </w:r>
      <w:r>
        <w:rPr>
          <w:rFonts w:ascii="Times New Roman" w:hAnsi="Times New Roman"/>
          <w:i/>
          <w:color w:val="000000"/>
          <w:sz w:val="20"/>
        </w:rPr>
        <w:t>Restructuring and Related Charges</w:t>
      </w:r>
      <w:r>
        <w:rPr>
          <w:rFonts w:ascii="Times New Roman" w:hAnsi="Times New Roman"/>
          <w:color w:val="000000"/>
          <w:sz w:val="20"/>
        </w:rPr>
        <w:t>, the Company vacated its South San Francisco office on December 31, 2025. The Company remains the lessee and is primarily obligated under the lease, which expires in April 2030. Subsequent to September 30, 2026, the Company entered into a sublease of the remaining unoccupied floor, which is expected to provide approximately $2.1 million of fixed sublease payments through April 2030. As a result, the Company now subleases the entirety of the premises. The amounts payable to the Company under the subleases are lower than the Company’s obligations under the lease, and the Company expects to continue to incur net cash outflows related to the premises through the end of the lease term.</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operating lease right-of-use asset associated with the South San Francisco lease was $18.6 million as of September 30, 2026. The Company evaluated this asset for recoverability as of September 30, 2026 and concluded that no impairment was required. The recoverability of this asset currently depends in part on the cash flows of the Company’s mass cytometry and microfluidics businesses. Upon the sale of these businesses, it is reasonably possible that the Company will recognize an impairment of the right-of-use asset, which could be material. Any such impairment would not reduce the Company’s obligations under the lease.</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Other Commitments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has entered into several license and patent agreements under which it pays annual license maintenance fees, non-refundable license issuance fees, and royalties as a percentage of net sales for the sale or sublicense of products using the licensed technology. Future payments related to these license agreements are indeterminable. The Company does not expect the license payments to be material in any particular year.</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Indemnification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the ordinary course of business, the Company has entered into agreements with certain business partners, customers, and suppliers that contain indemnification provisions. Pursuant to these agreements, the Company may indemnify, hold harmless, and reimburse the indemnified parties for losses suffered in connection with any patent or other intellectual property infringement claim by any third party with respect to the Company's products. The term of the indemnification provisions is generally perpetual, and the maximum potential amount of future payments is typically not limited to a specific amount.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has also entered into indemnification agreements with its officers, directors, and certain other employees, providing for indemnification for related expenses including attorneys' fees, judgments, fines, and settlement amounts incurred in any action or proceeding arising by reason of their status or service.</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SomaLogic Stockholder Litigation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2023, a complaint was filed in the Delaware Court of Chancery (the “Court”) against the Company, Casdin Capital, LLC, SomaLogic, and the directors of SomaLogic alleging Breach of Fiduciary Duty and Aiding and Abetting Breach of Fiduciary Duty. This complaint also sought an injunction postponing the business combination between SomaLogic and the Company, which was denied by the Court in January 2024. An amended complaint was filed in June 2024, containing primarily the same allegations, while removing the Company, SomaLogic and some of the SomaLogic director defendants as parties to the litigation. The remaining defendants filed motions to dismiss in July 2024. In August 2025, the Court issued a bench decision denying the defendants’ motions to dismiss. The defendants filed answers and affirmative defenses to the amended complaint in October 2025. The Court scheduled a three-day bench trial commencing in June 2027.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is no longer a party to this litigation, and the Company does not expect this matter to have a material effect on its financial statements.</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Palamedrix Litigation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March 2024, counsel for Shareholder Representative Services LLC (“SRS”), acting as the representative of the securityholders of Palamedrix, Inc. (“Palamedrix”), sent SomaLogic a letter alleging breaches of the Palamedrix Merger Agreement, dated July 25, 2022, relating to milestone payments. SomaLogic disputed these allegations and issued SRS with a Milestone Abandonment Notice. In July 2025, SRS filed suit against SomaLogic in the Court (the “SRS Chancery Action”), asserting that SomaLogic breached the Palamedrix Merger Agreement, pursuant to which Palamedrix was merged into SomaLogic, by failing to continue investing in the development of certain Palamedrix technology. SRS claims that, had the technology been successfully developed and commercialized, SomaLogic would have been required to pay up to $17.5 million in three sales-based milestone payments. In August 2025, SomaLogic moved to compel arbitration and/or dismiss the SRS Chancery Action in favor of the dispute resolution procedure for milestone disputes specified in the Palamedrix Merger Agreement. The Court denied the motion, and the matter continued in the Court.</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In July 2026, the parties reached an agreement fully resolving the matter. See Note 3, </w:t>
      </w:r>
      <w:r>
        <w:rPr>
          <w:rFonts w:ascii="Times New Roman" w:hAnsi="Times New Roman"/>
          <w:i/>
          <w:color w:val="000000"/>
          <w:sz w:val="20"/>
        </w:rPr>
        <w:t>Discontinued Operations</w:t>
      </w:r>
      <w:r>
        <w:rPr>
          <w:rFonts w:ascii="Times New Roman" w:hAnsi="Times New Roman"/>
          <w:color w:val="000000"/>
          <w:sz w:val="20"/>
        </w:rPr>
        <w:t>.</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General</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Additional lawsuits against the Company and certain of its officers or directors may be filed in the future. If additional similar complaints are filed, absent new or different allegations that are material, the Company will not necessarily announce such additional filings.</w:t>
      </w:r>
    </w:p>
    <w:p>
      <w:pPr>
        <w:pStyle w:val="TextBody"/>
        <w:bidi w:val="0"/>
        <w:jc w:val="left"/>
        <w:rPr>
          <w:rFonts w:ascii="Times New Roman" w:hAnsi="Times New Roman"/>
          <w:color w:val="000000"/>
          <w:sz w:val="20"/>
        </w:rPr>
      </w:pPr>
      <w:r>
        <w:rPr>
          <w:rFonts w:ascii="Times New Roman" w:hAnsi="Times New Roman"/>
          <w:color w:val="000000"/>
          <w:sz w:val="20"/>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the Company’s business, operating results, financial condition, or cash flows. Regardless of the outcome, litigation can have an adverse impact on the Company because of defense and settlement costs, diversion of management resources, and other factors.</w:t>
      </w:r>
    </w:p>
    <w:p>
      <w:pPr>
        <w:pStyle w:val="TextBody"/>
        <w:bidi w:val="0"/>
        <w:jc w:val="left"/>
      </w:pPr>
      <w:r>
        <w:t>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Fair Value of Financial Instruments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assets and liabilities measured at fair value on a recurring basis within the fair value hierarchy as of September 30, 2026 (in thousands):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057"/>
        <w:gridCol w:w="146"/>
        <w:gridCol w:w="211"/>
        <w:gridCol w:w="781"/>
        <w:gridCol w:w="146"/>
        <w:gridCol w:w="146"/>
        <w:gridCol w:w="255"/>
        <w:gridCol w:w="946"/>
        <w:gridCol w:w="164"/>
        <w:gridCol w:w="164"/>
        <w:gridCol w:w="261"/>
        <w:gridCol w:w="968"/>
        <w:gridCol w:w="164"/>
        <w:gridCol w:w="164"/>
        <w:gridCol w:w="332"/>
        <w:gridCol w:w="903"/>
        <w:gridCol w:w="397"/>
      </w:tblGrid>
      <w:tr>
        <w:tc>
          <w:tcPr>
            <w:tcW w:w="40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c>
          <w:tcPr>
            <w:tcW w:w="405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5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 Assets</w:t>
              <w:br/>
              <w:t>(Level 1)</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 (Level 2)</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3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0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249,256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191,265</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93,240</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0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251,615</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284,505</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20" w:after="283"/>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assets and liabilities measured at fair value on a recurring basis within the fair value hierarchy as of December 31, 2025 (in thousands):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033"/>
        <w:gridCol w:w="146"/>
        <w:gridCol w:w="211"/>
        <w:gridCol w:w="781"/>
        <w:gridCol w:w="146"/>
        <w:gridCol w:w="146"/>
        <w:gridCol w:w="283"/>
        <w:gridCol w:w="908"/>
        <w:gridCol w:w="174"/>
        <w:gridCol w:w="174"/>
        <w:gridCol w:w="293"/>
        <w:gridCol w:w="930"/>
        <w:gridCol w:w="174"/>
        <w:gridCol w:w="174"/>
        <w:gridCol w:w="332"/>
        <w:gridCol w:w="902"/>
        <w:gridCol w:w="398"/>
      </w:tblGrid>
      <w:tr>
        <w:tc>
          <w:tcPr>
            <w:tcW w:w="4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c>
          <w:tcPr>
            <w:tcW w:w="403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3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3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 Assets</w:t>
              <w:br/>
              <w:t>(Level 1)</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 (Level 2)</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9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20,701</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4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83,870</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81,158</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were no transfers within the hierarchy and no changes in the valuation techniques used during the nine months ended September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available-for-sale securities (in thousands):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828"/>
        <w:gridCol w:w="146"/>
        <w:gridCol w:w="1126"/>
        <w:gridCol w:w="146"/>
        <w:gridCol w:w="237"/>
        <w:gridCol w:w="878"/>
        <w:gridCol w:w="146"/>
        <w:gridCol w:w="146"/>
        <w:gridCol w:w="420"/>
        <w:gridCol w:w="692"/>
        <w:gridCol w:w="146"/>
        <w:gridCol w:w="146"/>
        <w:gridCol w:w="282"/>
        <w:gridCol w:w="845"/>
        <w:gridCol w:w="166"/>
        <w:gridCol w:w="146"/>
        <w:gridCol w:w="279"/>
        <w:gridCol w:w="1034"/>
        <w:gridCol w:w="396"/>
      </w:tblGrid>
      <w:tr>
        <w:tc>
          <w:tcPr>
            <w:tcW w:w="2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c>
          <w:tcPr>
            <w:tcW w:w="282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5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2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13"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249,256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191,265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93,240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544,665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541,120</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pPr>
      <w:r/>
    </w:p>
    <w:p>
      <w:pPr>
        <w:pStyle w:val="TextBody"/>
        <w:bidi w:val="0"/>
        <w:spacing w:before="180" w:after="283"/>
        <w:jc w:val="left"/>
      </w:pPr>
      <w:r>
        <w:t> </w:t>
      </w:r>
    </w:p>
    <w:tbl>
      <w:tblPr>
        <w:tblW w:w="10205" w:type="dxa"/>
        <w:jc w:val="left"/>
        <w:tblInd w:w="0" w:type="dxa"/>
        <w:tblLayout w:type="fixed"/>
        <w:tblCellMar>
          <w:top w:w="28" w:type="dxa"/>
          <w:left w:w="28" w:type="dxa"/>
          <w:bottom w:w="28" w:type="dxa"/>
          <w:right w:w="28" w:type="dxa"/>
        </w:tblCellMar>
      </w:tblPr>
      <w:tblGrid>
        <w:gridCol w:w="2749"/>
        <w:gridCol w:w="146"/>
        <w:gridCol w:w="1258"/>
        <w:gridCol w:w="146"/>
        <w:gridCol w:w="235"/>
        <w:gridCol w:w="872"/>
        <w:gridCol w:w="146"/>
        <w:gridCol w:w="146"/>
        <w:gridCol w:w="366"/>
        <w:gridCol w:w="733"/>
        <w:gridCol w:w="146"/>
        <w:gridCol w:w="146"/>
        <w:gridCol w:w="339"/>
        <w:gridCol w:w="774"/>
        <w:gridCol w:w="166"/>
        <w:gridCol w:w="146"/>
        <w:gridCol w:w="275"/>
        <w:gridCol w:w="1019"/>
        <w:gridCol w:w="397"/>
      </w:tblGrid>
      <w:tr>
        <w:tc>
          <w:tcPr>
            <w:tcW w:w="2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c>
          <w:tcPr>
            <w:tcW w:w="27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9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2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60,457</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2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20,701</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2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170,028</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2026, none of the available-for-sale securities held have been in an unrealized loss position for greater than 12 months. The Company does not intend to sell its investments in U.S. treasury securities, and it is not likely that the Company will be required to sell these investments before recovery of their amortized cost basis. No allowance for credit losses was recorded.</w:t>
      </w:r>
    </w:p>
    <w:p>
      <w:pPr>
        <w:pStyle w:val="TextBody"/>
        <w:bidi w:val="0"/>
        <w:jc w:val="left"/>
      </w:pPr>
      <w: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 Stockholders’ Equity (Deficit)</w:t>
      </w:r>
    </w:p>
    <w:p>
      <w:pPr>
        <w:pStyle w:val="TextBody"/>
        <w:bidi w:val="0"/>
        <w:spacing w:before="160" w:after="283"/>
        <w:jc w:val="left"/>
        <w:rPr>
          <w:rFonts w:ascii="Times New Roman" w:hAnsi="Times New Roman"/>
          <w:sz w:val="20"/>
        </w:rPr>
      </w:pPr>
      <w:r>
        <w:rPr>
          <w:rFonts w:ascii="Times New Roman" w:hAnsi="Times New Roman"/>
          <w:b/>
          <w:i/>
          <w:color w:val="000000"/>
          <w:sz w:val="20"/>
        </w:rPr>
        <w:t>2024 Stock Repurchase Program</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February 6, 2024, the Board of Directors authorized the repurchase of up to $50.0 million of shares of the Company’s common stock through March 1, 2026. The program expired on March 1, 2026, and no shares were repurchased during the nine months ended September 30, 2026. Over the life of the program, the Company repurchased 15,448,533 shares for an aggregate of $40.5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Shares Reserved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2026, the Company had reserved shares of common stock for future issuance under equity compensation plans as follows (in thousands):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381"/>
        <w:gridCol w:w="146"/>
        <w:gridCol w:w="354"/>
        <w:gridCol w:w="1643"/>
        <w:gridCol w:w="146"/>
        <w:gridCol w:w="146"/>
        <w:gridCol w:w="396"/>
        <w:gridCol w:w="1841"/>
        <w:gridCol w:w="146"/>
        <w:gridCol w:w="146"/>
        <w:gridCol w:w="437"/>
        <w:gridCol w:w="2030"/>
        <w:gridCol w:w="393"/>
      </w:tblGrid>
      <w:t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c>
          <w:tcPr>
            <w:tcW w:w="23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Exercise Of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Release Of Restricted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Remaining Securities Available For Future Issuance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 Inducement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2011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Inducement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SomaLogic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 Stock-based Compensation</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 has various stock-based compensation plans, which are more fully described in the Annual Report. On June 17, 2026, the Company's stockholders approved the 2026 Equity Incentive Plan (the "2026 Plan"), which permits the grant of incentive and nonstatutory stock options, restricted stock, restricted stock units, stock appreciation rights, performance units and performance shares to the Company's eligible employees, directors and non-employee consultants. The maximum number of shares authorized for issuance under the 2026 Plan is 24,835,928 shares, plus up to 34,476,543 additional shares subject to awards outstanding under the Company's Amended and Restated 2011 Equity Incentive Plan that are forfeited, expire or are cancelled on or after June 17, 2026. Stock options and stock appreciation rights are granted with an exercise price of no less than the fair market value of the Company's common stock on the date of grant and have a maximum term of ten years. No awards had been granted under the 2026 Plan as of September 30, 2026.</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Company's stockholders also approved an amendment to the Company's Amended and Restated 2017 Employee Stock Purchase Plan to increase the number of shares of common stock available for issuance thereunder by 1,200,000 shares.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Stock-based compensation expense is reported in the Company's condensed consolidated statements of operations as follows (in thousands):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pPr>
      <w:r/>
    </w:p>
    <w:p>
      <w:pPr>
        <w:pStyle w:val="TextBody"/>
        <w:bidi w:val="0"/>
        <w:spacing w:before="180" w:after="283"/>
        <w:jc w:val="left"/>
      </w:pPr>
      <w:r>
        <w:t> </w:t>
      </w:r>
    </w:p>
    <w:tbl>
      <w:tblPr>
        <w:tblW w:w="9768" w:type="dxa"/>
        <w:jc w:val="left"/>
        <w:tblInd w:w="0" w:type="dxa"/>
        <w:tblLayout w:type="fixed"/>
        <w:tblCellMar>
          <w:top w:w="28" w:type="dxa"/>
          <w:left w:w="28" w:type="dxa"/>
          <w:bottom w:w="28" w:type="dxa"/>
          <w:right w:w="28" w:type="dxa"/>
        </w:tblCellMar>
      </w:tblPr>
      <w:tblGrid>
        <w:gridCol w:w="3661"/>
        <w:gridCol w:w="146"/>
        <w:gridCol w:w="305"/>
        <w:gridCol w:w="826"/>
        <w:gridCol w:w="211"/>
        <w:gridCol w:w="211"/>
        <w:gridCol w:w="305"/>
        <w:gridCol w:w="826"/>
        <w:gridCol w:w="146"/>
        <w:gridCol w:w="146"/>
        <w:gridCol w:w="265"/>
        <w:gridCol w:w="849"/>
        <w:gridCol w:w="183"/>
        <w:gridCol w:w="183"/>
        <w:gridCol w:w="265"/>
        <w:gridCol w:w="849"/>
        <w:gridCol w:w="391"/>
      </w:tblGrid>
      <w:t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6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12,774</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Stock-based compensation will fluctuate based on the grant-date fair value of awards, the number of awards, the requisite service period of the awards, employee forfeitures and the timing of the awards. Expense related to each stock option and restricted stock unit (“RSU”) award is recognized on a straight-line basis over the requisite service period of the entire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award activity for stock options and RSUs for the nine months ended September 30, 2026 (in thousands):</w:t>
      </w:r>
    </w:p>
    <w:p>
      <w:pPr>
        <w:pStyle w:val="TextBody"/>
        <w:bidi w:val="0"/>
        <w:jc w:val="left"/>
      </w:pPr>
      <w:r>
        <w:t> </w:t>
      </w:r>
    </w:p>
    <w:tbl>
      <w:tblPr>
        <w:tblW w:w="5602" w:type="dxa"/>
        <w:jc w:val="left"/>
        <w:tblInd w:w="0" w:type="dxa"/>
        <w:tblLayout w:type="fixed"/>
        <w:tblCellMar>
          <w:top w:w="28" w:type="dxa"/>
          <w:left w:w="28" w:type="dxa"/>
          <w:bottom w:w="28" w:type="dxa"/>
          <w:right w:w="28" w:type="dxa"/>
        </w:tblCellMar>
      </w:tblPr>
      <w:tblGrid>
        <w:gridCol w:w="2986"/>
        <w:gridCol w:w="146"/>
        <w:gridCol w:w="199"/>
        <w:gridCol w:w="926"/>
        <w:gridCol w:w="166"/>
        <w:gridCol w:w="146"/>
        <w:gridCol w:w="146"/>
        <w:gridCol w:w="676"/>
        <w:gridCol w:w="211"/>
      </w:tblGrid>
      <w:t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or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9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pPr>
            <w: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15,494</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Net Income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potentially dilutive common shares were excluded from the computations of diluted net income (loss) per share for the periods presented because including them would have been anti-dilutive (in thousands):</w:t>
      </w:r>
    </w:p>
    <w:p>
      <w:pPr>
        <w:pStyle w:val="TextBody"/>
        <w:bidi w:val="0"/>
        <w:jc w:val="left"/>
      </w:pPr>
      <w:r>
        <w:t> </w:t>
      </w:r>
    </w:p>
    <w:tbl>
      <w:tblPr>
        <w:tblW w:w="7940" w:type="dxa"/>
        <w:jc w:val="left"/>
        <w:tblInd w:w="0" w:type="dxa"/>
        <w:tblLayout w:type="fixed"/>
        <w:tblCellMar>
          <w:top w:w="28" w:type="dxa"/>
          <w:left w:w="28" w:type="dxa"/>
          <w:bottom w:w="28" w:type="dxa"/>
          <w:right w:w="28" w:type="dxa"/>
        </w:tblCellMar>
      </w:tblPr>
      <w:tblGrid>
        <w:gridCol w:w="5011"/>
        <w:gridCol w:w="146"/>
        <w:gridCol w:w="195"/>
        <w:gridCol w:w="906"/>
        <w:gridCol w:w="195"/>
        <w:gridCol w:w="195"/>
        <w:gridCol w:w="195"/>
        <w:gridCol w:w="906"/>
        <w:gridCol w:w="191"/>
      </w:tblGrid>
      <w:t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50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01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PSUs, stock options, restricted shares and ESPP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48,539</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provision for income taxes is based on an estimated annual effective income tax rate. The quarterly provision for income taxes also includes discrete items, such as changes in valuation allowances or adjustments upon finalization of tax returns as well as infrequently occurring items, if any, such as the effects of changes in tax laws or rates, in the interim period in which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income tax expense of less than $0.1 million and an income tax benefit of $1.2 million in the three months ended September 30, 2026 and 2025, respectively. The Company recorded income tax expense of $0.1 million and an income tax benefit of $1.9 million during the nine months ended September 30, 2026 and 2025, respectively. The change from an income tax benefit in the prior-year periods to income tax expense in 2026 primarily reflects higher minimum tax expense for the various states in which the Company operates, and the effect of the Company's foreign operations, which reported higher pre-tax income in the first nine months of 2026 compared to the same period in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effective tax rates for both periods differ from the 21% U.S. federal statutory tax rate primarily due to valuation allowances recorded against deferred tax assets on domestic losses and the tax rate differences between the United States and foreign countries. The Company maintains a valuation allowance against its U.S. deferred tax assets as the Company believes it is more likely than not the deferred tax assets will not be realized.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2026, the Company has one operating and reportable segment. The CODM utilizes the Company's annual operating plan, primarily consisting of an annual financial forecast, as a key input to resource allocation. The CODM makes decisions on resource allocation and assesses performance of the business using net income/loss from continuing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expenses within net loss that are regularly provided to the CODM include cost of revenue and operating expenses. Operating expenses consist of four main subcategories: research and development; selling, general and administrative; transaction and integration; and restructuring and related. All significant expense categories and subcategories are reported on the condensed consolidated statements of operations. Other segment items within net loss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which is separately presented on the condensed consolidated statements of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contingent consideration, which is separately presented on the condensed consolidated statements of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which is separately presented on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4, </w:t>
      </w:r>
      <w:r>
        <w:rPr>
          <w:rFonts w:ascii="Times New Roman" w:hAnsi="Times New Roman"/>
          <w:i/>
          <w:color w:val="000000"/>
          <w:sz w:val="20"/>
        </w:rPr>
        <w:t>Revenue and Geographic Area</w:t>
      </w:r>
      <w:r>
        <w:rPr>
          <w:rFonts w:ascii="Times New Roman" w:hAnsi="Times New Roman"/>
          <w:color w:val="000000"/>
          <w:sz w:val="20"/>
        </w:rPr>
        <w:t>, for the Company's revenue by geography.</w:t>
      </w:r>
    </w:p>
    <w:p>
      <w:pPr>
        <w:pStyle w:val="TextBody"/>
        <w:bidi w:val="0"/>
        <w:jc w:val="center"/>
      </w:pPr>
      <w:r>
        <w:t>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13. Restructuring and Related Charges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restructuring and other related liabilities for the nine months ended September 30, 2026 (in thousands):</w:t>
      </w:r>
    </w:p>
    <w:p>
      <w:pPr>
        <w:pStyle w:val="TextBody"/>
        <w:bidi w:val="0"/>
        <w:jc w:val="left"/>
      </w:pPr>
      <w:r>
        <w:t> </w:t>
      </w:r>
    </w:p>
    <w:tbl>
      <w:tblPr>
        <w:tblW w:w="7452" w:type="dxa"/>
        <w:jc w:val="left"/>
        <w:tblInd w:w="0" w:type="dxa"/>
        <w:tblLayout w:type="fixed"/>
        <w:tblCellMar>
          <w:top w:w="28" w:type="dxa"/>
          <w:left w:w="28" w:type="dxa"/>
          <w:bottom w:w="28" w:type="dxa"/>
          <w:right w:w="28" w:type="dxa"/>
        </w:tblCellMar>
      </w:tblPr>
      <w:tblGrid>
        <w:gridCol w:w="2836"/>
        <w:gridCol w:w="146"/>
        <w:gridCol w:w="211"/>
        <w:gridCol w:w="631"/>
        <w:gridCol w:w="166"/>
        <w:gridCol w:w="146"/>
        <w:gridCol w:w="211"/>
        <w:gridCol w:w="631"/>
        <w:gridCol w:w="166"/>
        <w:gridCol w:w="146"/>
        <w:gridCol w:w="211"/>
        <w:gridCol w:w="481"/>
        <w:gridCol w:w="166"/>
        <w:gridCol w:w="146"/>
        <w:gridCol w:w="211"/>
        <w:gridCol w:w="736"/>
        <w:gridCol w:w="211"/>
      </w:tblGrid>
      <w:t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28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Severance</w:t>
              <w:br/>
              <w:t>and other</w:t>
              <w:br/>
              <w:t>employee-</w:t>
              <w:br/>
              <w:t>related</w:t>
              <w:br/>
              <w:t>benefits</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Facility </w:t>
              <w:b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Other</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pBdr>
          <w:bottom w:val="single" w:sz="6" w:space="1" w:color="000000"/>
        </w:pBdr>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Restructuring liabilities are recorded in accrued liabilities on the condensed consolidated balance sheets. Substantially all severance and other employee-related benefits related to ongoing benefit arrangements and were recorded pursuant to ASC 712, </w:t>
      </w:r>
      <w:r>
        <w:rPr>
          <w:rFonts w:ascii="Times New Roman" w:hAnsi="Times New Roman"/>
          <w:i/>
          <w:color w:val="000000"/>
          <w:sz w:val="20"/>
        </w:rPr>
        <w:t>Termination and Other Postemployment Benefits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restructuring liabilities are comprised mainly of sublease commissions and are recorded in other accrued liabilities on the condensed consolidated balance sheets.</w:t>
      </w:r>
    </w:p>
    <w:p>
      <w:pPr>
        <w:pStyle w:val="TextBody"/>
        <w:bidi w:val="0"/>
        <w:jc w:val="left"/>
      </w:pPr>
      <w: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 Related Parties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Convertible Loan Notes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December 2025, the Company invested $5.0 million in unsecured convertible loan notes issued by a privately-held life sciences company. The notes bear interest at 8% per annum, mature in December 2027, and are subordinated to the issuer's senior indebtedness. The notes automatically convert into equity upon a qualified financing of at least $20 million or an initial public offering with gross proceeds of at least $100 million, in each case at a 20% discount to the applicable offering price. At maturity, any outstanding principal and accrued interest automatically convert into preferred shares at a conversion price based on a valuation cap of eight times the issuer's trailing 12-month revenue. The Company invested in the notes alongside a fund associated with Eli Casdin, a member of the Company’s board of directors and the Founder and Chief Investment Officer of Casdin Capital, LLC, a major stockholder of the Company.</w:t>
      </w:r>
    </w:p>
    <w:p>
      <w:pPr>
        <w:pStyle w:val="TextBody"/>
        <w:bidi w:val="0"/>
        <w:jc w:val="left"/>
      </w:pPr>
      <w:r>
        <w:t> </w:t>
      </w:r>
    </w:p>
    <w:p>
      <w:pPr>
        <w:pStyle w:val="TextBody"/>
        <w:bidi w:val="0"/>
        <w:jc w:val="left"/>
        <w:rPr>
          <w:rFonts w:ascii="Times New Roman" w:hAnsi="Times New Roman"/>
          <w:i/>
          <w:color w:val="000000"/>
          <w:sz w:val="20"/>
        </w:rPr>
      </w:pPr>
      <w:r>
        <w:rPr>
          <w:rFonts w:ascii="Times New Roman" w:hAnsi="Times New Roman"/>
          <w:i/>
          <w:color w:val="000000"/>
          <w:sz w:val="20"/>
        </w:rPr>
        <w:t>Merger Agreement with Treeline</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As described in Note 2, </w:t>
      </w:r>
      <w:r>
        <w:rPr>
          <w:rFonts w:ascii="Times New Roman" w:hAnsi="Times New Roman"/>
          <w:i/>
          <w:color w:val="000000"/>
          <w:sz w:val="20"/>
        </w:rPr>
        <w:t>Merger Agreement</w:t>
      </w:r>
      <w:r>
        <w:rPr>
          <w:rFonts w:ascii="Times New Roman" w:hAnsi="Times New Roman"/>
          <w:color w:val="000000"/>
          <w:sz w:val="20"/>
        </w:rPr>
        <w:t xml:space="preserve">, on June 6, 2026, the Company entered into the Merger Agreement with Treeline. Entities affiliated with Casdin Capital, LLC beneficially own approximately 23% of the Company's outstanding common stock, and Eli Casdin, the Founder and Chief Investment Officer of Casdin Capital, is a member of the Company's board of directors. Entities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affiliated with Casdin Capital are also equity investors in Treeline, owning approximately 5% of Treeline's outstanding capital stock, and would receive shares of the Company's common stock in the Merger in exchange for their Treeline capital stock on the same terms as other Treeline stockholders.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Refer to Note 2, </w:t>
      </w:r>
      <w:r>
        <w:rPr>
          <w:rFonts w:ascii="Times New Roman" w:hAnsi="Times New Roman"/>
          <w:i/>
          <w:color w:val="000000"/>
          <w:sz w:val="20"/>
        </w:rPr>
        <w:t>Merger Agreement</w:t>
      </w:r>
      <w:r>
        <w:rPr>
          <w:rFonts w:ascii="Times New Roman" w:hAnsi="Times New Roman"/>
          <w:color w:val="000000"/>
          <w:sz w:val="20"/>
        </w:rPr>
        <w:t xml:space="preserve">, for information regarding the sale of the Company’s microfluidics business, which was completed on November 3, 2026, and the effectiveness of the registration statement on Form S-4 on October 21, 2026, and to Note 6, </w:t>
      </w:r>
      <w:r>
        <w:rPr>
          <w:rFonts w:ascii="Times New Roman" w:hAnsi="Times New Roman"/>
          <w:i/>
          <w:color w:val="000000"/>
          <w:sz w:val="20"/>
        </w:rPr>
        <w:t>Commitments and Contingencies</w:t>
      </w:r>
      <w:r>
        <w:rPr>
          <w:rFonts w:ascii="Times New Roman" w:hAnsi="Times New Roman"/>
          <w:color w:val="000000"/>
          <w:sz w:val="20"/>
        </w:rPr>
        <w:t>, for information regarding the sublease of the remaining floor of the Company’s South San Francisco office entered into subsequent to September 30,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rPr>
          <w:rFonts w:ascii="Times New Roman" w:hAnsi="Times New Roman"/>
          <w:b/>
          <w:color w:val="000000"/>
          <w:sz w:val="20"/>
        </w:rPr>
      </w:pPr>
      <w:bookmarkStart w:id="14" w:name="item_2_mda"/>
      <w:bookmarkEnd w:id="14"/>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the unaudited financial information and the notes thereto included elsewhere in this Quarterly Report on Form 10-Q, and the audited financial information and the notes thereto included in our Annual Report.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our Annual Report,</w:t>
      </w:r>
      <w:r>
        <w:rPr>
          <w:rFonts w:ascii="Times New Roman" w:hAnsi="Times New Roman"/>
          <w:color w:val="000000"/>
          <w:sz w:val="20"/>
        </w:rPr>
        <w:t xml:space="preserve"> </w:t>
      </w:r>
      <w:r>
        <w:rPr>
          <w:rFonts w:ascii="Times New Roman" w:hAnsi="Times New Roman"/>
          <w:i/>
          <w:color w:val="000000"/>
          <w:sz w:val="20"/>
        </w:rPr>
        <w:t>our Quarterly Report on Form 10-Q for the quarter ended June 30, 2026 filed with the SEC on August 5, 2026, and this Quarterly Report on Form 10-Q, as updated and/or supplemented in subsequent filings with the SEC, our actual results could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pBdr>
          <w:bottom w:val="single" w:sz="6" w:space="1" w:color="000000"/>
        </w:pBdr>
        <w:bidi w:val="0"/>
        <w:jc w:val="center"/>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requires otherwise, references in this Quarterly Report on Form 10-Q to “Standard BioTools,” the “Company,” “we,” “us,” and “our” refer to Standard BioTools Inc. and its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Standard BioTools Inc., we are committed to setting the new standard in the life science tools industry through strategic consolidation, best-in-class operations and a world-class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single-cell and spatial proteomics, as well as genomic analyses, enabling researchers to explore disease mechanisms with unprecedented depth and precision. By integrating our advanced platforms – CyTOF, Hyperion, and Biomark – we empower scientists to generate high-content data across therapeutic areas, from immuno-oncology to neurology and infectious diseases. Each system is engineered to extract meaningful molecular signatures, providing researchers with the tools they need to decode intricate biological networks. Together, these technologies accelerate discovery, offering a comprehensive approach to understanding the complexities of health and disease.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Merger Agreement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June 6, 2026, we entered into an Agreement and Plan of Merger and Reorganization (the "Merger Agreement") with Treeline Biosciences, Inc. ("Treeline") and Siri Merger Sub, Inc., our wholly owned subsidiary ("Merger Sub"), pursuant to which we and Treeline will combine in an all-stock merger. Pursuant to the Merger Agreement, Merger Sub will merge with and into Treeline, with Treeline surviving as our wholly owned subsidiary (the "Merger") and, together with the other transactions contemplated by the Merger Agreement, the “Transactions”). At the effective time of the Merger (the “Effective Time”), we will be renamed Treeline Biosciences, Inc. and will effect a reverse stock split of our outstanding common stock, if not effected prior to the Effective Time as permitted by the Merger Agreement.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At the Effective Time, each outstanding share of Treeline capital stock will be converted into the right to receive shares of our common stock based on an exchange ratio calculated in accordance with the Merger Agreement (the “Exchange Ratio”). The Exchange Ratio is based on the relative capitalization of Treeline and Standard BioTools and assumes an equity value for Treeline of $2.5 billion and an equity value for Standard BioTools of $460 million. Following the closing (the “Closing”), our existing stockholders are expected to hold approximately 16% of the combined company on a fully diluted basis, and former Treeline stockholders are expected to hold approximately 84%, subject to adjustment in accordance with the Merger Agreement.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the Effective Time, we expect to declare a dividend to our stockholders of one contingent value right (“CVR”) for each outstanding share of our common stock. Each CVR will entitle the holder to receive, for each 12-month payment period during the five-year term of the CVR agreement (the “CVR Agreement”), a pro rata portion of the net proceeds received by the combined company from specified sources, less certain permitted deductions, including proceeds from the sale, disposition, or other monetization of our mass cytometry and microfluidics businesses (the “Legacy Businesses”); proceeds from convertible notes or other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investments held by us as of the closing date (the “Closing Date”); contingent payments due to us under contracts in effect as of the Closing Date; and certain other amounts specified in the CVR Agreement. Payments in respect of the CVRs will be settled in shares of the combined company's common stock, subject to a maximum of 76.0 million shares issuable under the CVR Agreement.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Under the Merger Agreement, we must use commercially reasonable efforts to effect the sale, license, transfer, disposition, divestiture or other monetization of our Legacy Businesses. If we had not entered into a definitive agreement for the disposition of any portion of these businesses on or before the date the registration statement on Form S-4 filed in connection with the Merger was declared effective, we would have been required to commence mutually agreed wind-down activities with respect to that portion of the business.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Completion of the Merger is subject to customary closing conditions, including approval by our stockholders of the share issuance and an amendment to our certificate of incorporation, continued listing of our common stock on Nasdaq and approval for listing of the shares issuable in the Merger. The waiting period under the Hart-Scott-Rodino Antitrust Improvements Act of 1976, as amended, was terminated early on July 21, 2026, and the registration statement on Form S-4 was declared effective by the SEC on October 21, 2026. The special meeting of our stockholders to vote on the proposals related to the Merger and the sale of the Mass Cytometry Business is scheduled for November 19, 2026. The Merger is expected to close in the fourth quarter of 2026. If the Merger is not consummated by March 31, 2027, either party may terminate the Merger Agreement. Upon termination under specified circumstances, we may be required to pay Treeline a termination fee of $16.1 million or to reimburse Treeline's transaction expenses up to $5.0 million.</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Divestiture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June 22, 2025, we entered into a Stock Purchase Agreement (the “Purchase Agreement”) with Illumina, Inc. (“Illumina”) pursuant to which Illumina acquired all of the equity interests of SomaLogic, Inc. (“SomaLogic”), Sengenics Corporation LLC and Sengenics Corporation Pte Ltd (collectively, the “Disposed Entities”), each a wholly owned subsidiary that operated our aptamer-based and functional proteomics business, including KREX, Single SOMAmer, translational and diagnostic assays (collectively, the “SomaScan Business”) (such transaction, the “Transaction”). The Transaction did not include our Legacy Business, which we retained. The Transaction closed on January 30, 2026.</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At closing, we received net cash consideration of $388.2 million, which includes $25.0 million of contingent consideration received, that was based on the achievement of specified revenue thresholds during fiscal year 2025. We were also eligible to receive additional contingent earnout payments of up to $50.0 million based on the achievement of specified revenue thresholds for SomaScan assay services and related products during fiscal year 2026.</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 addition, at the closing of the Transaction, as additional consideration, we and Illumina entered into (i) a royalty agreement, pursuant to which we were entitled to a specified royalty stream on net revenues generated from sales of SOMAmer-based next-generation sequencing library preparation kits, (ii) a license agreement, pursuant to which Illumina provided a specified license to us for the intellectual property relating to Single SOMAmers for potential development and commercialization of Single SOMAmer reagents for use in single plex affinity assays, and (iii) a royalty agreement, pursuant to which we were entitled to a specified royalty stream on net revenues generated from sales of Single SOMAmers. The royalty rates were low- to mid-single digit percentages. On July 24, 2026, we entered into a Termination, Waiver and Release Agreement with Illumina, under which we received $30.0 million in cash in exchange for waiving our right to the 2026 earnout and terminating the royalty and license agreements entered into at closing.</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Sale of Legacy Businesses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July 28, 2026, we entered into a Share and Asset Purchase Agreement (the “Multiplex Bio Purchase Agreement”) with Multiplex Bio Inc. (“Multiplex Bio”), pursuant to which Multiplex Bio agreed to acquire our mass cytometry business (the “Mass Cytometry Business”). On September 30, 2026, our board of directors determined that it had received a superior proposal for the Mass Cytometry Business from GMT Venture Partners, LLC (“GMT Venture”).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30, 2026, we terminated our agreement to sell the Mass Cytometry Business to Multiplex Bio and agreed to pay a $1.5 million termination fee, $1.0 million of which GMT Venture agreed to pay on our behalf. The same day, we agreed to sell the Mass Cytometry Business to Element Biosystems, LLC for $5.5 million in cash, subject to stockholder approval and completion of the Merger (the “Mass Cytometry Divestiture”). </w:t>
      </w:r>
    </w:p>
    <w:p>
      <w:pPr>
        <w:pStyle w:val="TextBody"/>
        <w:bidi w:val="0"/>
        <w:jc w:val="left"/>
      </w:pPr>
      <w:r>
        <w:t> </w:t>
      </w:r>
    </w:p>
    <w:p>
      <w:pPr>
        <w:pStyle w:val="TextBody"/>
        <w:bidi w:val="0"/>
        <w:jc w:val="left"/>
        <w:rPr>
          <w:rFonts w:ascii="Times New Roman" w:hAnsi="Times New Roman"/>
          <w:sz w:val="20"/>
        </w:rPr>
      </w:pPr>
      <w:r>
        <w:rPr>
          <w:rFonts w:ascii="Times New Roman" w:hAnsi="Times New Roman"/>
          <w:color w:val="000000"/>
          <w:sz w:val="20"/>
        </w:rPr>
        <w:t xml:space="preserve">On October 4, 2026, we agreed to sell our microfluidics business to ARCHIMED (the “Microfluidics Divestiture”). See Note 2, </w:t>
      </w:r>
      <w:r>
        <w:rPr>
          <w:rFonts w:ascii="Times New Roman" w:hAnsi="Times New Roman"/>
          <w:i/>
          <w:color w:val="000000"/>
          <w:sz w:val="20"/>
        </w:rPr>
        <w:t>Merger Agreement</w:t>
      </w:r>
      <w:r>
        <w:rPr>
          <w:rFonts w:ascii="Times New Roman" w:hAnsi="Times New Roman"/>
          <w:color w:val="000000"/>
          <w:sz w:val="20"/>
        </w:rPr>
        <w:t xml:space="preserve">, and Note 15, </w:t>
      </w:r>
      <w:r>
        <w:rPr>
          <w:rFonts w:ascii="Times New Roman" w:hAnsi="Times New Roman"/>
          <w:i/>
          <w:color w:val="000000"/>
          <w:sz w:val="20"/>
        </w:rPr>
        <w:t>Subsequent Events</w:t>
      </w:r>
      <w:r>
        <w:rPr>
          <w:rFonts w:ascii="Times New Roman" w:hAnsi="Times New Roman"/>
          <w:color w:val="000000"/>
          <w:sz w:val="20"/>
        </w:rPr>
        <w:t>, to our condensed consolidated financial statements included in Part I, Item 1 of this Quarterly Report on Form 10-Q, for additional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Restructuring Activities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On August 28, 2025, we initiated a plan to consolidate our South San Francisco-based research and development (“R&amp;D”) capabilities into our Singapore facility to co-locate with our manufacturing operations and implemented a reduction in force of certain U.S. employees in our R&amp;D function, including members of our management team. As part of this consolidation, we transferred our headquarters to Boston, Massachusetts and vacated our South San Francisco office on December 31, 2025.</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13, 2025, we commenced an additional restructuring plan, including an additional reduction in force to align operating costs with revenue projections for our continuing operations. </w:t>
      </w:r>
    </w:p>
    <w:p>
      <w:pPr>
        <w:pStyle w:val="TextBody"/>
        <w:bidi w:val="0"/>
        <w:jc w:val="left"/>
        <w:rPr>
          <w:rFonts w:ascii="Times New Roman" w:hAnsi="Times New Roman"/>
          <w:color w:val="000000"/>
          <w:sz w:val="20"/>
        </w:rPr>
      </w:pPr>
      <w:r>
        <w:rPr>
          <w:rFonts w:ascii="Times New Roman" w:hAnsi="Times New Roman"/>
          <w:color w:val="000000"/>
          <w:sz w:val="20"/>
        </w:rPr>
        <w:t>Both restructuring actions were designed to improve operational efficiency while supporting the execution of our long-term strategic plan. When combined, the reductions-in-force impacted approximately 20% of our total global workforce.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Instrument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Instrument sales serve as a key indicator of current business performance and provide visibility into future consumables demand. We anticipate continued growth in our installed base as we deepen market penetration and introduce enhanced capabilities that address evolving customer needs.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Our strategy to grow instrument sales includes expanding our global commercial reach, optimizing pricing strategies, and advancing the technological capabilities and applications of our platforms. We actively engage with customers to understand their research priorities and direct our development efforts toward platform enhancements and new applications, which we believe drives adoption of both our instruments and consumables.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Consumables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Consumables represent a critical component of our revenue model and reflect ongoing customer engagement with our platforms. We monitor consumables trends across our product portfolio and customer segments to inform commercial and development decisions. We expect consumables revenue to grow over time through increased utilization by existing customers, expansion of our installed base, and the introduction of new consumables offerings. Consumables are expected to remain a substantial portion of our total revenue.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our revenue from the sale of products and services. We also derive revenue from collaborative arrangements, license agreements, grants, and royalties. Customers include top biopharmaceutical companies and leading academic research universities. We expect the average selling prices of our products and services to fluctuate over time based on market conditions, product mix and currency fluctuations.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generate product revenue from the sale of instruments and consumables. Consumables revenue is largely driven by the size of our active installed base of instruments and the level of usage per instrument.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Service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Service revenue primarily consists of post-warranty service contracts, preventive maintenance plans, installation and training for our instruments.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Cost of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product revenue consists primarily of raw materials, equipment and production costs, salaries and other personnel costs, overhead and other direct costs related to product revenue. In addition, cost of product revenue includes amortization of developed technology, royalty costs for licensed technologies included in our products, warranty costs, provisions for excess and obsolete inventory, stock-based compensation expense, and shipping and handling costs. Cost of product revenue is recognized in the period the related revenue is recognized. Shipping and handling costs incurred for product shipments are included in cost of product revenue in the condensed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consolidated statements of operations. Our cost of product revenue and related product margin may fluctuate depending on the capacity utilization of our manufacturing facilities in response to market conditions and the demand for our products.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Cost of service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service revenue consists of raw materials and production costs, personnel-related costs, overhead and other direct costs. Cost of service revenue is recognized in the period the related revenue is recognized.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cost of service revenue and related service margin may fluctuate depending on the variability in material and labor costs of servicing.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 (“R&amp;D”)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R&amp;D expenses consist primarily of personnel-related costs related to enhancing our technologies and supporting development and commercialization of new and existing products and services. R&amp;D expenses also consist of laboratory supply costs, clinical study costs, consulting fees, and other allocated overhead expenses.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Selling, General, and Administrative (“SG&amp;A”)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SG&amp;A expenses consist primarily of personnel costs for our sales and marketing, business development, finance, legal, human resources, information technology and general management teams, as well as professional services, including legal and accounting services.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Restructuring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Restructuring and related charges primarily consist of severance costs related to our recent reduction-in-force and facilities costs for floors we have subleased or have the intent to sublease (net of sublease income) under our South San Francisco facility lease. These costs are incurred to improve operational efficiency, achieve cost savings and align our workforce to the future needs of the business.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Transaction and Integration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Transaction and integration expenses consist of costs incurred in connection with acquisition- and divestiture-related activities, including legal, advisory, accounting and other transaction-related costs including integration costs.</w:t>
      </w:r>
    </w:p>
    <w:p>
      <w:pPr>
        <w:pStyle w:val="TextBody"/>
        <w:bidi w:val="0"/>
        <w:spacing w:before="120" w:after="283"/>
        <w:jc w:val="both"/>
      </w:pPr>
      <w:r>
        <w:t> </w:t>
      </w:r>
    </w:p>
    <w:p>
      <w:pPr>
        <w:pStyle w:val="TextBody"/>
        <w:bidi w:val="0"/>
        <w:jc w:val="left"/>
        <w:rPr>
          <w:rFonts w:ascii="Times New Roman" w:hAnsi="Times New Roman"/>
          <w:b/>
          <w:i/>
          <w:color w:val="000000"/>
          <w:sz w:val="20"/>
        </w:rPr>
      </w:pPr>
      <w:r>
        <w:rPr>
          <w:rFonts w:ascii="Times New Roman" w:hAnsi="Times New Roman"/>
          <w:b/>
          <w:i/>
          <w:color w:val="000000"/>
          <w:sz w:val="20"/>
        </w:rPr>
        <w:t>Income (Loss) from Discontinued Operations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Income (loss) from discontinued operations represents the results of operations for business components that are classified as held-for-sale and meet the criteria for discontinued operations accounting under ASC 205, </w:t>
      </w:r>
      <w:r>
        <w:rPr>
          <w:rFonts w:ascii="Times New Roman" w:hAnsi="Times New Roman"/>
          <w:i/>
          <w:color w:val="000000"/>
          <w:sz w:val="20"/>
        </w:rPr>
        <w:t>Presentation of Financial Statements</w:t>
      </w:r>
      <w:r>
        <w:rPr>
          <w:rFonts w:ascii="Times New Roman" w:hAnsi="Times New Roman"/>
          <w:color w:val="000000"/>
          <w:sz w:val="20"/>
        </w:rPr>
        <w:t>. This includes the operating results of the discontinued components during the periods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income (loss) from discontinued operations is presented net of applicable income taxes and includes direct incremental costs associated with the disposal activities, such as legal, advisory, and other transaction-related costs. Any intercompany transactions between continuing and discontinued operations have been eliminated, and certain allocations of corporate overhead and shared costs previously allocated to the discontinued operations have been adjusted to reflect the costs that will be eliminated upon disposal.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period amounts have been reclassified to conform to the current period presentation.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spacing w:before="360" w:after="283"/>
        <w:jc w:val="left"/>
        <w:rPr>
          <w:rFonts w:ascii="Times New Roman" w:hAnsi="Times New Roman"/>
          <w:b/>
          <w:color w:val="000000"/>
          <w:sz w:val="20"/>
        </w:rPr>
      </w:pPr>
      <w:bookmarkStart w:id="15" w:name="section29"/>
      <w:bookmarkEnd w:id="15"/>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unaudited condensed consolidated statements of operations and as a percentage of total revenue for the three and nine months ended September 30, 2026 and 2025 ($ in thousands):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345"/>
        <w:gridCol w:w="146"/>
        <w:gridCol w:w="196"/>
        <w:gridCol w:w="661"/>
        <w:gridCol w:w="166"/>
        <w:gridCol w:w="146"/>
        <w:gridCol w:w="146"/>
        <w:gridCol w:w="436"/>
        <w:gridCol w:w="256"/>
        <w:gridCol w:w="146"/>
        <w:gridCol w:w="196"/>
        <w:gridCol w:w="661"/>
        <w:gridCol w:w="166"/>
        <w:gridCol w:w="146"/>
        <w:gridCol w:w="146"/>
        <w:gridCol w:w="436"/>
        <w:gridCol w:w="256"/>
        <w:gridCol w:w="146"/>
        <w:gridCol w:w="196"/>
        <w:gridCol w:w="691"/>
        <w:gridCol w:w="166"/>
        <w:gridCol w:w="146"/>
        <w:gridCol w:w="146"/>
        <w:gridCol w:w="376"/>
        <w:gridCol w:w="256"/>
        <w:gridCol w:w="146"/>
        <w:gridCol w:w="196"/>
        <w:gridCol w:w="691"/>
        <w:gridCol w:w="166"/>
        <w:gridCol w:w="146"/>
        <w:gridCol w:w="146"/>
        <w:gridCol w:w="436"/>
        <w:gridCol w:w="504"/>
      </w:tblGrid>
      <w:tr>
        <w:tc>
          <w:tcPr>
            <w:tcW w:w="1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c>
          <w:tcPr>
            <w:tcW w:w="134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34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3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3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3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3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pPr>
      <w: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revenue by product type, presented in dollars and as a percentage of total revenue ($ in thousands):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281"/>
        <w:gridCol w:w="346"/>
        <w:gridCol w:w="196"/>
        <w:gridCol w:w="601"/>
        <w:gridCol w:w="146"/>
        <w:gridCol w:w="146"/>
        <w:gridCol w:w="196"/>
        <w:gridCol w:w="601"/>
        <w:gridCol w:w="346"/>
        <w:gridCol w:w="346"/>
        <w:gridCol w:w="196"/>
        <w:gridCol w:w="436"/>
        <w:gridCol w:w="166"/>
        <w:gridCol w:w="146"/>
        <w:gridCol w:w="146"/>
        <w:gridCol w:w="346"/>
        <w:gridCol w:w="256"/>
        <w:gridCol w:w="146"/>
        <w:gridCol w:w="196"/>
        <w:gridCol w:w="601"/>
        <w:gridCol w:w="146"/>
        <w:gridCol w:w="146"/>
        <w:gridCol w:w="196"/>
        <w:gridCol w:w="601"/>
        <w:gridCol w:w="146"/>
        <w:gridCol w:w="146"/>
        <w:gridCol w:w="196"/>
        <w:gridCol w:w="571"/>
        <w:gridCol w:w="166"/>
        <w:gridCol w:w="146"/>
        <w:gridCol w:w="146"/>
        <w:gridCol w:w="256"/>
        <w:gridCol w:w="503"/>
      </w:tblGrid>
      <w:tr>
        <w:tc>
          <w:tcPr>
            <w:tcW w:w="12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c>
          <w:tcPr>
            <w:tcW w:w="12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2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0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r>
      <w:t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Instruments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Consumables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product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Services and other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19,552</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September 30, 2026, total revenue decreased $0.2 million, or 1%, compared to the prior year period. The decrease was driven by a $0.7 million, or 12%, decline in services and other revenue and a $0.4 million, or 4%, decline in consumables revenue, partially offset by a $0.9 million, or 18%, increase in instruments revenue.</w:t>
      </w:r>
    </w:p>
    <w:p>
      <w:pPr>
        <w:pStyle w:val="TextBody"/>
        <w:bidi w:val="0"/>
        <w:spacing w:before="40" w:after="283"/>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For the nine months ended September 30, 2026, total revenue decreased $0.9 million, or 1%, compared to the prior year period. The decrease was driven by a $1.4 million, or 8%, decline in instruments revenue and a $0.9 million, or 5%, decline in services and other revenue, partially offset by a $1.4 million, or 5%, increase in consumables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 and 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gross profit, and gross margin were as follows ($ in thousands):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056"/>
        <w:gridCol w:w="146"/>
        <w:gridCol w:w="196"/>
        <w:gridCol w:w="601"/>
        <w:gridCol w:w="241"/>
        <w:gridCol w:w="146"/>
        <w:gridCol w:w="196"/>
        <w:gridCol w:w="601"/>
        <w:gridCol w:w="241"/>
        <w:gridCol w:w="146"/>
        <w:gridCol w:w="208"/>
        <w:gridCol w:w="608"/>
        <w:gridCol w:w="176"/>
        <w:gridCol w:w="155"/>
        <w:gridCol w:w="155"/>
        <w:gridCol w:w="368"/>
        <w:gridCol w:w="261"/>
        <w:gridCol w:w="146"/>
        <w:gridCol w:w="216"/>
        <w:gridCol w:w="663"/>
        <w:gridCol w:w="266"/>
        <w:gridCol w:w="161"/>
        <w:gridCol w:w="216"/>
        <w:gridCol w:w="663"/>
        <w:gridCol w:w="241"/>
        <w:gridCol w:w="146"/>
        <w:gridCol w:w="208"/>
        <w:gridCol w:w="608"/>
        <w:gridCol w:w="176"/>
        <w:gridCol w:w="155"/>
        <w:gridCol w:w="155"/>
        <w:gridCol w:w="368"/>
        <w:gridCol w:w="316"/>
      </w:tblGrid>
      <w:tr>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0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0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2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r>
      <w:t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20,602</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27,964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30,375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(2,411</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32,671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c>
          <w:tcPr>
            <w:tcW w:w="1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40" w:after="283"/>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September 30, 2026, gross profit increased $1.3 million, or 14%, compared to the prior year period, despite slightly lower revenue. The increase was primarily due to favorable consumables pricing and lower warranty expenses, as well as lower excess and obsolete inventory and scrap charges. These improvements were partially offset by an unfavorable instrument mix.</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For the nine months ended September 30, 2026, gross profit increased $1.5 million, or 5%, compared to the prior year period, despite slightly lower revenue. The increase was primarily due to favorable consumables pricing, lower warranty expenses, and lower excess and obsolete inventory and scrap charges.</w:t>
      </w:r>
    </w:p>
    <w:p>
      <w:pPr>
        <w:pStyle w:val="TextBody"/>
        <w:bidi w:val="0"/>
        <w:spacing w:before="40" w:after="283"/>
        <w:jc w:val="left"/>
      </w:pPr>
      <w: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were as follows ($ in thousands):</w:t>
      </w:r>
    </w:p>
    <w:p>
      <w:pPr>
        <w:pStyle w:val="TextBody"/>
        <w:bidi w:val="0"/>
        <w:jc w:val="left"/>
      </w:pPr>
      <w:r>
        <w:t> </w:t>
      </w:r>
    </w:p>
    <w:tbl>
      <w:tblPr>
        <w:tblW w:w="10553"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676"/>
        <w:gridCol w:w="146"/>
        <w:gridCol w:w="146"/>
        <w:gridCol w:w="211"/>
        <w:gridCol w:w="736"/>
        <w:gridCol w:w="166"/>
        <w:gridCol w:w="146"/>
        <w:gridCol w:w="146"/>
        <w:gridCol w:w="376"/>
        <w:gridCol w:w="271"/>
        <w:gridCol w:w="146"/>
        <w:gridCol w:w="211"/>
        <w:gridCol w:w="676"/>
        <w:gridCol w:w="146"/>
        <w:gridCol w:w="146"/>
        <w:gridCol w:w="211"/>
        <w:gridCol w:w="781"/>
        <w:gridCol w:w="146"/>
        <w:gridCol w:w="146"/>
        <w:gridCol w:w="211"/>
        <w:gridCol w:w="736"/>
        <w:gridCol w:w="166"/>
        <w:gridCol w:w="146"/>
        <w:gridCol w:w="146"/>
        <w:gridCol w:w="376"/>
        <w:gridCol w:w="316"/>
      </w:tblGrid>
      <w:t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pPr>
            <w:r>
              <w:t> </w:t>
            </w:r>
          </w:p>
        </w:tc>
      </w:tr>
      <w:t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r>
      <w:t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September 30, 2026, R&amp;D expense decreased by $4.3 million, or 67%, compared to the prior year period. The reduction in R&amp;D expense was primarily driven by a decrease in personnel-related costs due to restructuring activities undertaken during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nine months ended September 30, 2026, R&amp;D expense decreased $11.8 million, or 66%, compared to the prior year period. The reduction reflects the deferral of long-horizon R&amp;D projects, which reduced material and supply costs as well as consulting fees. Additionally, the current period benefited from restructuring activities completed in 2025, which reduced corporate overhead costs and personnel-related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September 30, 2026, SG&amp;A expense decreased by $9.8 million, or 37%, compared to the prior year period. The decrease primarily reflects a $4.6 million reduction in personnel-related costs and a $1.3 million reduction in stock-based compensation expense due to restructuring activities undertaken in 2025, as well as a $2.0 million decrease in accounting, legal and professional fees. SG&amp;A expense for the three months ended September 30, 2026 also reflects $0.5 million of reimbursements from Illumina for information technology, accounting and other services provided under the transition services agreement entered into in connection with the sale of the SomaScan Business, which are recorded as a reduction of SG&amp;A expense.</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nine months ended September 30, 2026, SG&amp;A expense decreased by $32.7 million, or 39%, compared to the prior year period. The decrease primarily reflects a $14.9 million reduction in personnel-related costs and a $5.5 million reduction in stock-based compensation expense due to restructuring activities undertaken in 2025. SG&amp;A expense for the nine months ended September 30, 2026 also reflects $3.0 million of reimbursements from Illumina for services provided under the transition services agreement, which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are recorded as a reduction of SG&amp;A expense. Additionally, consulting fees and accounting, legal and professional fees declined by $1.9 million each due to an increased focus by management on expense reduction during 2026.</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Restructuring and Related Charges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Restructuring and related charges decreased by $7.3 million, or 78%, and $4.7 million, or 37%, for the three and nine months ended September 30, 2026, respectively, compared to the prior year periods. The decreases were primarily due to lower severance and other personnel-related costs of $6.4 million and $6.5 million, respectively, as the workforce reductions associated with our 2025 restructuring activities were substantially completed in 2025. The prior year periods also included $2.2 million of stock-based compensation expense related to the accelerated vesting of awards for executives who departed in connection with the restructuring, which did not recur. These decreases were partially offset by higher facilities-related charges of $1.0 million and $3.2 million for the three and nine months ended September 30, 2026, respectively, associated with facilities that were vacated as part of the restructuring.</w:t>
      </w:r>
    </w:p>
    <w:p>
      <w:pPr>
        <w:pStyle w:val="TextBody"/>
        <w:bidi w:val="0"/>
        <w:spacing w:before="240" w:after="283"/>
        <w:jc w:val="left"/>
        <w:rPr>
          <w:rFonts w:ascii="Times New Roman" w:hAnsi="Times New Roman"/>
          <w:b/>
          <w:i/>
          <w:color w:val="242424"/>
          <w:sz w:val="20"/>
        </w:rPr>
      </w:pPr>
      <w:r>
        <w:rPr>
          <w:rFonts w:ascii="Times New Roman" w:hAnsi="Times New Roman"/>
          <w:b/>
          <w:i/>
          <w:color w:val="242424"/>
          <w:sz w:val="20"/>
        </w:rPr>
        <w:t>Transaction and Integration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and integration expenses for the three and nine months ended September 30, 2026 increased by $9.6 million and $22.8 million, respectively, compared to the prior year periods. The costs were primarily incurred in connection with the Merger Agreement with Treeline.</w:t>
      </w:r>
    </w:p>
    <w:p>
      <w:pPr>
        <w:pStyle w:val="TextBody"/>
        <w:bidi w:val="0"/>
        <w:spacing w:before="120" w:after="283"/>
        <w:jc w:val="left"/>
        <w:rPr>
          <w:rFonts w:ascii="Times New Roman" w:hAnsi="Times New Roman"/>
          <w:b/>
          <w:i/>
          <w:color w:val="242424"/>
          <w:sz w:val="20"/>
        </w:rPr>
      </w:pPr>
      <w:r>
        <w:rPr>
          <w:rFonts w:ascii="Times New Roman" w:hAnsi="Times New Roman"/>
          <w:b/>
          <w:i/>
          <w:color w:val="242424"/>
          <w:sz w:val="20"/>
        </w:rPr>
        <w:t>Interest Income,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net increased by $2.8 million and $5.5 million, or 129% and 73%, respectively, during the three and nine months ended September 30, 2026 compared to the prior year periods. The increases were primarily attributable to higher money market fund and investment balances resulting from cash proceeds received in connection with the sale of the SomaScan Business.</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Other (Expense) Income, net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September 30, 2026, other (expense) income, net increased by $2.0 million compared to the prior year period. The increase was primarily due to the favorable impact of foreign currency exchange rates on intercompany balances compared to the prior year period.</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For the nine months ended September 30, 2026, other (expense) income, net decreased by $9.8 million compared to the prior year period. The decrease was primarily due to $4.7 million of foreign currency exchange losses in the current period compared to $3.2 million of foreign currency exchange gains in the prior year period, a $3.4 million gain from the remeasurement of a contingent consideration liability in the prior year period that did not recur, and $1.6 million of net losses on our equity investments in the current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(Loss) from Discontinued Operations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Income from discontinued operations, net of tax, was $28.5 million for the three months ended September 30, 2026, compared to a loss of $3.0 million in the prior year period. The current period reflects the $30.0 million gain recognized in connection with the Termination Agreement with Illumina, net of $1.5 million of related income tax expense. The prior year period reflects the operating results of the SomaScan Business, which was sold in January 2026.</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Income from discontinued operations, net of tax, increased by $186.4 million for the nine months ended September 30, 2026 compared to the prior year period, primarily due to the $202.3 million pre-tax gain recognized on the sale of the SomaScan Business, including the $30.0 million gain recognized in the third quarter in connection with the Termination Agreement, partially offset by $41.8 million of related income tax expense.</w:t>
      </w:r>
    </w:p>
    <w:p>
      <w:pPr>
        <w:pStyle w:val="TextBody"/>
        <w:bidi w:val="0"/>
        <w:spacing w:before="360" w:after="283"/>
        <w:jc w:val="left"/>
        <w:rPr>
          <w:rFonts w:ascii="Times New Roman" w:hAnsi="Times New Roman"/>
          <w:b/>
          <w:color w:val="000000"/>
          <w:sz w:val="20"/>
        </w:rPr>
      </w:pPr>
      <w:bookmarkStart w:id="16" w:name="section30"/>
      <w:bookmarkEnd w:id="16"/>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operating losses since inception and have an accumulated deficit of $1,146.8 million as of September 30, 2026. To date, we have funded our operating losses primarily through acquisitions, divestitures, equity offerings, term loans, convertible notes and redeemable preferred stock. Our ability to fund future operations will depend upon our level of future revenue and operating cash flow and our ability to access additional funding through acquisitions, divestitures, equity offerings, or issuances of debt instruments.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and costs and timing of acquiring other businesses, assets or technologies or disposing of our businesses, assets or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Quarterly Report on Form 10-Q.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sources of liquidity are cash, cash equivalents and investments. Our collective balances of cash, cash equivalents and investments were $559.4 million and $213.3 million at September 30, 2026 and December 31, 2025,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Capital Resources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arrangements that serve as sources of capital and the associated contractual agreements may result in firm or contingent obligations of us. In addition to our common stockholders’ equity, our sources of capital have historically included debt and operating leases. Our operating lease arrangements require cash repayment, and our convertible debt contains rights that may result in their conversion to our common stock prior to maturity. However, as of September 30, 2026, we have repaid the majority of our traditional debt obligations and no longer maintain access to credit facilities. Accordingly, our ongoing sources of capital are primarily limited to equity and cash generated from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operating lease obligations include the lease for our former South San Francisco office, which expires in April 2030. Although we have subleased the entirety of the premises, the amounts payable by our subtenants are lower than our obligations under the lease, and we expect to continue to incur net cash outflows related to these premises through the end of the lease term. In addition, it is reasonably possible that we will recognize an impairment of the related right-of-use asset upon the sale of our mass cytometry and microfluidics businesses. See Note 6, </w:t>
      </w:r>
      <w:r>
        <w:rPr>
          <w:rFonts w:ascii="Times New Roman" w:hAnsi="Times New Roman"/>
          <w:i/>
          <w:color w:val="000000"/>
          <w:sz w:val="20"/>
        </w:rPr>
        <w:t>Commitments and Contingencies</w:t>
      </w:r>
      <w:r>
        <w:rPr>
          <w:rFonts w:ascii="Times New Roman" w:hAnsi="Times New Roman"/>
          <w:color w:val="000000"/>
          <w:sz w:val="20"/>
        </w:rPr>
        <w:t>, in the notes to our condensed consolidated financial statements included elsewhere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enter into contractual and legally binding commitments to purchase goods. Most of these contracts are cancellable with little or no notice or penalty. However, once a vendor has incurred costs to fulfill a contract with us, and which costs cannot be otherwise deployed, we are liable for those costs upon cancellation.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flow summary was as follows ($ in thousands):</w:t>
      </w:r>
    </w:p>
    <w:p>
      <w:pPr>
        <w:pStyle w:val="TextBody"/>
        <w:bidi w:val="0"/>
        <w:jc w:val="left"/>
      </w:pPr>
      <w:r>
        <w:t> </w:t>
      </w:r>
    </w:p>
    <w:tbl>
      <w:tblPr>
        <w:tblW w:w="8981" w:type="dxa"/>
        <w:jc w:val="left"/>
        <w:tblInd w:w="0" w:type="dxa"/>
        <w:tblLayout w:type="fixed"/>
        <w:tblCellMar>
          <w:top w:w="28" w:type="dxa"/>
          <w:left w:w="28" w:type="dxa"/>
          <w:bottom w:w="28" w:type="dxa"/>
          <w:right w:w="28" w:type="dxa"/>
        </w:tblCellMar>
      </w:tblPr>
      <w:tblGrid>
        <w:gridCol w:w="6031"/>
        <w:gridCol w:w="146"/>
        <w:gridCol w:w="243"/>
        <w:gridCol w:w="900"/>
        <w:gridCol w:w="191"/>
        <w:gridCol w:w="168"/>
        <w:gridCol w:w="243"/>
        <w:gridCol w:w="848"/>
        <w:gridCol w:w="211"/>
      </w:tblGrid>
      <w:t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summary: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4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fluctuations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pPr>
      <w: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nine months ended September 30, 2026, net cash used in operating activities of $63.1 million was funded by proceeds from the sale of the SomaScan Business, with the remaining proceeds invested in short- and long-term investments or held as cash and cash equivalents. In the nine months ended September 30, 2025, we used $43.3 million of net proceeds from the sales and maturities of investments to help fund $73.2 million of net cash used in operating activities.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decreased by $10.1 million for the nine months ended September 30, 2026 compared to the same period in 2025. During the first quarter of 2026, net cash used in operating activities increased $16.3 million compared to the prior year quarter, primarily reflecting $12.1 million of higher transaction and restructuring cost payments and a $10.1 million increase in bonus payments. This increase was more than offset in the second and third quarters of 2026, during which net cash used in operating activities decreased $26.4 million compared to the prior year periods, reflecting lower cash payments for ongoing operating expenses as a result of our cost reduction initiatives.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$210.3 million for the nine months ended September 30, 2026, compared to $35.4 million for the same period in 2025. The increase was primarily attributable to $410.7 million of cash consideration received in connection with the sale of the SomaScan Business, consisting of $388.2 million received at closing and $30.0 million received from Illumina in July 2026, net of $7.5 million of indemnification payments, partially offset by $199.5 million of net purchases of investments funded with a portion of the sale proceeds. </w:t>
      </w:r>
    </w:p>
    <w:p>
      <w:pPr>
        <w:pStyle w:val="TextBody"/>
        <w:bidi w:val="0"/>
        <w:spacing w:before="360" w:after="283"/>
        <w:jc w:val="left"/>
        <w:rPr>
          <w:rFonts w:ascii="Times New Roman" w:hAnsi="Times New Roman"/>
          <w:b/>
          <w:color w:val="000000"/>
          <w:sz w:val="20"/>
        </w:rPr>
      </w:pPr>
      <w:bookmarkStart w:id="17" w:name="section31"/>
      <w:bookmarkEnd w:id="17"/>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are based on our unaudited condensed consolidated financial statements and related notes, which have been prepared in accordance with accounting principles generally accepted in the United States. The preparation of these financial statements requires the use of estimates and assumptions to determine the value of the assets, liabilities, revenues and expenses reported on the condensed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lease liabilities and income tax liabilities (assets). Refer to Part II, Item 7 in our Annual Report for additional information regarding our critical accounting policies and estimates to which there have been no changes from those described in the Annual Report.</w:t>
      </w:r>
    </w:p>
    <w:p>
      <w:pPr>
        <w:pStyle w:val="TextBody"/>
        <w:bidi w:val="0"/>
        <w:spacing w:before="360" w:after="283"/>
        <w:jc w:val="left"/>
        <w:rPr>
          <w:rFonts w:ascii="Times New Roman" w:hAnsi="Times New Roman"/>
          <w:b/>
          <w:color w:val="000000"/>
          <w:sz w:val="20"/>
        </w:rPr>
      </w:pPr>
      <w:bookmarkStart w:id="18" w:name="section32"/>
      <w:bookmarkEnd w:id="18"/>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standards are issued by the Financial Accounting Standards Board or other standard setting bodies and adopted by us as of the specified effective date. Unless otherwise discussed, the impact of recently issued standards that are not yet effective will not have a material impact on our financial position or results of operations upon adoption.</w:t>
      </w:r>
    </w:p>
    <w:p>
      <w:pPr>
        <w:pStyle w:val="TextBody"/>
        <w:bidi w:val="0"/>
        <w:spacing w:before="360" w:after="283"/>
        <w:jc w:val="left"/>
        <w:rPr>
          <w:rFonts w:ascii="Times New Roman" w:hAnsi="Times New Roman"/>
          <w:b/>
          <w:color w:val="000000"/>
          <w:sz w:val="20"/>
        </w:rPr>
      </w:pPr>
      <w:bookmarkStart w:id="19" w:name="item_3_quantitative_and_qualitative"/>
      <w:bookmarkEnd w:id="19"/>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interest rate risk in the ordinary course of our business. Our cash, cash equivalents and investments consist of checking accounts, money market funds and U.S. treasury securities. The primary objective of our cash investment activities is to preserve our capital for the purpose of funding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 our results of operations or our cash flows. For the nine months ended September 30, 2026, we recognized $4.7 million of foreign currency exchange losses due to changes in foreign currency exchange rates. For the nine months ended September 30, 2025, we recognized $3.2 million of foreign currency exchange gains due to changes in currency exchange rates.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had a material effect on our business, financial condition, results of operations or cash flows in the last two years. If global inflation trends continue, we expect appreciable increases in labor and other operating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Capital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our revenue from the sale of products and services and from collaborative arrangements, license agreements, grants, and royalties, but we may in the future raise funds through other sources. One possible source of funding is through further securities offerings. Our ability to raise funds in this manner depends upon capital market forces affecting our stock price, among other things.</w:t>
      </w:r>
    </w:p>
    <w:p>
      <w:pPr>
        <w:pStyle w:val="TextBody"/>
        <w:bidi w:val="0"/>
        <w:jc w:val="left"/>
      </w:pPr>
      <w:r>
        <w:t> </w:t>
      </w:r>
    </w:p>
    <w:p>
      <w:pPr>
        <w:pStyle w:val="TextBody"/>
        <w:bidi w:val="0"/>
        <w:jc w:val="left"/>
      </w:pPr>
      <w:r>
        <w:t> </w:t>
      </w:r>
    </w:p>
    <w:p>
      <w:pPr>
        <w:pStyle w:val="TextBody"/>
        <w:bidi w:val="0"/>
        <w:spacing w:before="360" w:after="283"/>
        <w:jc w:val="left"/>
        <w:rPr>
          <w:rFonts w:ascii="Times New Roman" w:hAnsi="Times New Roman"/>
          <w:b/>
          <w:color w:val="000000"/>
          <w:sz w:val="20"/>
        </w:rPr>
      </w:pPr>
      <w:bookmarkStart w:id="20" w:name="item4_controls_and_procedures"/>
      <w:bookmarkEnd w:id="20"/>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(“CEO”) and our Chief Financial Officer (“CFO”), evaluated the effectiveness of our disclosure controls and procedures as of September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2026, our CEO and CFO concluded that, as of such date, our disclosure controls and procedures were effective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that occurred during the three months ended September 30, 2026 that have materially affected, or are reasonably likely to materially affect, our internal control over financial reporting.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center"/>
        <w:rPr>
          <w:rFonts w:ascii="Times New Roman" w:hAnsi="Times New Roman"/>
          <w:b/>
          <w:color w:val="000000"/>
          <w:sz w:val="20"/>
        </w:rPr>
      </w:pPr>
      <w:bookmarkStart w:id="21" w:name="part_ii_other_information"/>
      <w:bookmarkEnd w:id="21"/>
      <w:r>
        <w:rPr>
          <w:rFonts w:ascii="Times New Roman" w:hAnsi="Times New Roman"/>
          <w:b/>
          <w:color w:val="000000"/>
          <w:sz w:val="20"/>
        </w:rPr>
        <w:t>PART II. OTHER INFORMATION</w:t>
      </w:r>
    </w:p>
    <w:p>
      <w:pPr>
        <w:pStyle w:val="TextBody"/>
        <w:bidi w:val="0"/>
        <w:spacing w:before="240" w:after="283"/>
        <w:jc w:val="left"/>
        <w:rPr>
          <w:rFonts w:ascii="Times New Roman" w:hAnsi="Times New Roman"/>
          <w:b/>
          <w:color w:val="000000"/>
          <w:sz w:val="20"/>
        </w:rPr>
      </w:pPr>
      <w:bookmarkStart w:id="22" w:name="item_1_legal_proceeding"/>
      <w:bookmarkEnd w:id="22"/>
      <w:r>
        <w:rPr>
          <w:rFonts w:ascii="Times New Roman" w:hAnsi="Times New Roman"/>
          <w:b/>
          <w:color w:val="000000"/>
          <w:sz w:val="20"/>
        </w:rPr>
        <w:t>Item 1. Legal Proceedings</w:t>
      </w:r>
    </w:p>
    <w:p>
      <w:pPr>
        <w:pStyle w:val="TextBody"/>
        <w:bidi w:val="0"/>
        <w:spacing w:before="120" w:after="283"/>
        <w:jc w:val="left"/>
      </w:pPr>
      <w:r>
        <w:rPr>
          <w:rFonts w:ascii="Times New Roman" w:hAnsi="Times New Roman"/>
          <w:color w:val="000000"/>
          <w:sz w:val="20"/>
        </w:rPr>
        <w:t xml:space="preserve">Information with respect to certain legal proceedings is included in </w:t>
      </w:r>
      <w:hyperlink w:anchor="note_8">
        <w:r>
          <w:rPr>
            <w:rStyle w:val="InternetLink"/>
            <w:rFonts w:ascii="Times New Roman" w:hAnsi="Times New Roman"/>
            <w:color w:val="0000FF"/>
            <w:sz w:val="20"/>
            <w:u w:val="single"/>
          </w:rPr>
          <w:t>Note 6</w:t>
        </w:r>
      </w:hyperlink>
      <w:r>
        <w:rPr>
          <w:rFonts w:ascii="Times New Roman" w:hAnsi="Times New Roman"/>
          <w:color w:val="000000"/>
          <w:sz w:val="20"/>
        </w:rPr>
        <w:t xml:space="preserve"> to our accompanying financial statements appearing elsewhere in this Quarterly Report on Form 10-Q.</w:t>
      </w:r>
    </w:p>
    <w:p>
      <w:pPr>
        <w:pStyle w:val="TextBody"/>
        <w:bidi w:val="0"/>
        <w:spacing w:before="360" w:after="283"/>
        <w:jc w:val="left"/>
        <w:rPr>
          <w:rFonts w:ascii="Times New Roman" w:hAnsi="Times New Roman"/>
          <w:b/>
          <w:color w:val="000000"/>
          <w:sz w:val="20"/>
        </w:rPr>
      </w:pPr>
      <w:bookmarkStart w:id="23" w:name="item_1a_riskfactors"/>
      <w:bookmarkEnd w:id="23"/>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rapidly changing environment that involves numerous uncertainties and risks. You should carefully consider the risk factors discussed in this Item 1A, as well as those risk factors discussed in Part I, Item 1A “Risk Factors” in our Annual Report and in Part II, Item 1A “Risk Factors” of our Quarterly Report on Form 10-Q for the quarter ended June 30, 2026 filed with the SEC on August 5, 2026, which could materially affect our business, financial condition or results of operations. The risks below and the risks in our Annual Report are not the only ones we face. Our business is also subject to the risks that affect many other companies, such as employee relations, general economic conditions, global geopolitical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The representations and warranties of the parties contained in the Merger Agreement will not survive the Closing, and the combined company will have no post-closing indemnification rights for breaches thereof.</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The Merger Agreement provides that all of the representations and warranties of the parties contained therein shall not survive the Closing. As a result, following the consummation of the Merger, neither the combined company nor any of its stockholders will have any remedy available under the Merger Agreement if it is later revealed that there was a breach of any of the representations or warranties made by us at or prior to the time of the Merger. This means that the combined company will bear the risk of any of our undisclosed or unknown liabilities that existed at or prior to the Closing, and the combined company’s stockholders will have no contractual recourse against our former stockholders for any such liabilities. This is a material departure from the protections typically available in private company acquisition transactions, where the representations and warranties of the target company often survive the closing for a specified period and the acquiror has indemnification rights for breaches thereof. The absence of post-closing indemnification protections could have a material adverse effect on the combined company’s financial condition and results of operations if undisclosed liabilities materialize after the Closing.</w:t>
      </w:r>
    </w:p>
    <w:p>
      <w:pPr>
        <w:pStyle w:val="TextBody"/>
        <w:bidi w:val="0"/>
        <w:jc w:val="left"/>
      </w:pPr>
      <w: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received demand letters from purported stockholders in connection with the Merger, and litigation may be filed against us and/or our officers and directors that could prevent or delay the consummation of the Merger.</w:t>
      </w:r>
    </w:p>
    <w:p>
      <w:pPr>
        <w:pStyle w:val="TextBody"/>
        <w:bidi w:val="0"/>
        <w:jc w:val="left"/>
        <w:rPr>
          <w:rFonts w:ascii="Times New Roman" w:hAnsi="Times New Roman"/>
          <w:color w:val="000000"/>
          <w:sz w:val="20"/>
        </w:rPr>
      </w:pPr>
      <w:r>
        <w:rPr>
          <w:rFonts w:ascii="Times New Roman" w:hAnsi="Times New Roman"/>
          <w:color w:val="000000"/>
          <w:sz w:val="20"/>
        </w:rPr>
        <w:t>In July and August 2026, we received demand letters from purported stockholders, each of which alleged that the proxy statement/prospectus omits certain material information and seeks additional disclosures and one of which seeks inspection of our books and records pursuant to Section 220 of the Delaware General Corporation Law. These demand letters could lead to lawsuits, and additional demand letters may be received or lawsuits filed. The outcome of any lawsuit that may be filed challenging the Merger is uncertain. One of the conditions to the Closing is that no applicable law, judgment (whether temporary, preliminary or permanent) or other legal restraint or binding order or determination by any governmental entity of competent jurisdiction shall be in effect that prevents, restrains, enjoins, makes illegal or otherwise prohibits the consummation of the Merger or the Transactions.</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Accordingly, if any future lawsuit is successful in obtaining an order enjoining consummation of the Merger, then such order may prevent the Merger from being consummated, or from being consummated within the expected time frame, and could result in substantial costs to us, including but not limited to, legal fees and costs associated with the indemnification of directors and officers. Any such injunction or delay in the Merger being completed may adversely affect our business, financial condition, results of operations, and cash flows. </w:t>
      </w:r>
    </w:p>
    <w:p>
      <w:pPr>
        <w:pStyle w:val="TextBody"/>
        <w:bidi w:val="0"/>
        <w:jc w:val="left"/>
      </w:pPr>
      <w:r>
        <w:t> </w:t>
      </w:r>
    </w:p>
    <w:p>
      <w:pPr>
        <w:pStyle w:val="TextBody"/>
        <w:bidi w:val="0"/>
        <w:jc w:val="left"/>
        <w:rPr>
          <w:rFonts w:ascii="Times New Roman" w:hAnsi="Times New Roman"/>
          <w:sz w:val="20"/>
        </w:rPr>
      </w:pPr>
      <w:r>
        <w:rPr>
          <w:rFonts w:ascii="Times New Roman" w:hAnsi="Times New Roman"/>
          <w:b/>
          <w:i/>
          <w:color w:val="000000"/>
          <w:sz w:val="20"/>
        </w:rPr>
        <w:t>Our stockholders may not receive any payment on the CVRs, and the CVRs may otherwise expire valueless.</w:t>
      </w:r>
      <w:r>
        <w:rPr>
          <w:rFonts w:ascii="Times New Roman" w:hAnsi="Times New Roman"/>
          <w:color w:val="000000"/>
          <w:sz w:val="20"/>
        </w:rPr>
        <w:t xml:space="preserve">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part of the Merger, we may issue CVRs for each outstanding share of our common stock. Pursuant to the terms of a Contingent Value Rights Agreement to be entered into between us and a rights agent, the holder of each CVR will be entitled to receive a payment for each 12-month CVR payment period during the five-year term of the CVR Agreement, consisting of a number of shares of the combined company’s common stock (with fractional shares settled in cash) equal to such holder’s pro rata portion of the aggregate net proceeds received by the combined company during such 12-month CVR payment period from the following sources, in each case less certain permitted deductions: (i) proceeds from any sale, disposition, or other monetization of the Legacy Businesses, including any cash proceeds received in connection with the Element Mass Cytometry Divestiture or the Microfluidics Divestiture; (ii)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proceeds from convertible notes or other investments held by us as of the Closing Date; (iii) earnout, milestone, royalty or other similar contingent payments due to us under contracts in effect as of the Closing Date; and (iv) any surplus in Parent Net Cash delivered at Closing as finally determined under the Merger Agreement.</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right of our stockholders to receive any future payment for or derive any value from the CVRs will be contingent in part upon the combined company’s receipt of (i) proceeds from any sale, disposition, or other monetization of the Legacy Businesses, including any cash proceeds received in connection with the Element Mass Cytometry Divestiture or the Microfluidics Divestiture during the five-year term of the CVRs; (ii) proceeds from convertible notes or other investments held by us as of the Closing Date; (iii) earnout, milestone, royalty or other similar contingent payments due to us under contracts in effect as of the Closing Date; and (iv) any surplus in Parent Net Cash delivered at Closing as finally determined under the Merger Agreement, and the timing and amount of the consideration received thereunder. For example, if there are no proceeds from convertible notes or other investments, there are no earnout, milestone, royalty or other similar payments under our existing contracts, and there is no Parent Net Cash surplus, no payments will be made in respect of the CVRs.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Following the Effective Time, the combined company will have sole authority over whether and how to monetize the remaining portion of the Legacy Businesses (if at all), and the combined company’s only obligations will be to carry out the obligations set forth in the CVR Agreement. Furthermore, the CVRs will be unsecured obligations of the combined company and all payments under the CVRs and all other obligations under the CVR Agreement and the CVRs and any rights or claims relating thereto will be subordinated in right of payment to the prior payment in full of all current or future senior obligations of the combined company. Accordingly, there can be no assurance that holders of CVRs will receive any payments with respect to the CVRs.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payments under the CVRs will be made in shares of the combined company’s common stock, subject to the maximum cap of 76,000,000 shares. If substantial payments are made under the CVRs, the issuance of such shares will dilute the ownership percentage of all stockholders of the combined company who are not CVR holders, including former Treeline stockholders. This dilution could be material if the Legacy Businesses are sold or monetized at a significant value during the CVR payment period. Additionally, any such shares paid in respect of the CVRs will be subject to market conditions and may decline in value following payment. </w:t>
      </w:r>
    </w:p>
    <w:p>
      <w:pPr>
        <w:pStyle w:val="TextBody"/>
        <w:bidi w:val="0"/>
        <w:jc w:val="left"/>
      </w:pPr>
      <w: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CVR holders will have limited ability to transfer their CVRs, which are not registered with the SEC and will not trade on any securities exchange. The CVRs are illiquid instruments with no established market, and CVR holders may be unable to sell, assign or otherwise dispose of their CVRs except in the limited circumstances specified in the CVR Agreement. The illiquidity of the CVRs may make it difficult for CVR holders to realize any value from their CVRs prior to the expiration of the CVR Agreement. </w:t>
      </w:r>
    </w:p>
    <w:p>
      <w:pPr>
        <w:pStyle w:val="TextBody"/>
        <w:bidi w:val="0"/>
        <w:jc w:val="left"/>
      </w:pPr>
      <w:r>
        <w:t> </w:t>
      </w:r>
    </w:p>
    <w:p>
      <w:pPr>
        <w:pStyle w:val="TextBody"/>
        <w:bidi w:val="0"/>
        <w:spacing w:before="360" w:after="283"/>
        <w:jc w:val="left"/>
        <w:rPr>
          <w:rFonts w:ascii="Times New Roman" w:hAnsi="Times New Roman"/>
          <w:sz w:val="20"/>
        </w:rPr>
      </w:pPr>
      <w:bookmarkStart w:id="24" w:name="item_2_unregistered"/>
      <w:bookmarkEnd w:id="24"/>
      <w:r>
        <w:rPr>
          <w:rFonts w:ascii="Times New Roman" w:hAnsi="Times New Roman"/>
          <w:b/>
          <w:color w:val="000000"/>
          <w:sz w:val="20"/>
        </w:rPr>
        <w:t>Item 2. Unregistered</w:t>
      </w:r>
      <w:r>
        <w:rPr>
          <w:rFonts w:ascii="Times New Roman" w:hAnsi="Times New Roman"/>
          <w:color w:val="000000"/>
          <w:sz w:val="20"/>
        </w:rPr>
        <w:t xml:space="preserve"> </w:t>
      </w:r>
      <w:r>
        <w:rPr>
          <w:rFonts w:ascii="Times New Roman" w:hAnsi="Times New Roman"/>
          <w:b/>
          <w:color w:val="000000"/>
          <w:sz w:val="20"/>
        </w:rPr>
        <w:t>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i/>
          <w:color w:val="212529"/>
          <w:sz w:val="20"/>
        </w:rPr>
      </w:pPr>
      <w:r>
        <w:rPr>
          <w:rFonts w:ascii="Times New Roman" w:hAnsi="Times New Roman"/>
          <w:b/>
          <w:i/>
          <w:color w:val="212529"/>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6, 2024, our board of directors authorized the 2024 Share Repurchase Program pursuant to which we could have repurchased up to $50.0 million of shares of our common stock in the open market, in one or more Rule 10b5-1 trading plans, or in negotiated transactions through March 1, 2026. The repurchases were contingent upon favorable market and business conditions and were funded by cash on hand. The program did not obligate us to acquire any specific number of shares. As of September 30, 2026, we repurchased 15,448,533 shares of our common stock for an aggregate of $40.5 million under the 2024 Share Repurchase Program. We did not purchase any shares of common stock during the three months ended September 30, 2026.</w:t>
      </w:r>
    </w:p>
    <w:p>
      <w:pPr>
        <w:pStyle w:val="TextBody"/>
        <w:bidi w:val="0"/>
        <w:spacing w:before="360" w:after="283"/>
        <w:jc w:val="left"/>
        <w:rPr>
          <w:rFonts w:ascii="Times New Roman" w:hAnsi="Times New Roman"/>
          <w:b/>
          <w:color w:val="000000"/>
          <w:sz w:val="20"/>
        </w:rPr>
      </w:pPr>
      <w:bookmarkStart w:id="25" w:name="item_3_defaults_upon_senior_securities"/>
      <w:bookmarkEnd w:id="25"/>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6" w:name="item_4_mine_safety_disclosures"/>
      <w:bookmarkEnd w:id="26"/>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7" w:name="item_5_other_information"/>
      <w:bookmarkEnd w:id="27"/>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10b5-1 Trading Arrangements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our officers (as defined in Rule 16a-1(f) of the Exchange Act) and directors may enter into Rule 10b5-1 or non-Rule 10b5-1 trading arrangements (as each such term is defined in Item 408 of Regulation S-K). During the three and nine months ended September 30, 2026, none of our officers or directors adopted, modified or terminated any such trading arrangements.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rPr>
          <w:rFonts w:ascii="Times New Roman" w:hAnsi="Times New Roman"/>
          <w:b/>
          <w:color w:val="000000"/>
          <w:sz w:val="20"/>
        </w:rPr>
      </w:pPr>
      <w:bookmarkStart w:id="28" w:name="item_6_exhibits"/>
      <w:bookmarkEnd w:id="28"/>
      <w:r>
        <w:rPr>
          <w:rFonts w:ascii="Times New Roman" w:hAnsi="Times New Roman"/>
          <w:b/>
          <w:color w:val="000000"/>
          <w:sz w:val="20"/>
        </w:rPr>
        <w:t>Item 6. Exhibits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documents listed in the Exhibit List, which follows below, are incorporated by reference or are filed with this Quarterly Report on Form 10-Q, in each case as indicated therein (numbered in accordance with Item 601 of Regulation S-K).</w:t>
      </w:r>
    </w:p>
    <w:p>
      <w:pPr>
        <w:pStyle w:val="TextBody"/>
        <w:bidi w:val="0"/>
        <w:spacing w:before="240" w:after="283"/>
        <w:jc w:val="center"/>
        <w:rPr>
          <w:rFonts w:ascii="Times New Roman" w:hAnsi="Times New Roman"/>
          <w:b/>
          <w:color w:val="000000"/>
          <w:sz w:val="20"/>
        </w:rPr>
      </w:pPr>
      <w:bookmarkStart w:id="29" w:name="exhibit_list"/>
      <w:bookmarkEnd w:id="29"/>
      <w:r>
        <w:rPr>
          <w:rFonts w:ascii="Times New Roman" w:hAnsi="Times New Roman"/>
          <w:b/>
          <w:color w:val="000000"/>
          <w:sz w:val="20"/>
        </w:rPr>
        <w:t>EXHIBIT LIST</w:t>
      </w:r>
    </w:p>
    <w:tbl>
      <w:tblPr>
        <w:tblW w:w="10205" w:type="dxa"/>
        <w:jc w:val="left"/>
        <w:tblInd w:w="0" w:type="dxa"/>
        <w:tblLayout w:type="fixed"/>
        <w:tblCellMar>
          <w:top w:w="28" w:type="dxa"/>
          <w:left w:w="28" w:type="dxa"/>
          <w:bottom w:w="28" w:type="dxa"/>
          <w:right w:w="28" w:type="dxa"/>
        </w:tblCellMar>
      </w:tblPr>
      <w:tblGrid>
        <w:gridCol w:w="761"/>
        <w:gridCol w:w="146"/>
        <w:gridCol w:w="5911"/>
        <w:gridCol w:w="146"/>
        <w:gridCol w:w="1143"/>
        <w:gridCol w:w="146"/>
        <w:gridCol w:w="1071"/>
        <w:gridCol w:w="146"/>
        <w:gridCol w:w="735"/>
      </w:tblGrid>
      <w:tr>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5" w:type="dxa"/>
            <w:tcBorders/>
            <w:shd w:fill="FFFFFF" w:val="clear"/>
            <w:vAlign w:val="center"/>
          </w:tcPr>
          <w:p>
            <w:pPr>
              <w:pStyle w:val="TableContents"/>
              <w:bidi w:val="0"/>
              <w:spacing w:before="0" w:after="283"/>
              <w:jc w:val="left"/>
              <w:rPr>
                <w:sz w:val="4"/>
                <w:szCs w:val="4"/>
              </w:rPr>
            </w:pPr>
            <w:r>
              <w:rPr>
                <w:sz w:val="4"/>
                <w:szCs w:val="4"/>
              </w:rPr>
            </w:r>
          </w:p>
        </w:tc>
      </w:tr>
      <w:tr>
        <w:tc>
          <w:tcPr>
            <w:tcW w:w="76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59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114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10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hyperlink r:id="rId3">
              <w:r>
                <w:rPr>
                  <w:rStyle w:val="InternetLink"/>
                  <w:rFonts w:ascii="Times New Roman" w:hAnsi="Times New Roman"/>
                  <w:color w:val="0000FF"/>
                  <w:sz w:val="20"/>
                  <w:u w:val="single"/>
                </w:rPr>
                <w:t>Termination, Waiver and Release Agreement, by and among Illumina, Inc. and Standard BioTools Inc. dated as of July 24, 2026.</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7/28/2026</w:t>
            </w:r>
          </w:p>
        </w:tc>
      </w:tr>
      <w:tr>
        <w:tc>
          <w:tcPr>
            <w:tcW w:w="7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pPr>
            <w:r>
              <w:t> </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hyperlink r:id="rId4">
              <w:r>
                <w:rPr>
                  <w:rStyle w:val="InternetLink"/>
                  <w:rFonts w:ascii="Times New Roman" w:hAnsi="Times New Roman"/>
                  <w:color w:val="0000FF"/>
                  <w:sz w:val="20"/>
                  <w:u w:val="single"/>
                </w:rPr>
                <w:t>Share and Asset Purchase Agreement by and between Standard BioTools Inc and Multiplex Bio Inc., dated July 28, 2026.</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8-K/A</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7/29/2026</w:t>
            </w:r>
          </w:p>
        </w:tc>
      </w:tr>
      <w:tr>
        <w:tc>
          <w:tcPr>
            <w:tcW w:w="7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pPr>
            <w:r>
              <w:t> </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hyperlink r:id="rId5">
              <w:r>
                <w:rPr>
                  <w:rStyle w:val="InternetLink"/>
                  <w:rFonts w:ascii="Times New Roman" w:hAnsi="Times New Roman"/>
                  <w:color w:val="0000FF"/>
                  <w:sz w:val="20"/>
                  <w:u w:val="single"/>
                </w:rPr>
                <w:t>Share and Asset Purchase Agreement, by and between Standard BioTools Inc. and Element Biosystems, LLC, dated as of September 30, 2026.</w:t>
              </w:r>
            </w:hyperlink>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9/30/2026</w:t>
            </w:r>
          </w:p>
        </w:tc>
      </w:tr>
      <w:tr>
        <w:tc>
          <w:tcPr>
            <w:tcW w:w="7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pPr>
            <w:r>
              <w:t> </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Eighth Amended and Restated Certificate of Incorporation filed on February 15, 2011.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3/28/2011</w:t>
            </w:r>
          </w:p>
        </w:tc>
      </w:tr>
      <w:tr>
        <w:tc>
          <w:tcPr>
            <w:tcW w:w="7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pPr>
            <w:r>
              <w:t> </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Amended and Restated Bylaws of Standard BioTools Inc.</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c>
          <w:tcPr>
            <w:tcW w:w="7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pPr>
            <w:r>
              <w:t> </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Certificate of Amendment to the Eighth Amended and Restated Certificate of Incorporation.</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c>
          <w:tcPr>
            <w:tcW w:w="7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pPr>
            <w:r>
              <w:t> </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Second Certificate of Amendment to the Eighth Amended and Restated Certificate of Incorporation, as amended.</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1/5/2024</w:t>
            </w:r>
          </w:p>
        </w:tc>
      </w:tr>
      <w:tr>
        <w:tc>
          <w:tcPr>
            <w:tcW w:w="7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center"/>
            </w:pPr>
            <w:r>
              <w:t> </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Pursuant to Rule 13a-14(a)/15d-14(a), as Adopted Pursuant to Section 302 of the Sarbanes-Oxley Act of 2002 of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left"/>
            </w:pPr>
            <w:r>
              <w:t> </w:t>
            </w:r>
          </w:p>
        </w:tc>
      </w:tr>
      <w:tr>
        <w:tc>
          <w:tcPr>
            <w:tcW w:w="7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left"/>
            </w:pPr>
            <w:r>
              <w:t> </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Pursuant to Rule 13a-14(a)/15d-14(a), as Adopted Pursuant to Section 302 of the Sarbanes-Oxley Act of 2002 of 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left"/>
            </w:pPr>
            <w:r>
              <w:t> </w:t>
            </w:r>
          </w:p>
        </w:tc>
      </w:tr>
      <w:tr>
        <w:tc>
          <w:tcPr>
            <w:tcW w:w="7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left"/>
            </w:pPr>
            <w:r>
              <w:t> </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Pursuant to 18 U.S.C. Section 1350, as Adopted Pursuant to Section 906 of the Sarbanes-Oxley Act of 2002 of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left"/>
            </w:pPr>
            <w:r>
              <w:t> </w:t>
            </w:r>
          </w:p>
        </w:tc>
      </w:tr>
      <w:tr>
        <w:tc>
          <w:tcPr>
            <w:tcW w:w="7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left"/>
            </w:pPr>
            <w:r>
              <w:t> </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Certification Pursuant to 18 U.S.C. Section 1350, as Adopted Pursuant to Section 906 of the Sarbanes-Oxley Act of 2002 of 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left"/>
            </w:pPr>
            <w:r>
              <w:t> </w:t>
            </w:r>
          </w:p>
        </w:tc>
      </w:tr>
      <w:tr>
        <w:tc>
          <w:tcPr>
            <w:tcW w:w="7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left"/>
            </w:pPr>
            <w:r>
              <w:t> </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left"/>
            </w:pPr>
            <w:r>
              <w:t> </w:t>
            </w:r>
          </w:p>
        </w:tc>
      </w:tr>
      <w:tr>
        <w:tc>
          <w:tcPr>
            <w:tcW w:w="7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left"/>
            </w:pPr>
            <w:r>
              <w:t> </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left"/>
            </w:pPr>
            <w:r>
              <w:t> </w:t>
            </w:r>
          </w:p>
        </w:tc>
      </w:tr>
      <w:tr>
        <w:tc>
          <w:tcPr>
            <w:tcW w:w="7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left"/>
            </w:pPr>
            <w:r>
              <w:t> </w:t>
            </w:r>
          </w:p>
        </w:tc>
      </w:tr>
      <w:t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7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735"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 Certain schedules and attachments have been omitted pursuant to Item 601(a)(5) of Regulation S-K. The Registrant agrees to provide, on a supplemental basis, a copy of any omitted schedules and attachments to the Securities and Exchange Commission or its staff upon request.</w:t>
      </w:r>
    </w:p>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 Portions of this exhibit have been omitted pursuant to Item 601(b)(10)(iv) of Regulation S-K because they are both (i) not material and (ii) are the type of information the Registrant customarily and actually treats as private or confidential.</w:t>
      </w:r>
    </w:p>
    <w:p>
      <w:pPr>
        <w:pStyle w:val="TextBody"/>
        <w:bidi w:val="0"/>
        <w:jc w:val="left"/>
      </w:pPr>
      <w:r>
        <w:t> </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left"/>
      </w:pPr>
      <w:r>
        <w:t> </w:t>
      </w:r>
    </w:p>
    <w:p>
      <w:pPr>
        <w:pStyle w:val="TextBody"/>
        <w:bidi w:val="0"/>
        <w:jc w:val="left"/>
      </w:pPr>
      <w:r>
        <w:t> </w:t>
      </w:r>
    </w:p>
    <w:p>
      <w:pPr>
        <w:pStyle w:val="TextBody"/>
        <w:bidi w:val="0"/>
        <w:jc w:val="left"/>
        <w:rPr>
          <w:rFonts w:ascii="Times New Roman" w:hAnsi="Times New Roman"/>
          <w:color w:val="000000"/>
          <w:sz w:val="18"/>
        </w:rPr>
      </w:pPr>
      <w:r>
        <w:rPr>
          <w:rFonts w:ascii="Times New Roman" w:hAnsi="Times New Roman"/>
          <w:color w:val="000000"/>
          <w:sz w:val="18"/>
        </w:rPr>
        <w:t>~ In accordance with Item 601(b)(32)(ii) of Regulation S-K and SEC Release No.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them by reference.</w:t>
      </w:r>
    </w:p>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pPr>
      <w:r/>
    </w:p>
    <w:p>
      <w:pPr>
        <w:pStyle w:val="TextBody"/>
        <w:bidi w:val="0"/>
        <w:spacing w:before="180" w:after="283"/>
        <w:jc w:val="left"/>
      </w:pPr>
      <w:r>
        <w:t> </w:t>
      </w:r>
    </w:p>
    <w:p>
      <w:pPr>
        <w:pStyle w:val="TextBody"/>
        <w:bidi w:val="0"/>
        <w:jc w:val="center"/>
        <w:rPr>
          <w:rFonts w:ascii="Times New Roman" w:hAnsi="Times New Roman"/>
          <w:b/>
          <w:color w:val="000000"/>
          <w:sz w:val="20"/>
        </w:rPr>
      </w:pPr>
      <w:bookmarkStart w:id="30" w:name="signatures"/>
      <w:bookmarkEnd w:id="3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pPr>
      <w:r>
        <w:t> </w:t>
      </w:r>
    </w:p>
    <w:tbl>
      <w:tblPr>
        <w:tblW w:w="6524" w:type="dxa"/>
        <w:jc w:val="left"/>
        <w:tblInd w:w="0" w:type="dxa"/>
        <w:tblLayout w:type="fixed"/>
        <w:tblCellMar>
          <w:top w:w="28" w:type="dxa"/>
          <w:left w:w="28" w:type="dxa"/>
          <w:bottom w:w="28" w:type="dxa"/>
          <w:right w:w="28" w:type="dxa"/>
        </w:tblCellMar>
      </w:tblPr>
      <w:tblGrid>
        <w:gridCol w:w="2206"/>
        <w:gridCol w:w="406"/>
        <w:gridCol w:w="146"/>
        <w:gridCol w:w="3766"/>
      </w:tblGrid>
      <w:tr>
        <w:tc>
          <w:tcPr>
            <w:tcW w:w="22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43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INC.</w:t>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pPr>
            <w:r>
              <w:t> </w:t>
            </w:r>
          </w:p>
        </w:tc>
      </w:tr>
      <w:tr>
        <w:tc>
          <w:tcPr>
            <w:tcW w:w="22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Dated: November 3, 2026</w:t>
            </w:r>
          </w:p>
        </w:tc>
        <w:tc>
          <w:tcPr>
            <w:tcW w:w="4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Michael Egholm, Ph.D.</w:t>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pPr>
            <w:r>
              <w:t> </w:t>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pPr>
            <w:r>
              <w:t> </w:t>
            </w:r>
          </w:p>
        </w:tc>
      </w:tr>
      <w:tr>
        <w:tc>
          <w:tcPr>
            <w:tcW w:w="22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Dated: November 3, 2026</w:t>
            </w:r>
          </w:p>
        </w:tc>
        <w:tc>
          <w:tcPr>
            <w:tcW w:w="4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Alex Kim</w:t>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c>
          <w:tcPr>
            <w:tcW w:w="220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pPr>
      <w: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pPr>
      <w:r/>
    </w:p>
    <w:p>
      <w:pPr>
        <w:pStyle w:val="TextBody"/>
        <w:bidi w:val="0"/>
        <w:jc w:val="left"/>
      </w:pPr>
      <w:bookmarkStart w:id="31" w:name="lab-ex31_1.htm"/>
      <w:bookmarkStart w:id="32" w:name="kslabex31_1"/>
      <w:bookmarkEnd w:id="31"/>
      <w:bookmarkEnd w:id="32"/>
      <w:r>
        <w:t> </w:t>
      </w:r>
      <w:r>
        <w:br w:type="page"/>
      </w:r>
    </w:p>
    <w:p>
      <w:pPr>
        <w:pStyle w:val="TextBody"/>
        <w:bidi w:val="0"/>
        <w:jc w:val="right"/>
        <w:rPr>
          <w:rFonts w:ascii="Times New Roman" w:hAnsi="Times New Roman"/>
          <w:b/>
          <w:color w:val="000000"/>
          <w:sz w:val="20"/>
        </w:rPr>
      </w:pPr>
      <w:bookmarkStart w:id="33" w:name="section1"/>
      <w:bookmarkEnd w:id="33"/>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PRESIDENT AND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Egholm, Ph.D.,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Standard BioTools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pPr>
      <w:r>
        <w:t> </w:t>
      </w:r>
    </w:p>
    <w:tbl>
      <w:tblPr>
        <w:tblW w:w="5827" w:type="dxa"/>
        <w:jc w:val="left"/>
        <w:tblInd w:w="0" w:type="dxa"/>
        <w:tblLayout w:type="fixed"/>
        <w:tblCellMar>
          <w:top w:w="28" w:type="dxa"/>
          <w:left w:w="28" w:type="dxa"/>
          <w:bottom w:w="28" w:type="dxa"/>
          <w:right w:w="28" w:type="dxa"/>
        </w:tblCellMar>
      </w:tblPr>
      <w:tblGrid>
        <w:gridCol w:w="2101"/>
        <w:gridCol w:w="109"/>
        <w:gridCol w:w="406"/>
        <w:gridCol w:w="3211"/>
      </w:tblGrid>
      <w:t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 Ph.D.</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bookmarkStart w:id="34" w:name="lab-ex31_2.htm"/>
      <w:bookmarkStart w:id="35" w:name="kslabex31_2"/>
      <w:bookmarkEnd w:id="34"/>
      <w:bookmarkEnd w:id="35"/>
      <w: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Alex Kim,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Standard BioTools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419" w:type="dxa"/>
        <w:jc w:val="left"/>
        <w:tblInd w:w="0" w:type="dxa"/>
        <w:tblLayout w:type="fixed"/>
        <w:tblCellMar>
          <w:top w:w="28" w:type="dxa"/>
          <w:left w:w="28" w:type="dxa"/>
          <w:bottom w:w="28" w:type="dxa"/>
          <w:right w:w="28" w:type="dxa"/>
        </w:tblCellMar>
      </w:tblPr>
      <w:tblGrid>
        <w:gridCol w:w="2101"/>
        <w:gridCol w:w="146"/>
        <w:gridCol w:w="406"/>
        <w:gridCol w:w="3766"/>
      </w:tblGrid>
      <w:t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pPr>
            <w: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bookmarkStart w:id="36" w:name="lab-ex32_1.htm"/>
      <w:bookmarkStart w:id="37" w:name="kslabex32_1"/>
      <w:bookmarkEnd w:id="36"/>
      <w:bookmarkEnd w:id="37"/>
      <w:r>
        <w:t> </w:t>
      </w:r>
      <w:r>
        <w:br w:type="page"/>
      </w:r>
    </w:p>
    <w:p>
      <w:pPr>
        <w:pStyle w:val="TextBody"/>
        <w:bidi w:val="0"/>
        <w:jc w:val="right"/>
        <w:rPr>
          <w:rFonts w:ascii="Times New Roman" w:hAnsi="Times New Roman"/>
          <w:b/>
          <w:color w:val="000000"/>
          <w:sz w:val="20"/>
        </w:rPr>
      </w:pPr>
      <w:bookmarkStart w:id="38" w:name="section11"/>
      <w:bookmarkEnd w:id="38"/>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Egholm, Ph.D., the Chief Executive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September 30, 2026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pPr>
      <w:r>
        <w:t> </w:t>
      </w:r>
    </w:p>
    <w:tbl>
      <w:tblPr>
        <w:tblW w:w="5718" w:type="dxa"/>
        <w:jc w:val="left"/>
        <w:tblInd w:w="0" w:type="dxa"/>
        <w:tblLayout w:type="fixed"/>
        <w:tblCellMar>
          <w:top w:w="28" w:type="dxa"/>
          <w:left w:w="28" w:type="dxa"/>
          <w:bottom w:w="28" w:type="dxa"/>
          <w:right w:w="28" w:type="dxa"/>
        </w:tblCellMar>
      </w:tblPr>
      <w:tblGrid>
        <w:gridCol w:w="2101"/>
        <w:gridCol w:w="406"/>
        <w:gridCol w:w="3211"/>
      </w:tblGrid>
      <w:t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 Ph.D.</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pPr>
      <w:r>
        <w:t> </w:t>
      </w:r>
    </w:p>
    <w:p>
      <w:pPr>
        <w:pStyle w:val="TextBody"/>
        <w:bidi w:val="0"/>
        <w:jc w:val="center"/>
      </w:pPr>
      <w:r>
        <w:t> </w:t>
      </w:r>
    </w:p>
    <w:p>
      <w:pPr>
        <w:pStyle w:val="HorizontalLine"/>
        <w:pBdr>
          <w:bottom w:val="double" w:sz="2" w:space="0" w:color="808080"/>
        </w:pBdr>
        <w:bidi w:val="0"/>
        <w:spacing w:before="0" w:after="283"/>
        <w:jc w:val="left"/>
      </w:pPr>
      <w:r/>
    </w:p>
    <w:p>
      <w:pPr>
        <w:pStyle w:val="TextBody"/>
        <w:bidi w:val="0"/>
        <w:jc w:val="left"/>
      </w:pPr>
      <w:bookmarkStart w:id="39" w:name="lab-ex32_2.htm"/>
      <w:bookmarkStart w:id="40" w:name="kslabex32_2"/>
      <w:bookmarkEnd w:id="39"/>
      <w:bookmarkEnd w:id="40"/>
      <w:r>
        <w:t> </w:t>
      </w:r>
      <w:r>
        <w:br w:type="page"/>
      </w:r>
    </w:p>
    <w:p>
      <w:pPr>
        <w:pStyle w:val="TextBody"/>
        <w:bidi w:val="0"/>
        <w:jc w:val="right"/>
        <w:rPr>
          <w:rFonts w:ascii="Times New Roman" w:hAnsi="Times New Roman"/>
          <w:b/>
          <w:color w:val="000000"/>
          <w:sz w:val="20"/>
        </w:rPr>
      </w:pPr>
      <w:bookmarkStart w:id="41" w:name="section12"/>
      <w:bookmarkEnd w:id="41"/>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Alex Kim, the Chief Financial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September 30, 2026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pPr>
      <w:r>
        <w:t> </w:t>
      </w:r>
    </w:p>
    <w:tbl>
      <w:tblPr>
        <w:tblW w:w="6273" w:type="dxa"/>
        <w:jc w:val="left"/>
        <w:tblInd w:w="0" w:type="dxa"/>
        <w:tblLayout w:type="fixed"/>
        <w:tblCellMar>
          <w:top w:w="28" w:type="dxa"/>
          <w:left w:w="28" w:type="dxa"/>
          <w:bottom w:w="28" w:type="dxa"/>
          <w:right w:w="28" w:type="dxa"/>
        </w:tblCellMar>
      </w:tblPr>
      <w:tblGrid>
        <w:gridCol w:w="2101"/>
        <w:gridCol w:w="406"/>
        <w:gridCol w:w="3766"/>
      </w:tblGrid>
      <w:t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3,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pPr>
      <w:r>
        <w:t> </w:t>
      </w:r>
    </w:p>
    <w:p>
      <w:pPr>
        <w:pStyle w:val="TextBody"/>
        <w:bidi w:val="0"/>
        <w:jc w:val="center"/>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62194/000114036126029841/ef20078901_ex2-1.htm" TargetMode="External"/><Relationship Id="rId4" Type="http://schemas.openxmlformats.org/officeDocument/2006/relationships/hyperlink" Target="https://www.sec.gov/Archives/edgar/data/0001162194/000114036126029964/ef20078945_ex2-1.htm" TargetMode="External"/><Relationship Id="rId5" Type="http://schemas.openxmlformats.org/officeDocument/2006/relationships/hyperlink" Target="https://www.sec.gov/Archives/edgar/data/1162194/000114036126038110/ef20082995_ex2-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21078</Words>
  <Characters>117323</Characters>
  <CharactersWithSpaces>139982</CharactersWithSpaces>
  <Paragraphs>7159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