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168275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80" w:right="1840" w:hanging="3945"/>
        <w:spacing w:after="0" w:line="328"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214630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236220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410" w:type="dxa"/>
        <w:tblCellMar>
          <w:top w:w="0" w:type="dxa"/>
          <w:left w:w="0" w:type="dxa"/>
          <w:bottom w:w="0" w:type="dxa"/>
          <w:right w:w="0" w:type="dxa"/>
        </w:tblCellMar>
      </w:tblPr>
      <w:tr>
        <w:trPr>
          <w:trHeight w:val="234"/>
        </w:trPr>
        <w:tc>
          <w:tcPr>
            <w:tcW w:w="4560" w:type="dxa"/>
            <w:vAlign w:val="bottom"/>
            <w:gridSpan w:val="4"/>
          </w:tcPr>
          <w:p>
            <w:pPr>
              <w:jc w:val="center"/>
              <w:ind w:left="480"/>
              <w:spacing w:after="0"/>
              <w:rPr>
                <w:sz w:val="20"/>
                <w:szCs w:val="20"/>
                <w:color w:val="auto"/>
              </w:rPr>
            </w:pPr>
            <w:r>
              <w:rPr>
                <w:rFonts w:ascii="Arial" w:cs="Arial" w:eastAsia="Arial" w:hAnsi="Arial"/>
                <w:sz w:val="18"/>
                <w:szCs w:val="18"/>
                <w:b w:val="1"/>
                <w:bCs w:val="1"/>
                <w:color w:val="auto"/>
                <w:w w:val="91"/>
              </w:rPr>
              <w:t>Delaware</w:t>
            </w:r>
          </w:p>
        </w:tc>
        <w:tc>
          <w:tcPr>
            <w:tcW w:w="1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560" w:type="dxa"/>
            <w:vAlign w:val="bottom"/>
            <w:gridSpan w:val="2"/>
          </w:tcPr>
          <w:p>
            <w:pPr>
              <w:jc w:val="right"/>
              <w:ind w:right="2022"/>
              <w:spacing w:after="0"/>
              <w:rPr>
                <w:sz w:val="20"/>
                <w:szCs w:val="20"/>
                <w:color w:val="auto"/>
              </w:rPr>
            </w:pPr>
            <w:r>
              <w:rPr>
                <w:rFonts w:ascii="Arial" w:cs="Arial" w:eastAsia="Arial" w:hAnsi="Arial"/>
                <w:sz w:val="18"/>
                <w:szCs w:val="18"/>
                <w:b w:val="1"/>
                <w:bCs w:val="1"/>
                <w:color w:val="auto"/>
              </w:rPr>
              <w:t>77-0513190</w:t>
            </w:r>
          </w:p>
        </w:tc>
      </w:tr>
      <w:tr>
        <w:trPr>
          <w:trHeight w:val="180"/>
        </w:trPr>
        <w:tc>
          <w:tcPr>
            <w:tcW w:w="4560" w:type="dxa"/>
            <w:vAlign w:val="bottom"/>
            <w:gridSpan w:val="4"/>
          </w:tcPr>
          <w:p>
            <w:pPr>
              <w:jc w:val="center"/>
              <w:ind w:left="480"/>
              <w:spacing w:after="0"/>
              <w:rPr>
                <w:sz w:val="20"/>
                <w:szCs w:val="20"/>
                <w:color w:val="auto"/>
              </w:rPr>
            </w:pPr>
            <w:r>
              <w:rPr>
                <w:rFonts w:ascii="Arial" w:cs="Arial" w:eastAsia="Arial" w:hAnsi="Arial"/>
                <w:sz w:val="14"/>
                <w:szCs w:val="14"/>
                <w:b w:val="1"/>
                <w:bCs w:val="1"/>
                <w:color w:val="auto"/>
                <w:w w:val="93"/>
              </w:rPr>
              <w:t>(State or other jurisdiction of</w:t>
            </w:r>
          </w:p>
        </w:tc>
        <w:tc>
          <w:tcPr>
            <w:tcW w:w="1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40" w:type="dxa"/>
            <w:vAlign w:val="bottom"/>
          </w:tcPr>
          <w:p>
            <w:pPr>
              <w:jc w:val="center"/>
              <w:ind w:right="1742"/>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4560" w:type="dxa"/>
            <w:vAlign w:val="bottom"/>
            <w:gridSpan w:val="4"/>
          </w:tcPr>
          <w:p>
            <w:pPr>
              <w:jc w:val="center"/>
              <w:ind w:left="480"/>
              <w:spacing w:after="0"/>
              <w:rPr>
                <w:sz w:val="20"/>
                <w:szCs w:val="20"/>
                <w:color w:val="auto"/>
              </w:rPr>
            </w:pPr>
            <w:r>
              <w:rPr>
                <w:rFonts w:ascii="Arial" w:cs="Arial" w:eastAsia="Arial" w:hAnsi="Arial"/>
                <w:sz w:val="14"/>
                <w:szCs w:val="14"/>
                <w:b w:val="1"/>
                <w:bCs w:val="1"/>
                <w:color w:val="auto"/>
                <w:w w:val="94"/>
              </w:rPr>
              <w:t>incorporation or organization)</w:t>
            </w:r>
          </w:p>
        </w:tc>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560" w:type="dxa"/>
            <w:vAlign w:val="bottom"/>
            <w:gridSpan w:val="2"/>
          </w:tcPr>
          <w:p>
            <w:pPr>
              <w:jc w:val="center"/>
              <w:ind w:right="1422"/>
              <w:spacing w:after="0"/>
              <w:rPr>
                <w:sz w:val="20"/>
                <w:szCs w:val="20"/>
                <w:color w:val="auto"/>
              </w:rPr>
            </w:pPr>
            <w:r>
              <w:rPr>
                <w:rFonts w:ascii="Arial" w:cs="Arial" w:eastAsia="Arial" w:hAnsi="Arial"/>
                <w:sz w:val="14"/>
                <w:szCs w:val="14"/>
                <w:b w:val="1"/>
                <w:bCs w:val="1"/>
                <w:color w:val="auto"/>
                <w:w w:val="95"/>
              </w:rPr>
              <w:t>Identification Number)</w:t>
            </w:r>
          </w:p>
        </w:tc>
      </w:tr>
      <w:tr>
        <w:trPr>
          <w:trHeight w:val="539"/>
        </w:trPr>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7000 Shoreline Ct, Ste 100,</w:t>
            </w:r>
          </w:p>
        </w:tc>
        <w:tc>
          <w:tcPr>
            <w:tcW w:w="188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South San Francisco,</w:t>
            </w:r>
          </w:p>
        </w:tc>
        <w:tc>
          <w:tcPr>
            <w:tcW w:w="2540" w:type="dxa"/>
            <w:vAlign w:val="bottom"/>
            <w:gridSpan w:val="2"/>
          </w:tcPr>
          <w:p>
            <w:pPr>
              <w:ind w:left="140"/>
              <w:spacing w:after="0"/>
              <w:rPr>
                <w:sz w:val="20"/>
                <w:szCs w:val="20"/>
                <w:color w:val="auto"/>
              </w:rPr>
            </w:pPr>
            <w:r>
              <w:rPr>
                <w:rFonts w:ascii="Arial" w:cs="Arial" w:eastAsia="Arial" w:hAnsi="Arial"/>
                <w:sz w:val="18"/>
                <w:szCs w:val="18"/>
                <w:b w:val="1"/>
                <w:bCs w:val="1"/>
                <w:color w:val="auto"/>
              </w:rPr>
              <w:t>CA</w:t>
            </w:r>
          </w:p>
        </w:tc>
        <w:tc>
          <w:tcPr>
            <w:tcW w:w="3560" w:type="dxa"/>
            <w:vAlign w:val="bottom"/>
            <w:gridSpan w:val="2"/>
          </w:tcPr>
          <w:p>
            <w:pPr>
              <w:jc w:val="right"/>
              <w:ind w:right="2222"/>
              <w:spacing w:after="0"/>
              <w:rPr>
                <w:sz w:val="20"/>
                <w:szCs w:val="20"/>
                <w:color w:val="auto"/>
              </w:rPr>
            </w:pPr>
            <w:r>
              <w:rPr>
                <w:rFonts w:ascii="Arial" w:cs="Arial" w:eastAsia="Arial" w:hAnsi="Arial"/>
                <w:sz w:val="18"/>
                <w:szCs w:val="18"/>
                <w:b w:val="1"/>
                <w:bCs w:val="1"/>
                <w:color w:val="auto"/>
              </w:rPr>
              <w:t>94080</w:t>
            </w:r>
          </w:p>
        </w:tc>
      </w:tr>
      <w:tr>
        <w:trPr>
          <w:trHeight w:val="285"/>
        </w:trPr>
        <w:tc>
          <w:tcPr>
            <w:tcW w:w="4560" w:type="dxa"/>
            <w:vAlign w:val="bottom"/>
            <w:gridSpan w:val="4"/>
          </w:tcPr>
          <w:p>
            <w:pPr>
              <w:jc w:val="center"/>
              <w:ind w:left="4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Pr>
          <w:p>
            <w:pPr>
              <w:jc w:val="center"/>
              <w:ind w:right="1742"/>
              <w:spacing w:after="0"/>
              <w:rPr>
                <w:sz w:val="20"/>
                <w:szCs w:val="20"/>
                <w:color w:val="auto"/>
              </w:rPr>
            </w:pPr>
            <w:r>
              <w:rPr>
                <w:rFonts w:ascii="Arial" w:cs="Arial" w:eastAsia="Arial" w:hAnsi="Arial"/>
                <w:sz w:val="14"/>
                <w:szCs w:val="14"/>
                <w:b w:val="1"/>
                <w:bCs w:val="1"/>
                <w:color w:val="auto"/>
                <w:w w:val="95"/>
              </w:rPr>
              <w:t>(Zip Code)</w:t>
            </w:r>
          </w:p>
        </w:tc>
      </w:tr>
      <w:tr>
        <w:trPr>
          <w:trHeight w:val="421"/>
        </w:trPr>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jc w:val="center"/>
              <w:ind w:right="254"/>
              <w:spacing w:after="0"/>
              <w:rPr>
                <w:sz w:val="20"/>
                <w:szCs w:val="20"/>
                <w:color w:val="auto"/>
              </w:rPr>
            </w:pPr>
            <w:r>
              <w:rPr>
                <w:rFonts w:ascii="Arial" w:cs="Arial" w:eastAsia="Arial" w:hAnsi="Arial"/>
                <w:sz w:val="18"/>
                <w:szCs w:val="18"/>
                <w:b w:val="1"/>
                <w:bCs w:val="1"/>
                <w:color w:val="auto"/>
                <w:w w:val="90"/>
              </w:rPr>
              <w:t>(650) 266-6000</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186"/>
        </w:trPr>
        <w:tc>
          <w:tcPr>
            <w:tcW w:w="2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2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55"/>
        </w:trPr>
        <w:tc>
          <w:tcPr>
            <w:tcW w:w="3220" w:type="dxa"/>
            <w:vAlign w:val="bottom"/>
            <w:gridSpan w:val="2"/>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240" w:type="dxa"/>
            <w:vAlign w:val="bottom"/>
          </w:tcPr>
          <w:p>
            <w:pPr>
              <w:spacing w:after="0"/>
              <w:rPr>
                <w:sz w:val="22"/>
                <w:szCs w:val="22"/>
                <w:color w:val="auto"/>
              </w:rPr>
            </w:pPr>
          </w:p>
        </w:tc>
      </w:tr>
      <w:tr>
        <w:trPr>
          <w:trHeight w:val="568"/>
        </w:trPr>
        <w:tc>
          <w:tcPr>
            <w:tcW w:w="4560" w:type="dxa"/>
            <w:vAlign w:val="bottom"/>
            <w:gridSpan w:val="4"/>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2"/>
          </w:tcPr>
          <w:p>
            <w:pPr>
              <w:spacing w:after="0"/>
              <w:rPr>
                <w:sz w:val="2"/>
                <w:szCs w:val="2"/>
                <w:color w:val="auto"/>
              </w:rPr>
            </w:pPr>
          </w:p>
        </w:tc>
      </w:tr>
      <w:tr>
        <w:trPr>
          <w:trHeight w:val="258"/>
        </w:trPr>
        <w:tc>
          <w:tcPr>
            <w:tcW w:w="2680" w:type="dxa"/>
            <w:vAlign w:val="bottom"/>
            <w:tcBorders>
              <w:left w:val="single" w:sz="8" w:color="auto"/>
              <w:bottom w:val="single" w:sz="8" w:color="auto"/>
            </w:tcBorders>
          </w:tcPr>
          <w:p>
            <w:pPr>
              <w:ind w:left="1480"/>
              <w:spacing w:after="0"/>
              <w:rPr>
                <w:sz w:val="20"/>
                <w:szCs w:val="20"/>
                <w:color w:val="auto"/>
              </w:rPr>
            </w:pPr>
            <w:r>
              <w:rPr>
                <w:rFonts w:ascii="Arial" w:cs="Arial" w:eastAsia="Arial" w:hAnsi="Arial"/>
                <w:sz w:val="14"/>
                <w:szCs w:val="14"/>
                <w:b w:val="1"/>
                <w:bCs w:val="1"/>
                <w:color w:val="auto"/>
                <w:w w:val="97"/>
              </w:rPr>
              <w:t>Title of each class</w:t>
            </w: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2"/>
              </w:rPr>
              <w:t>Trading Symbol(s)</w:t>
            </w:r>
          </w:p>
        </w:tc>
        <w:tc>
          <w:tcPr>
            <w:tcW w:w="680" w:type="dxa"/>
            <w:vAlign w:val="bottom"/>
            <w:tcBorders>
              <w:bottom w:val="single" w:sz="8" w:color="auto"/>
            </w:tcBorders>
          </w:tcPr>
          <w:p>
            <w:pPr>
              <w:spacing w:after="0"/>
              <w:rPr>
                <w:sz w:val="22"/>
                <w:szCs w:val="22"/>
                <w:color w:val="auto"/>
              </w:rPr>
            </w:pPr>
          </w:p>
        </w:tc>
        <w:tc>
          <w:tcPr>
            <w:tcW w:w="3560" w:type="dxa"/>
            <w:vAlign w:val="bottom"/>
            <w:tcBorders>
              <w:bottom w:val="single" w:sz="8" w:color="auto"/>
              <w:right w:val="single" w:sz="8" w:color="auto"/>
            </w:tcBorders>
            <w:gridSpan w:val="2"/>
          </w:tcPr>
          <w:p>
            <w:pPr>
              <w:jc w:val="center"/>
              <w:ind w:right="44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4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Common Stock, par value $0.001 per share</w:t>
            </w:r>
          </w:p>
        </w:tc>
        <w:tc>
          <w:tcPr>
            <w:tcW w:w="280" w:type="dxa"/>
            <w:vAlign w:val="bottom"/>
          </w:tcPr>
          <w:p>
            <w:pPr>
              <w:spacing w:after="0"/>
              <w:rPr>
                <w:sz w:val="21"/>
                <w:szCs w:val="21"/>
                <w:color w:val="auto"/>
              </w:rPr>
            </w:pPr>
          </w:p>
        </w:tc>
        <w:tc>
          <w:tcPr>
            <w:tcW w:w="1860" w:type="dxa"/>
            <w:vAlign w:val="bottom"/>
            <w:tcBorders>
              <w:right w:val="single" w:sz="8" w:color="auto"/>
            </w:tcBorders>
          </w:tcPr>
          <w:p>
            <w:pPr>
              <w:jc w:val="center"/>
              <w:ind w:right="234"/>
              <w:spacing w:after="0"/>
              <w:rPr>
                <w:sz w:val="20"/>
                <w:szCs w:val="20"/>
                <w:color w:val="auto"/>
              </w:rPr>
            </w:pPr>
            <w:r>
              <w:rPr>
                <w:rFonts w:ascii="Arial" w:cs="Arial" w:eastAsia="Arial" w:hAnsi="Arial"/>
                <w:sz w:val="18"/>
                <w:szCs w:val="18"/>
                <w:b w:val="1"/>
                <w:bCs w:val="1"/>
                <w:color w:val="auto"/>
              </w:rPr>
              <w:t>FLDM</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40" w:type="dxa"/>
            <w:vAlign w:val="bottom"/>
            <w:tcBorders>
              <w:right w:val="single" w:sz="8" w:color="auto"/>
            </w:tcBorders>
          </w:tcPr>
          <w:p>
            <w:pPr>
              <w:jc w:val="center"/>
              <w:ind w:right="782"/>
              <w:spacing w:after="0"/>
              <w:rPr>
                <w:sz w:val="20"/>
                <w:szCs w:val="20"/>
                <w:color w:val="auto"/>
              </w:rPr>
            </w:pPr>
            <w:r>
              <w:rPr>
                <w:rFonts w:ascii="Arial" w:cs="Arial" w:eastAsia="Arial" w:hAnsi="Arial"/>
                <w:sz w:val="18"/>
                <w:szCs w:val="18"/>
                <w:b w:val="1"/>
                <w:bCs w:val="1"/>
                <w:color w:val="auto"/>
                <w:w w:val="91"/>
              </w:rPr>
              <w:t>Nasdaq Global Select Market</w:t>
            </w:r>
          </w:p>
        </w:tc>
      </w:tr>
      <w:tr>
        <w:trPr>
          <w:trHeight w:val="27"/>
        </w:trPr>
        <w:tc>
          <w:tcPr>
            <w:tcW w:w="26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1220" w:type="dxa"/>
        <w:tblCellMar>
          <w:top w:w="0" w:type="dxa"/>
          <w:left w:w="0" w:type="dxa"/>
          <w:bottom w:w="0" w:type="dxa"/>
          <w:right w:w="0" w:type="dxa"/>
        </w:tblCellMar>
      </w:tblP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01"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12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2019, there were 69,403,581 shares of the Registrant’s common stock, $0.001 par value per share, outstanding.</w:t>
      </w:r>
    </w:p>
    <w:p>
      <w:pPr>
        <w:sectPr>
          <w:pgSz w:w="11900" w:h="16838" w:orient="portrait"/>
          <w:cols w:equalWidth="0" w:num="1">
            <w:col w:w="11380"/>
          </w:cols>
          <w:pgMar w:left="240" w:top="738" w:right="279" w:bottom="1440" w:gutter="0" w:footer="0" w:header="0"/>
        </w:sect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738" w:right="27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Page</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Borders>
              <w:bottom w:val="single" w:sz="8" w:color="0000FF"/>
            </w:tcBorders>
            <w:gridSpan w:val="5"/>
          </w:tcPr>
          <w:p>
            <w:pPr>
              <w:jc w:val="cente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334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9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24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9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2019 and December 31, 2018</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920" w:type="dxa"/>
            <w:vAlign w:val="bottom"/>
            <w:gridSpan w:val="18"/>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for the three and six months ended June 30, 2019 and 2018</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920" w:type="dxa"/>
            <w:vAlign w:val="bottom"/>
            <w:gridSpan w:val="18"/>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Loss for the three and six months ended June 30, 2019 and 2018</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660" w:type="dxa"/>
            <w:vAlign w:val="bottom"/>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Stockholders' Equity for the three and six months ended June 30, 2019 and 2018</w:t>
              </w:r>
            </w:hyperlink>
          </w:p>
        </w:tc>
        <w:tc>
          <w:tcPr>
            <w:tcW w:w="260" w:type="dxa"/>
            <w:vAlign w:val="bottom"/>
          </w:tcPr>
          <w:p>
            <w:pPr>
              <w:spacing w:after="0"/>
              <w:rPr>
                <w:sz w:val="24"/>
                <w:szCs w:val="24"/>
                <w:color w:val="auto"/>
              </w:rPr>
            </w:pPr>
          </w:p>
        </w:tc>
        <w:tc>
          <w:tcPr>
            <w:tcW w:w="1240" w:type="dxa"/>
            <w:vAlign w:val="bottom"/>
            <w:gridSpan w:val="4"/>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000" w:type="dxa"/>
            <w:vAlign w:val="bottom"/>
          </w:tcPr>
          <w:p>
            <w:pPr>
              <w:spacing w:after="0"/>
              <w:rPr>
                <w:sz w:val="24"/>
                <w:szCs w:val="24"/>
                <w:color w:val="auto"/>
              </w:rPr>
            </w:pPr>
          </w:p>
        </w:tc>
        <w:tc>
          <w:tcPr>
            <w:tcW w:w="866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June 30, 2019 and 2018</w:t>
              </w:r>
            </w:hyperlink>
          </w:p>
        </w:tc>
        <w:tc>
          <w:tcPr>
            <w:tcW w:w="260" w:type="dxa"/>
            <w:vAlign w:val="bottom"/>
          </w:tcPr>
          <w:p>
            <w:pPr>
              <w:spacing w:after="0"/>
              <w:rPr>
                <w:sz w:val="24"/>
                <w:szCs w:val="24"/>
                <w:color w:val="auto"/>
              </w:rPr>
            </w:pPr>
          </w:p>
        </w:tc>
        <w:tc>
          <w:tcPr>
            <w:tcW w:w="1240" w:type="dxa"/>
            <w:vAlign w:val="bottom"/>
            <w:gridSpan w:val="4"/>
          </w:tcPr>
          <w:p>
            <w:pPr>
              <w:jc w:val="right"/>
              <w:ind w:right="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730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620" w:type="dxa"/>
            <w:vAlign w:val="bottom"/>
            <w:gridSpan w:val="3"/>
          </w:tcPr>
          <w:p>
            <w:pPr>
              <w:spacing w:after="0"/>
              <w:rPr>
                <w:sz w:val="24"/>
                <w:szCs w:val="24"/>
                <w:color w:val="auto"/>
              </w:rPr>
            </w:pPr>
          </w:p>
        </w:tc>
        <w:tc>
          <w:tcPr>
            <w:tcW w:w="1240" w:type="dxa"/>
            <w:vAlign w:val="bottom"/>
            <w:gridSpan w:val="4"/>
          </w:tcPr>
          <w:p>
            <w:pPr>
              <w:jc w:val="right"/>
              <w:ind w:right="4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920" w:type="dxa"/>
            <w:vAlign w:val="bottom"/>
            <w:gridSpan w:val="18"/>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1240" w:type="dxa"/>
            <w:vAlign w:val="bottom"/>
            <w:gridSpan w:val="4"/>
          </w:tcPr>
          <w:p>
            <w:pPr>
              <w:jc w:val="right"/>
              <w:ind w:right="40"/>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Quantitative and Qualitative Disclosures About Market Risk</w:t>
              </w:r>
            </w:hyperlink>
          </w:p>
        </w:tc>
        <w:tc>
          <w:tcPr>
            <w:tcW w:w="2460" w:type="dxa"/>
            <w:vAlign w:val="bottom"/>
            <w:gridSpan w:val="4"/>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0"/>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4560" w:type="dxa"/>
            <w:vAlign w:val="bottom"/>
            <w:gridSpan w:val="8"/>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33</w:t>
              </w:r>
            </w:hyperlink>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Borders>
              <w:bottom w:val="single" w:sz="8" w:color="0000FF"/>
            </w:tcBorders>
            <w:gridSpan w:val="3"/>
          </w:tcPr>
          <w:p>
            <w:pPr>
              <w:jc w:val="center"/>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OTHER INFORMATION</w:t>
              </w:r>
            </w:hyperlink>
          </w:p>
        </w:tc>
        <w:tc>
          <w:tcPr>
            <w:tcW w:w="3520" w:type="dxa"/>
            <w:vAlign w:val="bottom"/>
            <w:gridSpan w:val="7"/>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92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240" w:type="dxa"/>
            <w:vAlign w:val="bottom"/>
            <w:gridSpan w:val="4"/>
          </w:tcPr>
          <w:p>
            <w:pPr>
              <w:jc w:val="right"/>
              <w:ind w:right="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0" w:type="dxa"/>
            <w:vAlign w:val="bottom"/>
            <w:tcBorders>
              <w:left w:val="single" w:sz="8" w:color="0000FF"/>
            </w:tcBorders>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400" w:type="dxa"/>
            <w:vAlign w:val="bottom"/>
          </w:tcPr>
          <w:p>
            <w:pPr>
              <w:spacing w:after="0"/>
              <w:rPr>
                <w:sz w:val="24"/>
                <w:szCs w:val="24"/>
                <w:color w:val="auto"/>
              </w:rPr>
            </w:pPr>
          </w:p>
        </w:tc>
        <w:tc>
          <w:tcPr>
            <w:tcW w:w="7600" w:type="dxa"/>
            <w:vAlign w:val="bottom"/>
            <w:gridSpan w:val="14"/>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920" w:type="dxa"/>
            <w:vAlign w:val="bottom"/>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60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7600" w:type="dxa"/>
            <w:vAlign w:val="bottom"/>
            <w:gridSpan w:val="14"/>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32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SIGNATURES</w:t>
              </w:r>
            </w:hyperlink>
          </w:p>
        </w:tc>
        <w:tc>
          <w:tcPr>
            <w:tcW w:w="8820" w:type="dxa"/>
            <w:vAlign w:val="bottom"/>
            <w:gridSpan w:val="17"/>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8820" w:type="dxa"/>
            <w:vAlign w:val="bottom"/>
            <w:gridSpan w:val="1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EXHIBIT LIST</w:t>
              </w:r>
            </w:hyperlink>
          </w:p>
        </w:tc>
        <w:tc>
          <w:tcPr>
            <w:tcW w:w="8820" w:type="dxa"/>
            <w:vAlign w:val="bottom"/>
            <w:gridSpan w:val="17"/>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54</w:t>
              </w:r>
            </w:hyperlink>
          </w:p>
        </w:tc>
      </w:tr>
      <w:tr>
        <w:trPr>
          <w:trHeight w:val="20"/>
        </w:trPr>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160"/>
          </w:cols>
          <w:pgMar w:left="280" w:top="58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24,046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95,401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 (net of allowances of $45 at June 30, 2019 and $126 at December 31, 2018)</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16,651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303,647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 current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11,972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37,582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49,833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172,058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231,531</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1"/>
              </w:rPr>
              <w:t>Preferred stock, $0.001 par value, 10,000 shares authorized, no shares issued and outstanding at June 30, 2019</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and December 31, 2018</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$0.001 par value, 200,000 shares authorized at June 30, 2019 and December 31, 2018; 69,400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49,338 shares issued and outstanding as of June 30, 2019 and December 31, 2018,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771,263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631,605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(558,851)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72,116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283,793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303,647</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820"/>
              <w:spacing w:after="0"/>
              <w:rPr>
                <w:sz w:val="20"/>
                <w:szCs w:val="20"/>
                <w:color w:val="auto"/>
              </w:rPr>
            </w:pPr>
            <w:r>
              <w:rPr>
                <w:rFonts w:ascii="Arial" w:cs="Arial" w:eastAsia="Arial" w:hAnsi="Arial"/>
                <w:sz w:val="18"/>
                <w:szCs w:val="18"/>
                <w:color w:val="auto"/>
              </w:rPr>
              <w:t>See accompanying notes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23,235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21,777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48,062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42,254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28,196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58,307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51,676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21,382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 revenue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12,833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24,660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14,642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44,958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37,792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52,434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(30,875)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(39,218)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(29,488)</w:t>
            </w: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620" w:type="dxa"/>
            <w:vAlign w:val="bottom"/>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69,158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39,003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63,923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38,930</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Net change in unrealized gain on investments</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(39,154)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(29,418)</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Additional</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Total</w:t>
            </w:r>
          </w:p>
        </w:tc>
      </w:tr>
      <w:tr>
        <w:trPr>
          <w:trHeight w:val="216"/>
        </w:trPr>
        <w:tc>
          <w:tcPr>
            <w:tcW w:w="30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8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Paid-in</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Comprehensive</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Stockholders’</w:t>
            </w:r>
          </w:p>
        </w:tc>
      </w:tr>
      <w:tr>
        <w:trPr>
          <w:trHeight w:val="230"/>
        </w:trPr>
        <w:tc>
          <w:tcPr>
            <w:tcW w:w="300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Stock Shares</w:t>
            </w:r>
          </w:p>
        </w:tc>
        <w:tc>
          <w:tcPr>
            <w:tcW w:w="1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Capital</w:t>
            </w: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(Loss)/Income</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Deficit</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Equity</w:t>
            </w:r>
          </w:p>
        </w:tc>
      </w:tr>
      <w:tr>
        <w:trPr>
          <w:trHeight w:val="27"/>
        </w:trPr>
        <w:tc>
          <w:tcPr>
            <w:tcW w:w="3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72,116</w:t>
            </w: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Issuance of common stock on bond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conversion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19,460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133,279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133,298</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restricted stock, net of</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 and other</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Issuance of common stock from</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option exercises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(25,465)</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color w:val="auto"/>
              </w:rPr>
              <w:t>Balance as of March 31, 2019</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68,991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767,169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(584,316)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182,245</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restricted stock, net of</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 and other</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Issuance of common stock from</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option exercises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793</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under</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2,985</w:t>
            </w: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(13,753)</w:t>
            </w: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Other comprehensive income, net of</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tax</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3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2019</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69,400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771,263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172,640</w:t>
            </w:r>
          </w:p>
        </w:tc>
      </w:tr>
      <w:tr>
        <w:trPr>
          <w:trHeight w:val="20"/>
        </w:trPr>
        <w:tc>
          <w:tcPr>
            <w:tcW w:w="3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6"/>
        </w:trPr>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Additional</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Total</w:t>
            </w:r>
          </w:p>
        </w:tc>
      </w:tr>
      <w:tr>
        <w:trPr>
          <w:trHeight w:val="216"/>
        </w:trPr>
        <w:tc>
          <w:tcPr>
            <w:tcW w:w="346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Paid-in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Stockholders’</w:t>
            </w:r>
          </w:p>
        </w:tc>
      </w:tr>
      <w:tr>
        <w:trPr>
          <w:trHeight w:val="230"/>
        </w:trPr>
        <w:tc>
          <w:tcPr>
            <w:tcW w:w="346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Stock Shares</w:t>
            </w: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(Loss)/Income</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Deficit</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Equity</w:t>
            </w:r>
          </w:p>
        </w:tc>
      </w:tr>
      <w:tr>
        <w:trPr>
          <w:trHeight w:val="27"/>
        </w:trPr>
        <w:tc>
          <w:tcPr>
            <w:tcW w:w="3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30,935</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Issuance of restricted stock, net of shares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withheld for taxes, and other</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from option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exercises</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Conversion option on convertible debt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29,292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29,292</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cost related to conversion option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Cumulative-effect of new accounting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standard for Topic 606 Revenue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(13,247)</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Balance as of March 31, 2018</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38,908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562,152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(513,085)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48,574</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restricted stock, net of shares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withheld for taxes, and other</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Issuance of common stock from option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exercises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2,007</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3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564,622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34,831</w:t>
            </w: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(39,218)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(29,488)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2,932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developed technology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discounts, premium and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3,083</w:t>
            </w:r>
          </w:p>
        </w:tc>
      </w:tr>
      <w:tr>
        <w:trPr>
          <w:trHeight w:val="243"/>
        </w:trPr>
        <w:tc>
          <w:tcPr>
            <w:tcW w:w="858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non-cash items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(25,143)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3,936</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Pr>
          <w:p>
            <w:pPr>
              <w:ind w:left="120"/>
              <w:spacing w:after="0"/>
              <w:rPr>
                <w:sz w:val="20"/>
                <w:szCs w:val="20"/>
                <w:color w:val="auto"/>
              </w:rPr>
            </w:pPr>
            <w:r>
              <w:rPr>
                <w:rFonts w:ascii="Arial" w:cs="Arial" w:eastAsia="Arial" w:hAnsi="Arial"/>
                <w:sz w:val="18"/>
                <w:szCs w:val="18"/>
                <w:color w:val="auto"/>
              </w:rPr>
              <w:t>Proceeds from stock issuance from ESPP</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95,401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58,056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39,424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20" w:firstLine="39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27"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We create, manufacture, and market innovative technologies and life science tools, including preparatory and analytical instruments for Mass Cytometry, PCR, Library Prep, Single Cell Genomics, and consumables, including integrated fluidic circuits (IFCs), assays, and reagents. 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 We sell our instruments to leading academic research institutions, translational research and medicine centers, cancer centers, clinical research laboratories, and biopharmaceutical, biotechnology and plant and animal research companies.</w:t>
      </w:r>
    </w:p>
    <w:p>
      <w:pPr>
        <w:spacing w:after="0" w:line="228" w:lineRule="exact"/>
        <w:rPr>
          <w:sz w:val="20"/>
          <w:szCs w:val="20"/>
          <w:color w:val="auto"/>
        </w:rPr>
      </w:pPr>
    </w:p>
    <w:p>
      <w:pPr>
        <w:ind w:right="7860" w:firstLine="8"/>
        <w:spacing w:after="0" w:line="440"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400" w:firstLine="405"/>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 owned subsidiaries. As of June 30, 2019, we had wholly owned subsidiaries in Singapore, Canada, the Netherlands, Japan, France, the United Kingdom, China, and Germany.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3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Certain prior period amounts in the condensed consolidated statements of cash flows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7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options to purchase common stock, and shares associated with the potential conversion of our convertible notes are considered to be potentially dilutive common shares but have been excluded from the calculation of diluted net loss per share as their effect is anti-dilutive for all periods presented.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potentially dilutive common shares were excluded from the computation of diluted net loss per share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 because including them would have been anti-dilutive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20" w:type="dxa"/>
            <w:vAlign w:val="bottom"/>
            <w:tcBorders>
              <w:bottom w:val="single" w:sz="8" w:color="CCEEFF"/>
            </w:tcBorders>
          </w:tcPr>
          <w:p>
            <w:pPr>
              <w:spacing w:after="0"/>
              <w:rPr>
                <w:sz w:val="22"/>
                <w:szCs w:val="22"/>
                <w:color w:val="auto"/>
              </w:rPr>
            </w:pPr>
          </w:p>
        </w:tc>
        <w:tc>
          <w:tcPr>
            <w:tcW w:w="46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performance awards</w:t>
            </w:r>
          </w:p>
        </w:tc>
        <w:tc>
          <w:tcPr>
            <w:tcW w:w="22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4,541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4,541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46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0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19,036</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19,036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potential make-whole shares</w:t>
            </w: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2014</w:t>
            </w:r>
          </w:p>
        </w:tc>
        <w:tc>
          <w:tcPr>
            <w:tcW w:w="46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280" w:type="dxa"/>
            <w:vAlign w:val="bottom"/>
            <w:gridSpan w:val="2"/>
          </w:tcPr>
          <w:p>
            <w:pPr>
              <w:jc w:val="right"/>
              <w:ind w:right="39"/>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42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Total</w:t>
            </w:r>
          </w:p>
        </w:tc>
        <w:tc>
          <w:tcPr>
            <w:tcW w:w="46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5,457</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25,742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5,457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25,742</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Arial" w:cs="Arial" w:eastAsia="Arial" w:hAnsi="Arial"/>
                <w:sz w:val="18"/>
                <w:szCs w:val="18"/>
                <w:color w:val="auto"/>
              </w:rPr>
              <w:t>7</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accumulated other comprehensive loss, net of tax, for the three and six months ended June 30, 2019,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Unrealized Gain</w:t>
            </w:r>
          </w:p>
        </w:tc>
        <w:tc>
          <w:tcPr>
            <w:tcW w:w="120" w:type="dxa"/>
            <w:vAlign w:val="bottom"/>
          </w:tcPr>
          <w:p>
            <w:pPr>
              <w:spacing w:after="0"/>
              <w:rPr>
                <w:sz w:val="14"/>
                <w:szCs w:val="14"/>
                <w:color w:val="auto"/>
              </w:rPr>
            </w:pPr>
          </w:p>
        </w:tc>
        <w:tc>
          <w:tcPr>
            <w:tcW w:w="13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2"/>
              </w:rPr>
              <w:t>Accumulated Other</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Translation</w:t>
            </w:r>
          </w:p>
        </w:tc>
        <w:tc>
          <w:tcPr>
            <w:tcW w:w="3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on Securities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4"/>
              </w:rPr>
              <w:t>Comprehensive Loss</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200" w:firstLine="392"/>
        <w:spacing w:after="0" w:line="259" w:lineRule="auto"/>
        <w:rPr>
          <w:sz w:val="20"/>
          <w:szCs w:val="20"/>
          <w:color w:val="auto"/>
        </w:rPr>
      </w:pPr>
      <w:r>
        <w:rPr>
          <w:rFonts w:ascii="Arial" w:cs="Arial" w:eastAsia="Arial" w:hAnsi="Arial"/>
          <w:sz w:val="18"/>
          <w:szCs w:val="18"/>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 Revenue is reported net of any sales, use and value-added taxes we collect from customers as required by government authorities.</w:t>
      </w:r>
    </w:p>
    <w:p>
      <w:pPr>
        <w:spacing w:after="0" w:line="133" w:lineRule="exact"/>
        <w:rPr>
          <w:sz w:val="20"/>
          <w:szCs w:val="20"/>
          <w:color w:val="auto"/>
        </w:rPr>
      </w:pPr>
    </w:p>
    <w:p>
      <w:pPr>
        <w:ind w:right="240" w:firstLine="392"/>
        <w:spacing w:after="0" w:line="302"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13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We recognize revenue from repairs, installation, training and other specialized product support services at the point in time the work is completed.</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Installation and training services are generally billed in advance of service. Repairs and other services are generally billed at the point the work is completed.</w:t>
      </w:r>
    </w:p>
    <w:p>
      <w:pPr>
        <w:spacing w:after="0" w:line="18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71" w:lineRule="exact"/>
        <w:rPr>
          <w:sz w:val="20"/>
          <w:szCs w:val="20"/>
          <w:color w:val="auto"/>
        </w:rPr>
      </w:pPr>
    </w:p>
    <w:p>
      <w:pPr>
        <w:ind w:right="460" w:firstLine="405"/>
        <w:spacing w:after="0" w:line="312"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condensed consolidated statements of operations.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7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Applying the revenue recognition practices discussed above often requires significant judgment. Judgment is required when identifying performance obligations, estimating SSP and allocating purchasing consideration in multi-element arrangements and estimating the future amount of our warranty obligations.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175"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127" w:lineRule="exact"/>
        <w:rPr>
          <w:sz w:val="20"/>
          <w:szCs w:val="20"/>
          <w:color w:val="auto"/>
        </w:rPr>
      </w:pPr>
    </w:p>
    <w:p>
      <w:pPr>
        <w:ind w:right="20" w:firstLine="392"/>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long-lived assets for any of the periods presented herein.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100" w:firstLine="392"/>
        <w:spacing w:after="0" w:line="273" w:lineRule="auto"/>
        <w:rPr>
          <w:sz w:val="20"/>
          <w:szCs w:val="20"/>
          <w:color w:val="auto"/>
        </w:rPr>
      </w:pPr>
      <w:r>
        <w:rPr>
          <w:rFonts w:ascii="Arial" w:cs="Arial" w:eastAsia="Arial" w:hAnsi="Arial"/>
          <w:sz w:val="17"/>
          <w:szCs w:val="17"/>
          <w:color w:val="auto"/>
        </w:rPr>
        <w:t>In February 2014, we closed an underwritten public offering of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new 2.75% Exchange Convertible Senior Notes due 2034 (2018 Notes). Following the exchange, approximately $51.3 million in aggregate principal amount of the 2014 Notes was outstanding in addition to $150.0 million in aggregate principal amount of the 2018 Notes. In the first quarter of 2019, the 2018 Notes were converted into 19.5 million shares of common stock and the 2018 Notes were retired. We recorded a loss of $9.0 million on the retirement of the 2018 Notes.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6 Convertible Notes and Credit Facility for the accounting treatment of the transactions and additional information about the exchange.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17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 February 2016, the FASB established Topic 842, Leases, by issuing Accounting Standards Update (ASU) No. 2016-02, which requires lessees to recognize operating leases on the balance sheet and disclose key information about leasing arrangements. Topic 842 was subsequently amended by ASU No. 2018-01, Land Easement Practical Expedient for Transition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Topic 842; ASU No. 2018-10, Codification Improvements to Topic 842, Leases; and ASU No. 2018-11, Targeted Improvements. The new standard establishes a right-of-use (ROU) model that requires a lessee to recognize a ROU asset and lease liability on the balance sheet for all leases with a term longer than 12 months. Leases are classified as finance or operating; the classification will impact the expense recognition in the income statement.</w:t>
      </w:r>
    </w:p>
    <w:p>
      <w:pPr>
        <w:spacing w:after="0" w:line="93" w:lineRule="exact"/>
        <w:rPr>
          <w:sz w:val="20"/>
          <w:szCs w:val="20"/>
          <w:color w:val="auto"/>
        </w:rPr>
      </w:pPr>
    </w:p>
    <w:p>
      <w:pPr>
        <w:ind w:right="120" w:firstLine="392"/>
        <w:spacing w:after="0" w:line="297" w:lineRule="auto"/>
        <w:rPr>
          <w:sz w:val="20"/>
          <w:szCs w:val="20"/>
          <w:color w:val="auto"/>
        </w:rPr>
      </w:pPr>
      <w:r>
        <w:rPr>
          <w:rFonts w:ascii="Arial" w:cs="Arial" w:eastAsia="Arial" w:hAnsi="Arial"/>
          <w:sz w:val="16"/>
          <w:szCs w:val="16"/>
          <w:color w:val="auto"/>
        </w:rPr>
        <w:t>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We adopted the new standard on January 1, 2019 and used the effective date of the standard as our date of initial application. Consequently, previously presented financial information has not been updated, and the disclosures required under the new standard have not been provided for dates and periods before January 1, 2019. For dates and periods prior to January 1, 2019, the original disclosures under ASC 840 are disclosed.</w:t>
      </w:r>
    </w:p>
    <w:p>
      <w:pPr>
        <w:spacing w:after="0" w:line="104"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The new standard provides several optional practical expedients in transition. We elected the ‘package of practical expedients,’ which permits us to not reassess under the new standard our prior conclusions about lease identification, lease classification and initial direct costs. We did not elect the use-of-hindsight or the practical expedient pertaining to land easements; the latter not being applicable to us.</w:t>
      </w:r>
    </w:p>
    <w:p>
      <w:pPr>
        <w:spacing w:after="0" w:line="127" w:lineRule="exact"/>
        <w:rPr>
          <w:sz w:val="20"/>
          <w:szCs w:val="20"/>
          <w:color w:val="auto"/>
        </w:rPr>
      </w:pPr>
    </w:p>
    <w:p>
      <w:pPr>
        <w:jc w:val="both"/>
        <w:ind w:right="400" w:firstLine="392"/>
        <w:spacing w:after="0" w:line="286" w:lineRule="auto"/>
        <w:rPr>
          <w:sz w:val="20"/>
          <w:szCs w:val="20"/>
          <w:color w:val="auto"/>
        </w:rPr>
      </w:pPr>
      <w:r>
        <w:rPr>
          <w:rFonts w:ascii="Arial" w:cs="Arial" w:eastAsia="Arial" w:hAnsi="Arial"/>
          <w:sz w:val="17"/>
          <w:szCs w:val="17"/>
          <w:color w:val="auto"/>
        </w:rPr>
        <w:t>On adoption, we recognized $9.2 million of lease liabilities, based on the present value of the current minimum lease payments over the lease term, discounted using our collateralized incremental borrowing rate, with corresponding ROU assets of $7.4 million. The difference between the initial lease liability and ROU asset is attributable to deferred rent. There was no impact to retained earnings from the adoption of ASC 842.</w:t>
      </w:r>
    </w:p>
    <w:p>
      <w:pPr>
        <w:spacing w:after="0" w:line="111" w:lineRule="exact"/>
        <w:rPr>
          <w:sz w:val="20"/>
          <w:szCs w:val="20"/>
          <w:color w:val="auto"/>
        </w:rPr>
      </w:pPr>
    </w:p>
    <w:p>
      <w:pPr>
        <w:ind w:right="120" w:firstLine="392"/>
        <w:spacing w:after="0" w:line="257" w:lineRule="auto"/>
        <w:rPr>
          <w:sz w:val="20"/>
          <w:szCs w:val="20"/>
          <w:color w:val="auto"/>
        </w:rPr>
      </w:pPr>
      <w:r>
        <w:rPr>
          <w:rFonts w:ascii="Arial" w:cs="Arial" w:eastAsia="Arial" w:hAnsi="Arial"/>
          <w:sz w:val="18"/>
          <w:szCs w:val="18"/>
          <w:color w:val="auto"/>
        </w:rPr>
        <w:t>The new standard also provides certain accounting elections for an entity’s ongoing accounting. We have elected the short-term lease recognition exemption for all leases that qualify. This means, for those leases that qualify, we will not recognize ROU assets or lease liabilities for leases with an initial lease term of one year or less. We have also elected to not separate lease and nonlease components for our building leases. The nonlease components are generally variable in nature and are expected to comprise most of our variable lease costs. Variable costs are expensed as incurred. We have taken a portfolio approach for our vehicle leases by country.</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320" w:firstLine="405"/>
        <w:spacing w:after="0" w:line="257"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We are currently evaluating the impact of adoption on our consolidated financial statements.</w:t>
      </w:r>
    </w:p>
    <w:p>
      <w:pPr>
        <w:spacing w:after="0" w:line="134" w:lineRule="exact"/>
        <w:rPr>
          <w:sz w:val="20"/>
          <w:szCs w:val="20"/>
          <w:color w:val="auto"/>
        </w:rPr>
      </w:pPr>
    </w:p>
    <w:p>
      <w:pPr>
        <w:ind w:right="340" w:firstLine="405"/>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effect that the updated standard will have on our consolidated financial statements.</w:t>
      </w:r>
    </w:p>
    <w:p>
      <w:pPr>
        <w:spacing w:after="0" w:line="139" w:lineRule="exact"/>
        <w:rPr>
          <w:sz w:val="20"/>
          <w:szCs w:val="20"/>
          <w:color w:val="auto"/>
        </w:rPr>
      </w:pPr>
    </w:p>
    <w:p>
      <w:pPr>
        <w:ind w:firstLine="405"/>
        <w:spacing w:after="0" w:line="218" w:lineRule="exact"/>
        <w:rPr>
          <w:sz w:val="20"/>
          <w:szCs w:val="20"/>
          <w:color w:val="auto"/>
        </w:rPr>
      </w:pPr>
      <w:r>
        <w:rPr>
          <w:rFonts w:ascii="Arial" w:cs="Arial" w:eastAsia="Arial" w:hAnsi="Arial"/>
          <w:sz w:val="16"/>
          <w:szCs w:val="16"/>
          <w:color w:val="auto"/>
        </w:rPr>
        <w:t>The FASB issued two ASUs related to financial instruments – credit losses. The ASUs issued were: (1) in June 2016, ASU 2016-13, Financial Instruments – Credit Losses (Topic 326): Measurement of Credit Losses on Financial Instruments, and (2) in November 2018, ASU 2018-19 Codification Improvements to Topic 326, Financial Instruments—Credit Losses. ASU 2016-13 is intended to improve financial reporting by requiring timelier recording of credit losses on loans and other financial instruments held by financial institutions and other organizations. ASU 2018-19 clarifies that receivables arising from operating leases are not within the scope of the credit losses standard, but rather, should be accounted for in accordance with the leasing standard. These ASUs are effective for fiscal years beginning after December 15, 2019, and interim periods within those years, with early adoption permitted. We are evaluating the effect that ASU 2016</w:t>
      </w:r>
      <w:r>
        <w:rPr>
          <w:rFonts w:ascii="MS PGothic" w:cs="MS PGothic" w:eastAsia="MS PGothic" w:hAnsi="MS PGothic"/>
          <w:sz w:val="16"/>
          <w:szCs w:val="16"/>
          <w:color w:val="auto"/>
        </w:rPr>
        <w:t>‑</w:t>
      </w:r>
      <w:r>
        <w:rPr>
          <w:rFonts w:ascii="Arial" w:cs="Arial" w:eastAsia="Arial" w:hAnsi="Arial"/>
          <w:sz w:val="16"/>
          <w:szCs w:val="16"/>
          <w:color w:val="auto"/>
        </w:rPr>
        <w:t>13 and ASU 2018-19 will have on our consolidated financial statements and related disclosures.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17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disaggregates our revenue for the three and six months ended June 30, 2019, and 2018, respectively, by geographic area and by product and service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0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4"/>
        </w:trPr>
        <w:tc>
          <w:tcPr>
            <w:tcW w:w="7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Markets: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11,120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12,520</w:t>
            </w:r>
          </w:p>
        </w:tc>
        <w:tc>
          <w:tcPr>
            <w:tcW w:w="1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100"/>
              <w:spacing w:after="0"/>
              <w:rPr>
                <w:sz w:val="20"/>
                <w:szCs w:val="20"/>
                <w:color w:val="auto"/>
              </w:rPr>
            </w:pPr>
            <w:r>
              <w:rPr>
                <w:rFonts w:ascii="Arial" w:cs="Arial" w:eastAsia="Arial" w:hAnsi="Arial"/>
                <w:sz w:val="18"/>
                <w:szCs w:val="18"/>
                <w:color w:val="auto"/>
              </w:rPr>
              <w:t>24,091</w:t>
            </w:r>
          </w:p>
        </w:tc>
        <w:tc>
          <w:tcPr>
            <w:tcW w:w="1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6"/>
              </w:rPr>
              <w:t>$ 23,354</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19,373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5,859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4,799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14,843</w:t>
            </w:r>
          </w:p>
        </w:tc>
        <w:tc>
          <w:tcPr>
            <w:tcW w:w="1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10,740</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28,196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58,307</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6"/>
              </w:rPr>
              <w:t>$ 51,676</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and Service: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12,201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10,421</w:t>
            </w:r>
          </w:p>
        </w:tc>
        <w:tc>
          <w:tcPr>
            <w:tcW w:w="1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100"/>
              <w:spacing w:after="0"/>
              <w:rPr>
                <w:sz w:val="20"/>
                <w:szCs w:val="20"/>
                <w:color w:val="auto"/>
              </w:rPr>
            </w:pPr>
            <w:r>
              <w:rPr>
                <w:rFonts w:ascii="Arial" w:cs="Arial" w:eastAsia="Arial" w:hAnsi="Arial"/>
                <w:sz w:val="18"/>
                <w:szCs w:val="18"/>
                <w:color w:val="auto"/>
              </w:rPr>
              <w:t>25,041</w:t>
            </w:r>
          </w:p>
        </w:tc>
        <w:tc>
          <w:tcPr>
            <w:tcW w:w="1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6"/>
              </w:rPr>
              <w:t>$ 17,941</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Consumables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23,021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24,313</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23,235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21,777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48,062</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42,254</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10,245</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9,422</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28,196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58,307</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6"/>
              </w:rPr>
              <w:t>$ 51,676</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We reported $17.8 million of deferred revenue on our December 31, 2018 consolidated balance sheet. During the six months ended June 30, 2019, $6.8 million of the opening balance was recognized as revenue and $7.3 million of net additional advance payments were received from customers, primarily associated with instrument service contracts. At June 30, 2019, we reported $18.3 million of deferred revenue.</w:t>
      </w:r>
    </w:p>
    <w:p>
      <w:pPr>
        <w:spacing w:after="0" w:line="11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the expected timing of revenue recognition for unfulfilled performance obligations associated with instrument service contracts that were partially completed at June 30, 2019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 xml:space="preserve">Expected Revenue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(remainder of the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19,504</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4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500" w:firstLine="8"/>
        <w:spacing w:after="0" w:line="286"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Expected revenue includes both billed amounts included in deferred revenue and unbilled amounts that are not reflected in our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1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apply the practical expedient that permits us to not disclose information about unsatisfied performance obligations that are expected to be delivered within one year.</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reported $0.4 million of capitalized commission costs from instrument service contracts at June 30, 2019 and December 31, 2018 in the condensed consolidated balance sheets.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 net</w:t>
      </w:r>
    </w:p>
    <w:p>
      <w:pPr>
        <w:spacing w:after="0" w:line="17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connection with our acquisition of DVS in February 2014, we recognized goodwill of $104.1 million. Intangible assets include developed technology related to the DVS acquisition and other intangible assets included in other non-current assets.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0"/>
              </w:rPr>
              <w:t>June 30, 2019</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63"/>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51,800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3,896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3"/>
              </w:rPr>
              <w:t>December 31, 2018</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63"/>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57,400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Amortization of intangibles was $3.1 million for each of the three months ended June 30, 2019, and 2018, respectively. Amortization of intangibles was $6.2 million and $6.2 million for the six months ended June 30, 2019, and 2018,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Based on the carrying value of intangible assets, net, as of June 30, 2019, the annual amortization expense is expected to be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Developed</w:t>
            </w:r>
          </w:p>
        </w:tc>
        <w:tc>
          <w:tcPr>
            <w:tcW w:w="16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Patents and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Technology</w:t>
            </w:r>
          </w:p>
        </w:tc>
        <w:tc>
          <w:tcPr>
            <w:tcW w:w="160" w:type="dxa"/>
            <w:vAlign w:val="bottom"/>
          </w:tcPr>
          <w:p>
            <w:pPr>
              <w:spacing w:after="0"/>
              <w:rPr>
                <w:sz w:val="12"/>
                <w:szCs w:val="12"/>
                <w:color w:val="auto"/>
              </w:rPr>
            </w:pPr>
          </w:p>
        </w:tc>
        <w:tc>
          <w:tcPr>
            <w:tcW w:w="10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Licenses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08"/>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6"/>
              </w:rPr>
              <w:t>Expense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(remainder of the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522</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1,042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887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804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634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51,800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3,896</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55,696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5. Balance Sheet Details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74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gridSpan w:val="2"/>
          </w:tcPr>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4"/>
                <w:szCs w:val="14"/>
                <w:b w:val="1"/>
                <w:bCs w:val="1"/>
                <w:color w:val="auto"/>
              </w:rPr>
              <w:t>June 30, 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24,046</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95,401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26,121</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95,401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Short-term restricted cash of approximately $1.1 million is included in prepaid expenses and other current assets, and $1.0 million of non-current restricted cash is included in other non-current assets in the condensed consolidated balance sheet.</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Laboratory and manufacturing equipment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19,391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Office furniture and fixtures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(22,855)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We accrue for estimated warranty obligations once revenue is recognized. Management periodically reviews the estimated fair value of its warranty liability and records adjustments based on the terms of warranties provided to customers, as well as historical and anticipated warranty claim experience. Activity for our warranty accrual for the three and six months ended June 30, 2019, and 2018, which is included in other accrued liabilities, is summarized below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Accrual for warranties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738</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1,091</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609</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Notes and Credit Facility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Senior Convertible Notes (2014 Notes)</w:t>
      </w:r>
    </w:p>
    <w:p>
      <w:pPr>
        <w:spacing w:after="0" w:line="171"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In February 2014, we closed an underwritten public offering of $201.3 million aggregate principal amount of our 2.75% Senior Convertible Notes due 2034 (2014 Notes), pursuant to an underwriting agreement dated January 29, 2014. The 2014 Notes accrue interest at a rate of 2.75% per year, payable semi-annually in arrears on February 1 and August 1 of each year. Interest on the 2014 Notes accrued from February 4, 2014. The 2014 Notes will mature on February 1, 2034, unless earlier converted, redeemed, or repurchased in accordance with the terms of the 2014 Notes.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initial conversion rate of the 2014 Notes is 17.8750 shares of our common stock, par value $0.001 per share, per $1,000 principal amount of 2014 Notes (which is equivalent to an initial conversion price of approximately $55.94 per share). The conversion rate will be subject to adjustment upon the occurrence of certain specified events, including upon a conversion in connection with a fundamental change, as defined in the indenture governing the 2014 Notes or, subject to certain conditions, redemption of the 2014 Notes by the Company.</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Holders may surrender their 2014 Notes for conversion at any time prior to the stated maturity date. On or after February 6, 2018, and prior to February 6, 2021, we may redeem any or all of the 2014 Notes in cash if the closing price of our common stock exceeds 130% of the conversion price for a specified number of days, and on or after February 6, 2021, we may redeem any or all of the 2014 Notes in cash without any such condition. The redemption price of the 2014 Notes will equal 100% of the principal amount of the 2014 Notes plus accrued and unpaid interest. Holders may require us to repurchase all or a portion of their 2014 Notes on each of February 6, 2021, February 6, 2024, and February 6, 2029, at a repurchase price in cash equal to 100% of the principal amount of the 2014 Notes plus accrued and unpaid interest. If we undergo a fundamental change, as defined in the indenture governing the 2014 Notes, holders may require us to repurchase the 2014 Notes in whole or in part for cash at a repurchase price equal to 100% of the principal amount of the 2014 Notes plus accrued and unpaid interest.</w:t>
      </w:r>
    </w:p>
    <w:p>
      <w:pPr>
        <w:spacing w:after="0" w:line="125"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In February 2014, we received $195.2 million, net of underwriting discounts, from the issuance of the 2014 Notes and incurred approximately $1.1 million in offering-related expenses. The underwriting discount of $6.0 million and the debt issuance costs of $1.1 million were recorded as offsets to the proce</w:t>
      </w:r>
      <w:r>
        <w:rPr>
          <w:rFonts w:ascii="Arial" w:cs="Arial" w:eastAsia="Arial" w:hAnsi="Arial"/>
          <w:sz w:val="18"/>
          <w:szCs w:val="18"/>
          <w:i w:val="1"/>
          <w:iCs w:val="1"/>
          <w:color w:val="auto"/>
        </w:rPr>
        <w:t>eds.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Senior Convertible Notes (2018 Notes)</w:t>
      </w:r>
    </w:p>
    <w:p>
      <w:pPr>
        <w:spacing w:after="0" w:line="1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In March 2018, we entered into separate privately negotiated transactions with certain holders of our 2014 Notes to exchange $150.0 million in aggregate principal amount of the 2014 Notes for new convertible notes (2018 Notes). The 2018 Notes were subsequently retired in the first quarter of 2019 as discussed below.</w:t>
      </w:r>
    </w:p>
    <w:p>
      <w:pPr>
        <w:spacing w:after="0" w:line="12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As of the closing of the 2018 Notes on March 12, 2018, the estimated fair value was $145.5 million. The difference between the $150.0 million aggregate principal amount of the 2018 Notes and its fair value was amortized over the expected term of the 2018 Notes using the effective interest method through the first note holder put date of February 6, 2023.</w:t>
      </w:r>
    </w:p>
    <w:p>
      <w:pPr>
        <w:spacing w:after="0" w:line="12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accounted for the exchange transaction as an extinguishment of debt due to the significance of the change in value of the embedded conversion option, resulting in a $0.1 million gain. The gain on extinguishment of the 2014 Notes exchanged was calculated as the difference between the reacquisition price (i.e., the fair value of the principal amount of 2018 Notes) and the net carrying value of the 2014 Notes exchanged, net of unamortized debt discount and debt issuance cost write-offs.</w:t>
      </w:r>
    </w:p>
    <w:p>
      <w:pPr>
        <w:spacing w:after="0" w:line="133"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2018 Notes accrued interest at a rate of 2.75%, payable semi-annually in arrears on February 1 and August 1 of each year. Interest on the 2018 Notes accrued from February 1, 2018. The 2018 Notes were set to mature on February 1, 2034, unless earlier converted, redeemed, or repurchased in accordance with the terms of the indenture governing the 2018 Notes. The initial conversion rate of the 2018 Notes was 126.9438 shares of our common stock, par value $0.001 per share, per $1,000 principal amount of the 2018 Notes (which is equivalent to an initial conversion price of approximately $7.88 per share). The conversion rate was subject to adjustment upon the occurrence of certain specified events. One of those specified events was that Holders who converted their 2018 Notes voluntarily prior to our exercise of the Issuer's Conversion Option were entitled, under certain circumstances, to a make-whole premium in the form of an increase in the conversion rate determined by reference to a make-whole table set forth in the indenture governing the 2018 Notes. Any time prior to the maturity of the 2018 Notes, we had the ability to convert the 2018 Notes, in whole but not in part, into cash, shares of our common stock, or combination thereof, if the closing price of our common stock equaled or exceeded 110% of the conversion price then in effect for a specified number of days (Issuer’s Conversion Option). On or after February 6, 2022, we would have been able to elect to redeem all or any portion of the 2018 Notes at a redemption price equal to 100% of the accreted principal amount of the 2018 Notes on the redemption date of the 2018 Notes, plus accrued and unpaid interest.</w:t>
      </w:r>
    </w:p>
    <w:p>
      <w:pPr>
        <w:spacing w:after="0" w:line="12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Holders of the 2018 Notes had the right, at their option, to require us to purchase all or a portion of the 2018 Notes (i) on February 6, 2023, February 6, 2026, and February 6, 2029, or (ii) in the event of a fundamental change, as defined in the indenture governing the 2018 Notes, in each case, at a repurchase price equal to 100% of the accreted principal amount (i.e., up to 120% of the outstanding principal amount) of the 2018 Notes on the fundamental change repurchase date, plus accrued and unpaid interest.</w:t>
      </w:r>
    </w:p>
    <w:p>
      <w:pPr>
        <w:spacing w:after="0" w:line="13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As the 2018 Notes were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which was recorded in additional paid-in-capital and reduced the carrying value of the 2018 Notes. The resulting discount on the 2018 Notes was amortized over the expected term of the 2018 Notes, using the effective interest method through the first note holder put date, of February 6, 2023.</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Offering-related costs for the 2018 Notes were approximately $2.8 million and were paid in the first and second quarters of 2018. Offering-related costs of $2.2 million were capitalized as debt issuance costs, recorded as an offset to the carrying value of the 2018 Notes, and are amortized over the expected term of the 2018 Notes using the effective interest method through the first note holder put date of February 6, 2023. Offering-related costs of $0.6 million were accounted for as equity issuance costs, recorded as an offset to additional paid-in capital, and are not subject to amortization. Offering-related costs were allocated between debt and equity in the same proportion as the allocation of the 2018 Notes between debt and equity.</w:t>
      </w:r>
    </w:p>
    <w:p>
      <w:pPr>
        <w:spacing w:after="0" w:line="119"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In the first quarter of 2019, we received notices from holders of the 2018 Notes electing to voluntarily convert approximately $138.1 million in aggregate principal amount of the 2018 Notes. In February 2019, we notified the Trustee of our intention to exercise our Issuer’s Conversion Option with respect to the remaining approximately $11.9 million in aggregate principal amount of 2018 Notes. In total, $150.0 million of the 2018 Notes were converted into 19.5 million shares of our common stock and the bonds were retired. We recognized a loss of $9.0 million, which represents the difference between the fair value of the bonds retired and their carrying costs. The net impact on equity was $133.3 million and represents the fair value of the bonds retired.</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values of the components of the 2014 Notes and the 2018 Notes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2.75% 2014 Notes due 2034</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Principal amount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51,250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51,250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49,794</w:t>
            </w:r>
          </w:p>
        </w:tc>
      </w:tr>
      <w:tr>
        <w:trPr>
          <w:trHeight w:val="237"/>
        </w:trPr>
        <w:tc>
          <w:tcPr>
            <w:tcW w:w="8120" w:type="dxa"/>
            <w:vAlign w:val="bottom"/>
          </w:tcPr>
          <w:p>
            <w:pPr>
              <w:ind w:left="260"/>
              <w:spacing w:after="0"/>
              <w:rPr>
                <w:sz w:val="20"/>
                <w:szCs w:val="20"/>
                <w:color w:val="auto"/>
              </w:rPr>
            </w:pPr>
            <w:r>
              <w:rPr>
                <w:rFonts w:ascii="Arial" w:cs="Arial" w:eastAsia="Arial" w:hAnsi="Arial"/>
                <w:sz w:val="18"/>
                <w:szCs w:val="18"/>
                <w:b w:val="1"/>
                <w:bCs w:val="1"/>
                <w:color w:val="auto"/>
              </w:rPr>
              <w:t>2.75% 2018 Notes due 2034</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Premium accretion</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3,755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122,264</w:t>
            </w: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49,833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172,058</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Revolving Credit Facility</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August 2018, the Company entered into a revolving credit facility with Silicon Valley Bank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Subject to the level of this borrowing base, the Company may make and repay borrowings from time to time until the maturity of the revolving credit facility. As of June 30, 2019, availability under the revolving credit facility was $12.5 million. There were no borrowings outstanding under the Revolving Credit Facility at June 30, 2019.</w:t>
      </w:r>
    </w:p>
    <w:p>
      <w:pPr>
        <w:spacing w:after="0" w:line="124" w:lineRule="exact"/>
        <w:rPr>
          <w:sz w:val="20"/>
          <w:szCs w:val="20"/>
          <w:color w:val="auto"/>
        </w:rPr>
      </w:pPr>
    </w:p>
    <w:p>
      <w:pPr>
        <w:ind w:right="340" w:firstLine="405"/>
        <w:spacing w:after="0" w:line="279" w:lineRule="auto"/>
        <w:rPr>
          <w:sz w:val="20"/>
          <w:szCs w:val="20"/>
          <w:color w:val="auto"/>
        </w:rPr>
      </w:pPr>
      <w:r>
        <w:rPr>
          <w:rFonts w:ascii="Arial" w:cs="Arial" w:eastAsia="Arial" w:hAnsi="Arial"/>
          <w:sz w:val="17"/>
          <w:szCs w:val="17"/>
          <w:color w:val="auto"/>
        </w:rPr>
        <w:t>The Revolving Credit Facility matures on August 2, 2020 and is collateralized by substantially all the Company’s property, other than intellectual property. Loans under the Revolving Credit Facility will bear interest, at the greater of (i) prime rate plus 0.50% or (ii) 5.50%. Interest on any outstanding loans is due and payable monthly and the principal balance is due at maturity though loans can be prepaid at any time without penalty. In addition, the Company pays a quarterly unused revolving line facility fee of .75% per annum on the average unused facility.</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Subject to certain exceptions, the Company must pay a prepayment fee equal to (i) 2.00% of the Maximum Amount if it prepays all advances and terminates the Loan Agreement prior to August 2, 2019, or (ii) 1.00% of the Maximum Amount if it prepays all advances and terminates the Loan Agreement on or after August 2, 2019, and prior to the maturity date.</w:t>
      </w:r>
    </w:p>
    <w:p>
      <w:pPr>
        <w:spacing w:after="0" w:line="12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 incurred approximately $335,000 of debt issuance costs in connection with the facility, including $225,000 in commitment fees. Half of the commitment fee was paid at the inception of the facility with the remainder due on the earliest of (i) August 2, 2019, (ii) the date on which the Company terminates this Agreement or (iii) the occurrence and continuance of an event of default. Debt issuance costs were capitalized and are being amortized to interest expense over the life of the Revolving Credit Facility.</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Revolving Credit Facility contains customary affirmative and negative covenants which, unless waived by the bank, limit the Company’s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The Revolving Credit Facility also contains customary events of default, subject to customary cure periods for certain defaults, that include, among other things, non-payment defaults, covenant defaults, material judgment defaults, bankruptcy and insolvency defaults, cross-defaults to certain other material indebtedness, and defaults due to inaccuracy of representation and warranties. Upon an event of default, the lender may declare all or a portion of the outstanding obligations payable by the Company to be immediately due and payable and exercise other rights and remedies provided for under the Revolving Credit Facility. During the existence of an event of default, interest on the obligations under the Revolving Credit Facility could be increased to 5.0% above the otherwise applicable rate of interest. The Company was in compliance with all the terms and conditions of the Revolving Credit Facility at June 30, 2019.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operating leases for buildings, equipment and vehicles. Existing leases have remaining terms of less than 1 year to 8 years. Some leases contain options to extend the lease, usually for up to 5 years, and termination options.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lease right-of-use assets, net, consisted of the following (in thousands):</w:t>
      </w:r>
    </w:p>
    <w:p>
      <w:pPr>
        <w:spacing w:after="0" w:line="230"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2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buildings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Operating lease right-of-use equipment</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vehicles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In the first half of 2019, we entered into a new operating lease for our corporate headquarters in South San Francisco, California which is expected to commence in late 2019 or early 2020. The lease term is 10.25 years. We expect to recognize a right-of-use asset and lease liabilities of approximately $46.7 million, based on our current incremental collateralized borrowing rate, as a result of this lease.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vMerge w:val="restart"/>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Six Months Ended June</w:t>
            </w:r>
          </w:p>
        </w:tc>
        <w:tc>
          <w:tcPr>
            <w:tcW w:w="0" w:type="dxa"/>
            <w:vAlign w:val="bottom"/>
          </w:tcPr>
          <w:p>
            <w:pPr>
              <w:spacing w:after="0"/>
              <w:rPr>
                <w:sz w:val="1"/>
                <w:szCs w:val="1"/>
                <w:color w:val="auto"/>
              </w:rPr>
            </w:pPr>
          </w:p>
        </w:tc>
      </w:tr>
      <w:tr>
        <w:trPr>
          <w:trHeight w:val="192"/>
        </w:trPr>
        <w:tc>
          <w:tcPr>
            <w:tcW w:w="9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30, 2019</w:t>
            </w:r>
          </w:p>
        </w:tc>
        <w:tc>
          <w:tcPr>
            <w:tcW w:w="0" w:type="dxa"/>
            <w:vAlign w:val="bottom"/>
          </w:tcPr>
          <w:p>
            <w:pPr>
              <w:spacing w:after="0"/>
              <w:rPr>
                <w:sz w:val="1"/>
                <w:szCs w:val="1"/>
                <w:color w:val="auto"/>
              </w:rPr>
            </w:pPr>
          </w:p>
        </w:tc>
      </w:tr>
      <w:tr>
        <w:trPr>
          <w:trHeight w:val="263"/>
        </w:trPr>
        <w:tc>
          <w:tcPr>
            <w:tcW w:w="9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 (including variable costs)</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Variable costs including non-lease component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311"/>
        </w:trPr>
        <w:tc>
          <w:tcPr>
            <w:tcW w:w="9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Supplemental information:</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Cash paid for amounts included in the measurement of operating lease liabilities (included in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986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311"/>
        </w:trPr>
        <w:tc>
          <w:tcPr>
            <w:tcW w:w="9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43"/>
        </w:trPr>
        <w:tc>
          <w:tcPr>
            <w:tcW w:w="9860" w:type="dxa"/>
            <w:vAlign w:val="bottom"/>
            <w:gridSpan w:val="2"/>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240" w:type="dxa"/>
            <w:vAlign w:val="bottom"/>
          </w:tcPr>
          <w:p>
            <w:pPr>
              <w:spacing w:after="0"/>
              <w:rPr>
                <w:sz w:val="21"/>
                <w:szCs w:val="21"/>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9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6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702"/>
        </w:trPr>
        <w:tc>
          <w:tcPr>
            <w:tcW w:w="9660" w:type="dxa"/>
            <w:vAlign w:val="bottom"/>
          </w:tcPr>
          <w:p>
            <w:pPr>
              <w:ind w:left="56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Future minimum lease payments and minimum sublease income under non-cancelable operating leases as of June 30, 2019,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Minimum Lease</w:t>
            </w:r>
          </w:p>
        </w:tc>
        <w:tc>
          <w:tcPr>
            <w:tcW w:w="100" w:type="dxa"/>
            <w:vAlign w:val="bottom"/>
          </w:tcPr>
          <w:p>
            <w:pPr>
              <w:spacing w:after="0"/>
              <w:rPr>
                <w:sz w:val="14"/>
                <w:szCs w:val="14"/>
                <w:color w:val="auto"/>
              </w:rPr>
            </w:pP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Minimum Sublease</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2"/>
                <w:szCs w:val="12"/>
                <w:color w:val="auto"/>
              </w:rPr>
            </w:pPr>
          </w:p>
        </w:tc>
        <w:tc>
          <w:tcPr>
            <w:tcW w:w="12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Payments for</w:t>
            </w: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Operating 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(remainder of the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2,077</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future minimum payments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9,128</w:t>
            </w:r>
          </w:p>
        </w:tc>
        <w:tc>
          <w:tcPr>
            <w:tcW w:w="3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8,162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Disclosures related to periods prior to adoption of ASC 842</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Operating lease rent expense, net of amortization of lease incentives and sublease income was $1.0 million and $2.2 million for the three and six months ended June 30, 2018, respectively for the prior year comparative period before the adoption of ASC 842.</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December 31, 2018, future minimum lease payment obligations and minimum sublease income, net of expenses, under noncancelable operating leases before the adoption of ASC 842 were disclosed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Minimum Lease</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Minimum Sublease</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Payments for</w:t>
            </w:r>
          </w:p>
        </w:tc>
        <w:tc>
          <w:tcPr>
            <w:tcW w:w="14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4340" w:type="dxa"/>
            <w:vAlign w:val="bottom"/>
            <w:vMerge w:val="continue"/>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Operating Leases</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90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2020</w:t>
            </w:r>
          </w:p>
        </w:tc>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2022</w:t>
            </w:r>
          </w:p>
        </w:tc>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payments (income)</w:t>
            </w:r>
          </w:p>
        </w:tc>
        <w:tc>
          <w:tcPr>
            <w:tcW w:w="2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669"/>
        </w:trPr>
        <w:tc>
          <w:tcPr>
            <w:tcW w:w="4340" w:type="dxa"/>
            <w:vAlign w:val="bottom"/>
          </w:tcPr>
          <w:p>
            <w:pPr>
              <w:spacing w:after="0"/>
              <w:rPr>
                <w:sz w:val="24"/>
                <w:szCs w:val="24"/>
                <w:color w:val="auto"/>
              </w:rPr>
            </w:pPr>
          </w:p>
        </w:tc>
        <w:tc>
          <w:tcPr>
            <w:tcW w:w="2760" w:type="dxa"/>
            <w:vAlign w:val="bottom"/>
          </w:tcPr>
          <w:p>
            <w:pPr>
              <w:jc w:val="right"/>
              <w:ind w:right="1210"/>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our cash and available-for-sale securities by significant category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4"/>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Short-Term</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Carrying Amount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Marketable</w:t>
            </w: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Cash- Restricted</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Cash- non-restricted</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15,928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restricted</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2,075</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Total cash</w:t>
            </w: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18,003</w:t>
            </w:r>
          </w:p>
        </w:tc>
        <w:tc>
          <w:tcPr>
            <w:tcW w:w="12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18,003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44,750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44,815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44,815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52,868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52,933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70,871</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70,936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24,046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44,815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17,685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17,685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17,685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95,401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95,401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95,401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during the six months ended June 30, 2019, and December 31, 2018, and there were no changes in the valuation techniques used.</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estimated fair value of the 2014 and 2018 Notes is based on a market approach and represents a Level II valuation. When determining the estimated fair value of our long-term debt, we used a commonly accepted valuation methodology and market-based risk measurements that are indirectly observable, such as credit risk.</w:t>
      </w:r>
    </w:p>
    <w:p>
      <w:pPr>
        <w:spacing w:after="0" w:line="12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summarizes the par value, carrying value and the estimated fair value of the 2014 and 2018 Notes at June 30, 2019 and December 31, 2018, respectively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22"/>
                <w:szCs w:val="2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Carrying Value</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Carrying Value</w:t>
            </w:r>
          </w:p>
        </w:tc>
        <w:tc>
          <w:tcPr>
            <w:tcW w:w="220" w:type="dxa"/>
            <w:vAlign w:val="bottom"/>
          </w:tcPr>
          <w:p>
            <w:pPr>
              <w:spacing w:after="0"/>
              <w:rPr>
                <w:sz w:val="22"/>
                <w:szCs w:val="22"/>
                <w:color w:val="auto"/>
              </w:rPr>
            </w:pP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Notes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49,833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43,665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2018 Notes</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149,999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122,264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171,843</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51,250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49,833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49,559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201,249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172,058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215,508</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Conversion of 2018 Notes</w:t>
      </w:r>
    </w:p>
    <w:p>
      <w:pPr>
        <w:spacing w:after="0" w:line="171" w:lineRule="exact"/>
        <w:rPr>
          <w:sz w:val="20"/>
          <w:szCs w:val="20"/>
          <w:color w:val="auto"/>
        </w:rPr>
      </w:pPr>
    </w:p>
    <w:p>
      <w:pPr>
        <w:jc w:val="both"/>
        <w:ind w:right="160" w:firstLine="405"/>
        <w:spacing w:after="0" w:line="342" w:lineRule="auto"/>
        <w:rPr>
          <w:sz w:val="20"/>
          <w:szCs w:val="20"/>
          <w:color w:val="auto"/>
        </w:rPr>
      </w:pPr>
      <w:r>
        <w:rPr>
          <w:rFonts w:ascii="Arial" w:cs="Arial" w:eastAsia="Arial" w:hAnsi="Arial"/>
          <w:sz w:val="16"/>
          <w:szCs w:val="16"/>
          <w:color w:val="auto"/>
        </w:rPr>
        <w:t>In the first quarter of 2019, we issued 19,460,260 shares of our common stock in connection with the conversion of our 2018 Notes (see Note 6). As a result of this issuance of common stock, we recorded a total of $133.3 million of equity, which is equivalent to the fair value of the bonds retired.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Plans</w:t>
      </w:r>
    </w:p>
    <w:p>
      <w:pPr>
        <w:spacing w:after="0" w:line="175"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Our board of directors sets the terms, conditions, and restrictions related to our Employee Stock Purchase Plan (ESPP) and the grant of stock options, restricted stock units (RSU) and performance-based awards under our other equity incentive plans. Our board of directors determines the number of shares subject to award grants and also sets vesting criteria.</w:t>
      </w:r>
    </w:p>
    <w:p>
      <w:pPr>
        <w:spacing w:after="0" w:line="127"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In general, our RSUs vest on a quarterly basis over a period of four years from the date of grant at a rate of 25% on the first anniversary of the grant date and ratably each quarter over the remaining 12 quarters, subject to the recipient employee’s continued employment. We may grant RSU awards with different vesting terms from time to time.</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our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17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January 2011, our board of directors adopted the 2011 Equity Incentive Plan (2011 Plan) under which incentive stock options, non-statutory stock options, RSUs, stock appreciation rights, performance units, and performance shares may be granted to our employees, directors, and consultants. In April 2019, our board of directors authorized, and in June 2019, our stockholders approved, the amendment and restatement of the 2011 Plan to make various changes, including increasing the number of shares reserved for issuance by approximately 5.0 million shares and extending the term of the 2011 Plan until April 2029.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1999 Stock Option Plan</w:t>
      </w:r>
    </w:p>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2009 Equity Incentive Plan (2009 Plan) terminated on the date the 2011 Plan was adopted. Options granted and shares issued under the 2009 Plan that were outstanding on the date the 2011 Plan became effective remained subject to the terms of the 2009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Inducement Award Plan</w:t>
      </w:r>
    </w:p>
    <w:p>
      <w:pPr>
        <w:spacing w:after="0" w:line="175"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color w:val="auto"/>
        </w:rPr>
        <w:t>In January 2017, we adopted the Fluidigm Corporation 2017 Inducement Award Plan (Inducement Plan) and reserved 2 million shares of our common stock for issuance pursuant to equity awards granted under the Inducement Plan. The Inducement Plan provided for the grant of equity-based awards and its terms were substantially similar to the 2011 Plan. In accordance with Rule 5635(c)(4) of the Nasdaq Listing Rules, awards under the Inducement Plan could only be made to individuals not previously our employees or non-employee members of our board of directors (or following such individuals' bona fide period of non-employment), as an inducement material to the individuals' entry into employment with us or in connection with a merger or acquisition, to the extent permitted by Rule 5635(c)(3) of the Nasdaq Listing Rules. In June 2019, concurrently with the increase in shares available for grant under the 2011 Plan, the Inducement Plan was terminated such that no further grants could be made thereunder. Options granted and shares issued under the Inducement Plan that were outstanding upon such termination remain outstanding subject to their terms and the terms of the Inducement Plan.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Expense Information</w:t>
      </w:r>
    </w:p>
    <w:p>
      <w:pPr>
        <w:spacing w:after="0" w:line="17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use the Black-Scholes option-pricing model to estimate the fair value of stock options granted under our equity incentive plans. We grant stock options at exercise prices not less than the fair value of our common stock at the date of grant. The fair value of RSUs granted to employees is valued using the fair market value of our common stock on the grant date.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under the 2011 Plan, the 2009 Plan, the 1999 Plan, and the Inducement Plan is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Units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BFE4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000s)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granted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RSU released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forfeited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as of June 30,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BFE4FF"/>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BFE4FF"/>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2019, the unrecognized compensation costs related to outstanding unvested RSUs under our equity incentive plans were $12.6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these costs over a weighted average period of 3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Life (in</w:t>
            </w:r>
          </w:p>
        </w:tc>
        <w:tc>
          <w:tcPr>
            <w:tcW w:w="160" w:type="dxa"/>
            <w:vAlign w:val="bottom"/>
          </w:tcPr>
          <w:p>
            <w:pPr>
              <w:spacing w:after="0"/>
              <w:rPr>
                <w:sz w:val="12"/>
                <w:szCs w:val="12"/>
                <w:color w:val="auto"/>
              </w:rPr>
            </w:pPr>
          </w:p>
        </w:tc>
        <w:tc>
          <w:tcPr>
            <w:tcW w:w="12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Options (000s)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5"/>
              </w:rPr>
              <w:t>per Option</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Value in (000s)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2019</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2,104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11,453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as of June 30, 2019</w:t>
            </w: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1,159</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to vest as of June 30, 2019</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945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The grant date fair value of options granted in 2019 was $7.36. As of June 30, 2019, the unrecognized compensation costs related to outstanding unvested options under our equity incentive plans were $3.2 million. We expect to recognize these costs over a weighted average period of 2.1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Stock Units</w:t>
      </w:r>
    </w:p>
    <w:p>
      <w:pPr>
        <w:spacing w:after="0" w:line="171"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During the three and six months ended June 30, 2019, we granted 25,500 and 400,839 performance stock units, respectively, to certain executive officers and senior level employees. The number of performance stock units ultimately earned under these awards is calculated based on the Total Shareholder Return (TSR) of our common stock as compared to the TSR of a defined group of peer companies during the three-year performance period. The percentage of performance stock units that vest will depend on our relative position at the end of the performance period and can range from 0% to 200% of the number of units granted.</w:t>
      </w:r>
    </w:p>
    <w:p>
      <w:pPr>
        <w:spacing w:after="0" w:line="134"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Under FASB ASC Topic 718, the provisions of the performance stock unit awards related to TSR are considered a market condition, and the effects of that market condition should be reflected in the grant date fair value of the awards. We used a Monte Carlo simulation pricing model to incorporate the market condition effects at our grant date with a weighted-average fair value of $16.90 per unit.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under the performance stock units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Units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BFE4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000s)</w:t>
            </w:r>
          </w:p>
        </w:tc>
        <w:tc>
          <w:tcPr>
            <w:tcW w:w="120" w:type="dxa"/>
            <w:vAlign w:val="bottom"/>
            <w:tcBorders>
              <w:bottom w:val="single" w:sz="8" w:color="BFE4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155</w:t>
            </w:r>
          </w:p>
        </w:tc>
        <w:tc>
          <w:tcPr>
            <w:tcW w:w="2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PSU granted</w:t>
            </w:r>
          </w:p>
        </w:tc>
        <w:tc>
          <w:tcPr>
            <w:tcW w:w="1480" w:type="dxa"/>
            <w:vAlign w:val="bottom"/>
            <w:gridSpan w:val="2"/>
          </w:tcPr>
          <w:p>
            <w:pPr>
              <w:jc w:val="right"/>
              <w:ind w:right="17"/>
              <w:spacing w:after="0"/>
              <w:rPr>
                <w:sz w:val="20"/>
                <w:szCs w:val="20"/>
                <w:color w:val="auto"/>
              </w:rPr>
            </w:pPr>
            <w:r>
              <w:rPr>
                <w:rFonts w:ascii="Arial" w:cs="Arial" w:eastAsia="Arial" w:hAnsi="Arial"/>
                <w:sz w:val="18"/>
                <w:szCs w:val="18"/>
                <w:color w:val="auto"/>
              </w:rPr>
              <w:t>401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PSU released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PSU forfeited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as of June 30,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BFE4FF"/>
          </w:tcPr>
          <w:p>
            <w:pPr>
              <w:jc w:val="right"/>
              <w:ind w:right="17"/>
              <w:spacing w:after="0"/>
              <w:rPr>
                <w:sz w:val="20"/>
                <w:szCs w:val="20"/>
                <w:color w:val="auto"/>
              </w:rPr>
            </w:pPr>
            <w:r>
              <w:rPr>
                <w:rFonts w:ascii="Arial" w:cs="Arial" w:eastAsia="Arial" w:hAnsi="Arial"/>
                <w:sz w:val="18"/>
                <w:szCs w:val="18"/>
                <w:color w:val="auto"/>
              </w:rPr>
              <w:t>547</w:t>
            </w:r>
          </w:p>
        </w:tc>
        <w:tc>
          <w:tcPr>
            <w:tcW w:w="240" w:type="dxa"/>
            <w:vAlign w:val="bottom"/>
            <w:tcBorders>
              <w:top w:val="single" w:sz="8" w:color="BFE4FF"/>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BFE4FF"/>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As of June 30, 2019, the unrecognized compensation costs related to these awards were $6.8 million. We expect to recognize these costs over a weighted average period of 2.5 years.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2017 Employee Stock Purchase Plan</w:t>
      </w:r>
    </w:p>
    <w:p>
      <w:pPr>
        <w:spacing w:after="0" w:line="171"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Our ESPP offers U.S. and some non-U.S. employees the right to purchase shares of our common stock. Prior to June 2019, our ESPP had a six-month offering period, with a new period commencing on the first trading day on or after May 31 and November 30 of each year. Employees were eligible to participate through payroll deductions of up to 10% of their compensation. The purchase price at which shares were sold under the ESPP was 85% of the lower of the fair market value of a share of our common stock on the first day of the offering period or the last day of the offering period.</w:t>
      </w:r>
    </w:p>
    <w:p>
      <w:pPr>
        <w:spacing w:after="0" w:line="10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Effective in June 2019, our ESPP was amended to offer a twelve-month offering period with two six-month purchase periods beginning on each of May 31 and November 30. Under the updated plan, the purchase price at which shares are sold for the first purchase period is 85% of the lower of the fair market value of a share of our common stock on the first day of the offering period or the last day of the first purchase period. For the second purchase period, the purchase price at which shares are sold is 85% of the lowest of the fair value of the common stock on the first day of the offering period, the last day of the offering period or the fair value of the common stock at the beginning of the second purchase period. Employees are eligible under the amended plan to participate through payroll deductions of up to 15% of their compensation. Employees may not purchase more than $25 thousand of stock for any calendar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recognized share-based compensation expense as follows (in thousands):</w:t>
      </w:r>
    </w:p>
    <w:p>
      <w:pPr>
        <w:spacing w:after="0" w:line="230"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08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184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53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Options and Restricted Stock Units</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3,514</w:t>
            </w: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57"/>
        </w:trPr>
        <w:tc>
          <w:tcPr>
            <w:tcW w:w="5300" w:type="dxa"/>
            <w:vAlign w:val="bottom"/>
          </w:tcPr>
          <w:p>
            <w:pPr>
              <w:ind w:left="20"/>
              <w:spacing w:after="0"/>
              <w:rPr>
                <w:sz w:val="20"/>
                <w:szCs w:val="20"/>
                <w:color w:val="auto"/>
              </w:rPr>
            </w:pPr>
            <w:r>
              <w:rPr>
                <w:rFonts w:ascii="Arial" w:cs="Arial" w:eastAsia="Arial" w:hAnsi="Arial"/>
                <w:sz w:val="18"/>
                <w:szCs w:val="18"/>
                <w:color w:val="auto"/>
              </w:rPr>
              <w:t>Total Share-based Compensation</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Company’s quarterly provision for income taxes is based on an estimated effective annual income tax rate.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2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Company recorded a tax benefit of $1.1 million for both the three and six months ended June 30, 2019. We recorded a tax benefit of $0.2 million and $1.4 million for the three and six months ended June 30, 2018. The benefit for all periods was primarily attributable to the tax benefit from the amortization of our acquisition-related deferred tax liability, partially offset by a provision from our foreign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The Company’s tax benefit for income taxes for the periods presented differs from the 21% U.S. Federal statutory rate for the three and six months ended June 30, 2019 and 2018, respectively, primarily due to maintaining a valuation allowance for deferred tax assets, which primarily consist of net operating loss carryforwards.</w:t>
      </w:r>
    </w:p>
    <w:p>
      <w:pPr>
        <w:spacing w:after="0" w:line="154" w:lineRule="exact"/>
        <w:rPr>
          <w:sz w:val="20"/>
          <w:szCs w:val="20"/>
          <w:color w:val="auto"/>
        </w:rPr>
      </w:pPr>
    </w:p>
    <w:p>
      <w:pPr>
        <w:ind w:right="60" w:firstLine="405"/>
        <w:spacing w:after="0" w:line="311" w:lineRule="auto"/>
        <w:rPr>
          <w:sz w:val="20"/>
          <w:szCs w:val="20"/>
          <w:color w:val="auto"/>
        </w:rPr>
      </w:pPr>
      <w:r>
        <w:rPr>
          <w:rFonts w:ascii="Arial" w:cs="Arial" w:eastAsia="Arial" w:hAnsi="Arial"/>
          <w:sz w:val="18"/>
          <w:szCs w:val="18"/>
          <w:color w:val="auto"/>
        </w:rPr>
        <w:t>Tax positions taken by the Company are subject to audits by multiple tax jurisdictions. The Company believes that it has provided adequate reserves for its uncertain tax positions for all tax years still open for assessment. The Company also believes that it does not have any tax position that will significantly increase or decrease within the next year. For the six months ended June 30, 2019, the Company did not recognize any material interest or penalties related to uncertain tax positions.</w:t>
      </w:r>
    </w:p>
    <w:p>
      <w:pPr>
        <w:spacing w:after="0" w:line="10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Recording deferred tax assets is appropriate when realization of these assets is more likely than not. Assessing the realizability of deferred tax assets is dependent upon several factors including historical financial results. The deferred tax assets have been offset by valuation allowances. In the future we may release valuation allowances and recognize deferred tax assets in certain of our foreign subsidiaries depending on the achievement of future profitability in the relevant jurisdictions. Any release of valuation allowances could have the effect of decreasing the income tax provision in the period the valuation allowance is released. We continue to monitor the likelihood that we will be able to recover our deferred tax assets, including those for which a valuation allowance is recorded. There can be no assurance that we will generate profits in the future periods enabling us to fully realize our deferred tax assets. The timing of recording a valuation allowance or the reversal of such valuation allowance is subject to objective and subjective factors that cannot be readily predicted in advance.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Information about Geographic Areas</w:t>
      </w:r>
    </w:p>
    <w:p>
      <w:pPr>
        <w:spacing w:after="0" w:line="17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We operate in one reporting segment that develops, manufacturers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1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 summary table of our total revenue by geographic areas of our customers and by product and service for the three and six months ended June 30, 2019 and 2018 is included in Note 3 to the condensed consolidated financial statements of this quarterly report on Form 10-Q.</w:t>
      </w:r>
    </w:p>
    <w:p>
      <w:pPr>
        <w:spacing w:after="0" w:line="116"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Sales to customers in the United States represented $9.9 million or 35%, and $22.4 million or 38% of total revenues for the three and six months ended June 30, 2019, respectively. Sales to customers in the United States represented $12.0 million or 46% and $22.2 million or 43% of total revenues for the three and six months ended June 30, 2018, respectively.</w:t>
      </w:r>
    </w:p>
    <w:p>
      <w:pPr>
        <w:spacing w:after="0" w:line="12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Sales to customers in China represented $4.0 million or 14% and $7.5 million or 13% of total revenues for the three and six months ended June 30, 2019, respectively. Sales to customers in China represented $2.3 million or 9% and $5.6 million or 11% of total revenues for the three and six months ended June 30, 2018, respectively. Except for China, no other foreign country or jurisdiction had sales in excess of 10% of our total revenue during the three and six months ended June 30, 2019 and 2018.</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No individual customer represented more than 10% of our total revenues for the three and six months ended June 30, 2019, and 2018, respectively.</w:t>
      </w:r>
    </w:p>
    <w:p>
      <w:pPr>
        <w:spacing w:after="0" w:line="287" w:lineRule="exact"/>
        <w:rPr>
          <w:sz w:val="20"/>
          <w:szCs w:val="20"/>
          <w:color w:val="auto"/>
        </w:rPr>
      </w:pPr>
    </w:p>
    <w:p>
      <w:pPr>
        <w:ind w:right="8600" w:firstLine="8"/>
        <w:spacing w:after="0" w:line="440"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Indemnification</w:t>
      </w:r>
    </w:p>
    <w:p>
      <w:pPr>
        <w:spacing w:after="0" w:line="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we may revise estimates.</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(the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9"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and in our annual report on Form 10-K filed with the Securities and Exchange Commission (SEC). Given these uncertainties, you should not place undue reliance on these forward-looking statements. Also, forward-looking statements represent our management’s beliefs and assumptions only as of the date of this Form 10-Q.</w:t>
      </w:r>
    </w:p>
    <w:p>
      <w:pPr>
        <w:spacing w:after="0" w:line="104"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“Fluidigm,” the Fluidigm logo, “Access Array,” “Advanta,” “Biomark,” “C1,” “Callisto,” “CyTOF,” “Delta Gene,” “Digital Array,” “Dynamic Array,” “EP1,” “Flex Six,” “Helios,” “Hyperion,” “Imaging Mass Cytometry,” “IMC,” “Juno,” “Maxpar,” “MSL,” “Polaris,” “Script Builder,” “Singular,” and “SNP Type” are trademarks or registered trademarks of Fluidigm Corporation. Other service marks, trademarks and trade names referred to in this quarterly report on Form 10-Q are the property of their respective owners.</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Unless the context requires otherwise, references in this Form 10-Q to “Fluidigm,” the “Company,” “we,” “us,” and “our” refer to Fluidigm Corporation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60" w:firstLine="392"/>
        <w:spacing w:after="0" w:line="257" w:lineRule="auto"/>
        <w:rPr>
          <w:sz w:val="20"/>
          <w:szCs w:val="20"/>
          <w:color w:val="auto"/>
        </w:rPr>
      </w:pPr>
      <w:r>
        <w:rPr>
          <w:rFonts w:ascii="Arial" w:cs="Arial" w:eastAsia="Arial" w:hAnsi="Arial"/>
          <w:sz w:val="18"/>
          <w:szCs w:val="18"/>
          <w:color w:val="auto"/>
        </w:rPr>
        <w:t>Fluidigm is a global biotechnology tools provider with a vision to improve life through comprehensive health insight. Our innovative technologies and multi-omic tools are used by researchers to reveal meaningful insights in health and disease, identify biomarkers to inform decisions and accelerate the development of more effective therapies. We create, manufacture, and market innovative technologies and life science tools, including preparatory and analytical instruments for Mass Cytometry, PCR, Library Prep, Single Cell Genomics, and consumables, including integrated fluidic circuits (IFCs), assays, and reagents.</w:t>
      </w:r>
    </w:p>
    <w:p>
      <w:pPr>
        <w:spacing w:after="0" w:line="134" w:lineRule="exact"/>
        <w:rPr>
          <w:sz w:val="20"/>
          <w:szCs w:val="20"/>
          <w:color w:val="auto"/>
        </w:rPr>
      </w:pPr>
    </w:p>
    <w:p>
      <w:pPr>
        <w:ind w:right="300" w:firstLine="392"/>
        <w:spacing w:after="0" w:line="259" w:lineRule="auto"/>
        <w:rPr>
          <w:sz w:val="20"/>
          <w:szCs w:val="20"/>
          <w:color w:val="auto"/>
        </w:rPr>
      </w:pPr>
      <w:r>
        <w:rPr>
          <w:rFonts w:ascii="Arial" w:cs="Arial" w:eastAsia="Arial" w:hAnsi="Arial"/>
          <w:sz w:val="18"/>
          <w:szCs w:val="18"/>
          <w:color w:val="auto"/>
        </w:rPr>
        <w:t>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 We sell our products to leading academic, government, pharmaceutical, biotechnology and plant and animal research laboratories worldwide.</w:t>
      </w:r>
    </w:p>
    <w:p>
      <w:pPr>
        <w:spacing w:after="0" w:line="133" w:lineRule="exact"/>
        <w:rPr>
          <w:sz w:val="20"/>
          <w:szCs w:val="20"/>
          <w:color w:val="auto"/>
        </w:rPr>
      </w:pPr>
    </w:p>
    <w:p>
      <w:pPr>
        <w:ind w:right="200" w:firstLine="392"/>
        <w:spacing w:after="0" w:line="293" w:lineRule="auto"/>
        <w:rPr>
          <w:sz w:val="20"/>
          <w:szCs w:val="20"/>
          <w:color w:val="auto"/>
        </w:rPr>
      </w:pPr>
      <w:r>
        <w:rPr>
          <w:rFonts w:ascii="Arial" w:cs="Arial" w:eastAsia="Arial" w:hAnsi="Arial"/>
          <w:sz w:val="16"/>
          <w:szCs w:val="16"/>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 manufactures our genomics instruments, which are assembled by our contract manufacturer located within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the United States. As part of our on-going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efforts related to operational excellence and improving efficiencies, we are consolidating our North American production activities into our Canadian facility.</w:t>
      </w:r>
    </w:p>
    <w:p>
      <w:pPr>
        <w:spacing w:after="0" w:line="19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total revenue for the six months ended June 30, 2019 was $58.3 million compared to $51.7 million for the six months ended June 30, 2018. Our total revenue was $113.0 million in 2018, $101.9 million in 2017, and $104.4 million in 2016. We have incurred significant net losses since our inception in 1999 and, as of June 30, 2019, our accumulated deficit was $598.1 million.</w:t>
      </w:r>
    </w:p>
    <w:p>
      <w:pPr>
        <w:spacing w:after="0" w:line="12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At the end of 2016, we began reallocating our resources based on revenue contribution and growth expectations across our target markets, including a reorganization of our sales team and commercial leadership. We implemented certain operational efficiencies and cost-savings initiatives beginning in the first quarter of 2017 intended to align our resources with our product strategy, reduce our operating expenses, and manage our cash flows. In 2017 and 2018, we grew our revenues, increased gross margins, reduced operating expenses, streamlined our manufacturing operations, and rationalized our headcount and facilities. These activities have resulted in lower net losses, improving from $76.0 million in 2016 to $59.0 million in 2018. We have also strengthened our balance sheet through the issuance of common stock and reduction of debt. In August 2017, we sold 9.1 million shares of common stock for aggregate net proceeds of approximately $28.8 million; in December 2018, we sold approximately 9.4 million shares of common stock for aggregate net proceeds of $59.1 million. In March 2018, we refinanced $150 million of our 2014 Notes with the issuance of our 2018 Notes, which effectively extended the maturity of the debt while providing us with additional financing flexibility. The 2018 Notes were subsequently converted into 19.5 million shares of our common stock during the first quarter of 2019. The conversion is described in Note 6 of our June 30, 2019 condensed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17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Except for the adoption of ASC 842 disclosed below, there have been no material changes in our critical accounting policies and estimates in the preparation of our condensed consolidated financial statements during the six months ended June 30, 2019, compared to those disclosed in our annual report on Form 10-K for the year ended December 31, 2018, as filed with the SEC on March 18,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February 2016, the FASB established Topic 842, Leases, by issuing Accounting Standards Update (ASU) No. 2016-02, which requires lessees to recognize operating leases on the 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 establishes a right-of-use (ROU) model that requires a lessee to recognize a ROU asset and lease liability on the balance sheet for all leases with a term longer than 12 months. Leases are classified as finance or operating; the classification will impact the expense recognition in the income statement.</w:t>
      </w:r>
    </w:p>
    <w:p>
      <w:pPr>
        <w:spacing w:after="0" w:line="139"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We adopted the new standard on January 1, 2019 and used the effective date of the standard as our date of initial application. Consequently, previously presented financial information has not been updated, and the disclosures required under the new standard have not been provided for dates and periods before January 1, 2019. For dates and periods prior to January 1, 2019, the original disclosures under ASC 840 are disclosed.</w:t>
      </w:r>
    </w:p>
    <w:p>
      <w:pPr>
        <w:spacing w:after="0" w:line="10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new standard provides several optional practical expedients in transition. We elected the ‘package of practical expedients,’ which permits us to not reassess under the new standard our prior conclusions about lease identification, lease classification and initial direct costs. We did not elect the use-of-hindsight or the practical expedient pertaining to land easements; the latter not being applicable to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7" w:name="page28"/>
    <w:bookmarkEnd w:id="27"/>
    <w:p>
      <w:pPr>
        <w:jc w:val="both"/>
        <w:ind w:right="400" w:firstLine="405"/>
        <w:spacing w:after="0" w:line="286" w:lineRule="auto"/>
        <w:rPr>
          <w:sz w:val="20"/>
          <w:szCs w:val="20"/>
          <w:color w:val="auto"/>
        </w:rPr>
      </w:pPr>
      <w:r>
        <w:rPr>
          <w:rFonts w:ascii="Arial" w:cs="Arial" w:eastAsia="Arial" w:hAnsi="Arial"/>
          <w:sz w:val="17"/>
          <w:szCs w:val="17"/>
          <w:color w:val="auto"/>
        </w:rPr>
        <w:t>On adoption, we recognized $9.2 million of lease liabilities, based on the present value of the current minimum lease payments over the lease term, discounted using our collateralized incremental borrowing rate, with corresponding ROU assets of $7.4 million. The difference between the initial lease liability and ROU asset is attributable to deferred rent. There was no impact to retained earnings from the adoption of ASC 842.</w:t>
      </w:r>
    </w:p>
    <w:p>
      <w:pPr>
        <w:spacing w:after="0" w:line="111"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The new standard also provides certain accounting elections for an entity’s ongoing accounting. We have elected the short-term lease recognition exemption for all leases that qualify. This means, for those leases that qualify, we will not recognize ROU assets or lease liabilities for leases with an initial lease term of one year or less. We have also elected to not separate lease and nonlease components for our building leases. The nonlease components are generally variable in nature and are expected to comprise the majority of our variable lease costs. Variable costs are expensed as incurred. We have taken a portfolio approach for our vehicle leases by country.</w:t>
      </w:r>
    </w:p>
    <w:p>
      <w:pPr>
        <w:spacing w:after="0" w:line="1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 in this quarterly report on Form 10-Q for recent accounting changes and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six months ended June 30, 2019, and 2018, and as a percentage of total revenue for the respective periods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w w:val="96"/>
              </w:rPr>
              <w:t>Three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2"/>
              </w:rPr>
              <w:t>Six Months Ended June 30,</w:t>
            </w:r>
          </w:p>
        </w:tc>
        <w:tc>
          <w:tcPr>
            <w:tcW w:w="64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58,307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100 %</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51,676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25,954</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32,353</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52</w:t>
            </w: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16,237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14,642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44,958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61,195</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101</w:t>
            </w:r>
          </w:p>
        </w:tc>
      </w:tr>
      <w:tr>
        <w:trPr>
          <w:trHeight w:val="27"/>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7"/>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(30,875)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27"/>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(39,218)</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(29,488)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generate revenue primarily from sales of our products and services. Our product revenue consists of sales of instruments and consumables. Consumable revenues are largely driven by the size of our installed base of instruments and the annual level of pull-through per instrument. Service revenue is linked to the sales and installed base of our instruments as our service revenue consists of post-warranty service contracts, preventive maintenance plans, instrument parts, installation and training.</w:t>
      </w:r>
    </w:p>
    <w:p>
      <w:pPr>
        <w:spacing w:after="0" w:line="13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sell our instruments to leading academic research institutions, translational research and medicine centers, cancer centers, clinical research laboratories, and biopharmaceutical, biotechnology, and plant and animal research companies. No single customer represented more than 10% of our total revenue for the three and six months ended June 30, 2019, and 2018. Total revenue from our five largest customers comprised 30% and 22% of our total revenue for the three months ended June 30, 2019, and 2018, respectively. Total revenue from our five largest customers comprised 20% and 17% of our total revenue for the six months ended June 30, 2019, and 2018, respectively.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color w:val="auto"/>
        </w:rPr>
        <w:t>The following table presents our revenue by source for the three and six months ended June 30, 2019, and 2018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1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 Over-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2"/>
              </w:rPr>
              <w:t>Six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Year- Over-</w:t>
            </w:r>
          </w:p>
        </w:tc>
        <w:tc>
          <w:tcPr>
            <w:tcW w:w="0" w:type="dxa"/>
            <w:vAlign w:val="bottom"/>
          </w:tcPr>
          <w:p>
            <w:pPr>
              <w:spacing w:after="0"/>
              <w:rPr>
                <w:sz w:val="1"/>
                <w:szCs w:val="1"/>
                <w:color w:val="auto"/>
              </w:rPr>
            </w:pPr>
          </w:p>
        </w:tc>
      </w:tr>
      <w:tr>
        <w:trPr>
          <w:trHeight w:val="72"/>
        </w:trPr>
        <w:tc>
          <w:tcPr>
            <w:tcW w:w="1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 Change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Year Change</w:t>
            </w:r>
          </w:p>
        </w:tc>
        <w:tc>
          <w:tcPr>
            <w:tcW w:w="0" w:type="dxa"/>
            <w:vAlign w:val="bottom"/>
          </w:tcPr>
          <w:p>
            <w:pPr>
              <w:spacing w:after="0"/>
              <w:rPr>
                <w:sz w:val="1"/>
                <w:szCs w:val="1"/>
                <w:color w:val="auto"/>
              </w:rPr>
            </w:pPr>
          </w:p>
        </w:tc>
      </w:tr>
      <w:tr>
        <w:trPr>
          <w:trHeight w:val="25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17,941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1360" w:type="dxa"/>
            <w:vAlign w:val="bottom"/>
          </w:tcPr>
          <w:p>
            <w:pPr>
              <w:ind w:left="20"/>
              <w:spacing w:after="0"/>
              <w:rPr>
                <w:sz w:val="20"/>
                <w:szCs w:val="20"/>
                <w:color w:val="auto"/>
              </w:rPr>
            </w:pPr>
            <w:r>
              <w:rPr>
                <w:rFonts w:ascii="Arial" w:cs="Arial" w:eastAsia="Arial" w:hAnsi="Arial"/>
                <w:sz w:val="18"/>
                <w:szCs w:val="18"/>
                <w:color w:val="auto"/>
              </w:rPr>
              <w:t>Consumables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11,034</w:t>
            </w:r>
          </w:p>
        </w:tc>
        <w:tc>
          <w:tcPr>
            <w:tcW w:w="12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11,356</w:t>
            </w:r>
          </w:p>
        </w:tc>
        <w:tc>
          <w:tcPr>
            <w:tcW w:w="10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23,021</w:t>
            </w:r>
          </w:p>
        </w:tc>
        <w:tc>
          <w:tcPr>
            <w:tcW w:w="12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24,313</w:t>
            </w:r>
          </w:p>
        </w:tc>
        <w:tc>
          <w:tcPr>
            <w:tcW w:w="10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Product revenue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48,062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42,254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136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4,961</w:t>
            </w:r>
          </w:p>
        </w:tc>
        <w:tc>
          <w:tcPr>
            <w:tcW w:w="12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10,245</w:t>
            </w:r>
          </w:p>
        </w:tc>
        <w:tc>
          <w:tcPr>
            <w:tcW w:w="12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9,422</w:t>
            </w:r>
          </w:p>
        </w:tc>
        <w:tc>
          <w:tcPr>
            <w:tcW w:w="10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28,196</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51,676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the three and six months ended June 30, 2019, and 2018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1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Year-Over-Year</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1"/>
              </w:rPr>
              <w:t>Six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Year-Over-</w:t>
            </w:r>
          </w:p>
        </w:tc>
        <w:tc>
          <w:tcPr>
            <w:tcW w:w="0" w:type="dxa"/>
            <w:vAlign w:val="bottom"/>
          </w:tcPr>
          <w:p>
            <w:pPr>
              <w:spacing w:after="0"/>
              <w:rPr>
                <w:sz w:val="1"/>
                <w:szCs w:val="1"/>
                <w:color w:val="auto"/>
              </w:rPr>
            </w:pPr>
          </w:p>
        </w:tc>
      </w:tr>
      <w:tr>
        <w:trPr>
          <w:trHeight w:val="72"/>
        </w:trPr>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 Change</w:t>
            </w: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24,091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23,354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11,217</w:t>
            </w:r>
          </w:p>
        </w:tc>
        <w:tc>
          <w:tcPr>
            <w:tcW w:w="12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9,109</w:t>
            </w:r>
          </w:p>
        </w:tc>
        <w:tc>
          <w:tcPr>
            <w:tcW w:w="12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19,373</w:t>
            </w:r>
          </w:p>
        </w:tc>
        <w:tc>
          <w:tcPr>
            <w:tcW w:w="10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17,582</w:t>
            </w:r>
          </w:p>
        </w:tc>
        <w:tc>
          <w:tcPr>
            <w:tcW w:w="10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14,843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10,740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116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28,196</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58,307</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51,676</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Americas revenue includes revenue generated in the United States of $9.9 million and $12.0 million for the three months ended June 30, 2019, and 2018, respectively. The Americas revenue includes revenues generated in the United States of $22.4 million and $22.2 million for the six months ended June 30, 2019 and 2018, respectively.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171"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Total revenue increased by $1.8 million, or 7%, for the three months ended June 30, 2019 compared to the three months ended June 30, 2018. The increase was attributable to a $1.5 million, or 7%, increase in product revenue and a $0.3 million, or 7%, increase in service revenue. The increase in revenue was driven by increased unit sales of mass cytometry instruments and related consumables, partially offset by lower sales of microfluidics products.</w:t>
      </w:r>
    </w:p>
    <w:p>
      <w:pPr>
        <w:spacing w:after="0" w:line="93"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Revenue in the Americas decreased 11% for the three months ended June 30, 2019, compared to the three months ended June 30, 2018. The decrease in the Americas was primarily due to lower sales of mass cytometry instruments and weakness in microfluidics sales, partially offset by higher mass cytometry consumables sales. Revenues grew 23% in Europe driven by higher mass cytometry instrument and consumables revenues, partially offset by lower service revenues. Unfavorable foreign exchange rates negatively impacted EMEA revenues by 4%. The 22% growth in Asia-Pacific was driven by increased sales of both microfluidics and mass cytometry instruments and higher service revenues, partially offset by lower microfluidics consumable sales. On a company-wide basis, weaker foreign exchange rates negatively impacted revenues by 1% for the second quarter of 2019, compared to the same period in the prior year.</w:t>
      </w:r>
    </w:p>
    <w:p>
      <w:pPr>
        <w:spacing w:after="0" w:line="11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Total revenue increased by $6.6 million, or 13% for the six months ended June 30, 2019 compared to the six months ended June 30, 2018. The year-on-year increase is attributable to increases in mass cytometry instrument and consumables sales, partially offset by lower microfluidics sales. In the Americas, instrument sales grew 24%, partially offset by lower microfluidics consumable sales. In Europe, both instruments and consumable revenues grew, despite unfavorable foreign exchange rates which had a negative 6% impact on revenues. The 38% increase in Asia-Pacific revenues is due to increases in mass cytometry instruments, consumables and service revenue, partially offset by lower microfluidics sales. On a company-wide basis, weaker foreign exchange rates negatively impacted revenues by 1% for the first half of 2019, compared to the same period in the prior year.</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746" w:right="299" w:bottom="1440" w:gutter="0" w:footer="0" w:header="0"/>
        </w:sectPr>
      </w:pPr>
    </w:p>
    <w:bookmarkStart w:id="29" w:name="page30"/>
    <w:bookmarkEnd w:id="29"/>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7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Product revenue increased by $1.5 million, or 7%, for the three months ended June 30, 2019 compared to the three months ended June 30, 2018. Instrument sales increased by $1.8 million, or 17%, for the three months ended June 30, 2019 compared to the three months ended June 30, 2018. The increase was primarily attributable to higher unit sales of mass cytometry instruments. Consumables revenue decreased by $0.3 million, or 3%, for the three months ended June 30, 2019 compared to the three months ended June 30, 2018, driven by lower sales of microfluidics consumables, partially offset by higher mass cytometry consumables sales.</w:t>
      </w:r>
    </w:p>
    <w:p>
      <w:pPr>
        <w:spacing w:after="0" w:line="13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Product revenue increased by $5.8 million, or 14% for the six months ended June 30, 2019 compared to the prior year period. Higher revenues from mass cytometry instruments and consumables was partially offset by lower microfluidics consumables sales.</w:t>
      </w:r>
    </w:p>
    <w:p>
      <w:pPr>
        <w:spacing w:after="0" w:line="116"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We expect the average selling prices and volumes of our products to fluctuate over time based on market conditions, product mix, and currency fluctuations. We cannot provide assurance concerning future revenue growth, if any.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Service revenue increased by $0.3 million, or 7%, for the three months ended June 30, 2019 compared to the three months ended June 30, 2018. Service revenue increased by $0.8 million or 9% for the six months ended June 30, 2019 compared to the six months ended June 30, 2018. Increases in service revenues for both the quarter and year-to-date periods reflect higher revenues from service plans and preventive maintenance.</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presents our costs of product and service revenue, gross profit and gross margin for the three and six months ended June 30, 2019, and 2018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Year-Over-Year</w:t>
            </w:r>
          </w:p>
        </w:tc>
        <w:tc>
          <w:tcPr>
            <w:tcW w:w="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Year-Over-</w:t>
            </w:r>
          </w:p>
        </w:tc>
        <w:tc>
          <w:tcPr>
            <w:tcW w:w="0" w:type="dxa"/>
            <w:vAlign w:val="bottom"/>
          </w:tcPr>
          <w:p>
            <w:pPr>
              <w:spacing w:after="0"/>
              <w:rPr>
                <w:sz w:val="1"/>
                <w:szCs w:val="1"/>
                <w:color w:val="auto"/>
              </w:rPr>
            </w:pPr>
          </w:p>
        </w:tc>
      </w:tr>
      <w:tr>
        <w:trPr>
          <w:trHeight w:val="72"/>
        </w:trPr>
        <w:tc>
          <w:tcPr>
            <w:tcW w:w="2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Year Change</w:t>
            </w:r>
          </w:p>
        </w:tc>
        <w:tc>
          <w:tcPr>
            <w:tcW w:w="5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11,160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22,489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21,382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1,680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5"/>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3,278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12,833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12,840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25,954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24,660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15,363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13,588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32,353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27,016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w:t>
            </w:r>
          </w:p>
        </w:tc>
        <w:tc>
          <w:tcPr>
            <w:tcW w:w="1140" w:type="dxa"/>
            <w:vAlign w:val="bottom"/>
            <w:gridSpan w:val="2"/>
          </w:tcPr>
          <w:p>
            <w:pPr>
              <w:jc w:val="right"/>
              <w:ind w:right="162"/>
              <w:spacing w:after="0"/>
              <w:rPr>
                <w:sz w:val="20"/>
                <w:szCs w:val="20"/>
                <w:color w:val="auto"/>
              </w:rPr>
            </w:pPr>
            <w:r>
              <w:rPr>
                <w:rFonts w:ascii="Arial" w:cs="Arial" w:eastAsia="Arial" w:hAnsi="Arial"/>
                <w:sz w:val="18"/>
                <w:szCs w:val="18"/>
                <w:color w:val="auto"/>
              </w:rPr>
              <w:t>3.1</w:t>
            </w:r>
          </w:p>
        </w:tc>
        <w:tc>
          <w:tcPr>
            <w:tcW w:w="600" w:type="dxa"/>
            <w:vAlign w:val="bottom"/>
          </w:tcPr>
          <w:p>
            <w:pPr>
              <w:ind w:left="20"/>
              <w:spacing w:after="0"/>
              <w:rPr>
                <w:sz w:val="20"/>
                <w:szCs w:val="20"/>
                <w:color w:val="auto"/>
              </w:rPr>
            </w:pPr>
            <w:r>
              <w:rPr>
                <w:rFonts w:ascii="Arial" w:cs="Arial" w:eastAsia="Arial" w:hAnsi="Arial"/>
                <w:sz w:val="18"/>
                <w:szCs w:val="18"/>
                <w:color w:val="auto"/>
              </w:rPr>
              <w:t>ppts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3.2   ppts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134"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Cost of service revenue includes direct labor hours, overhead, and instrument parts. Our cost of service revenue and related service margin may fluctuate depending on the variability in material and labor costs of servicing instruments.</w:t>
      </w:r>
    </w:p>
    <w:p>
      <w:pPr>
        <w:spacing w:after="0" w:line="11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Gross margin increased by 3.1 percentage points for the three months ended June 30, 2019, compared to the three months ended June 30, 2018. Higher instrument capacity utilization, as well as the impact of spreading fixed depreciation and amortization over a higher revenue base, contributed to the improvement in gross margin, partially offset by lower instrument pricing.</w:t>
      </w:r>
    </w:p>
    <w:p>
      <w:pPr>
        <w:spacing w:after="0" w:line="127" w:lineRule="exact"/>
        <w:rPr>
          <w:sz w:val="20"/>
          <w:szCs w:val="20"/>
          <w:color w:val="auto"/>
        </w:rPr>
      </w:pPr>
    </w:p>
    <w:p>
      <w:pPr>
        <w:ind w:right="400" w:firstLine="405"/>
        <w:spacing w:after="0" w:line="279" w:lineRule="auto"/>
        <w:rPr>
          <w:sz w:val="20"/>
          <w:szCs w:val="20"/>
          <w:color w:val="auto"/>
        </w:rPr>
      </w:pPr>
      <w:r>
        <w:rPr>
          <w:rFonts w:ascii="Arial" w:cs="Arial" w:eastAsia="Arial" w:hAnsi="Arial"/>
          <w:sz w:val="17"/>
          <w:szCs w:val="17"/>
          <w:color w:val="auto"/>
        </w:rPr>
        <w:t>For the six months ended June 30, 2019, gross margin increased by 3.2 percentage points compared to the six months ended June 30, 2018. Higher instrument capacity utilization, as well as the impact of spreading fixed depreciation and amortization over a higher revenue base, contributed to the improvement in gross margin, partially offset by product mix and lower instrument pricing. Product mix negatively impacted gross margins, as a larger percentage of our revenues came from instruments sales, which tend to have a lower gross margin than consumables.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746" w:right="27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expenses for the three and six months ended June 30, 2019, and 2018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6"/>
                <w:szCs w:val="16"/>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Year-Over-</w:t>
            </w: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Year-Over-Year</w:t>
            </w:r>
          </w:p>
        </w:tc>
        <w:tc>
          <w:tcPr>
            <w:tcW w:w="0" w:type="dxa"/>
            <w:vAlign w:val="bottom"/>
          </w:tcPr>
          <w:p>
            <w:pPr>
              <w:spacing w:after="0"/>
              <w:rPr>
                <w:sz w:val="1"/>
                <w:szCs w:val="1"/>
                <w:color w:val="auto"/>
              </w:rPr>
            </w:pPr>
          </w:p>
        </w:tc>
      </w:tr>
      <w:tr>
        <w:trPr>
          <w:trHeight w:val="72"/>
        </w:trPr>
        <w:tc>
          <w:tcPr>
            <w:tcW w:w="3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Year Change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14,642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22,134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18,987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44,958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37,792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29,999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26,373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61,195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52,434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Research and development expense consists primarily of compensation-related costs, product development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Research and development expense increased by $0.5 million, or 6%, for the three months ended June 30, 2019 compared to the three months ended June 30, 2018, primarily due to higher levels of laboratory supplies and equipment associated with product development.</w:t>
      </w:r>
    </w:p>
    <w:p>
      <w:pPr>
        <w:spacing w:after="0" w:line="9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Research and development expense increased by $1.6 million, or 11%, for the six months ended June 30, 2019, compared to the same period a year ago. Approximately $1.0 million of the increase is due to higher levels of laboratory supplies and equipment. The majority of the remaining increase in research and development costs is due to higher headcount costs compared to the year ago period.</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7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Selling, general and administrative expense increased $3.1 million, or 17%, for the three months ended June 30, 2019, compared to the three months ended June 30, 2018. Stock-based compensation increased $1.2 million from the year ago period, reflecting the impact of an executive retirement and additions to the senior executive team. Other compensation-related costs contributed $1.9 million to the increase in expense for the quarter, reflecting a 13% increase in average headcount.</w:t>
      </w:r>
    </w:p>
    <w:p>
      <w:pPr>
        <w:spacing w:after="0" w:line="133"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Selling, general and administrative expense increased $7.2 million, or 19%, for the six months ended June 30, 2019 compared to the six months ended June 30, 2018. Compensation-related costs contributed $3.0 million of the increase, reflecting an 11% increase in headcount, including several senior executives. Stock-based compensation increased $1.7 million, primarily due to the impact of an executive retirement and additions to the senior executive team. Business development and legal expenses increased $1.9 million, along with a $0.9 million increase in advertising and promotional costs.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Loss on Extinguishment of Debt, and Other Income, Net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these items for the three and six months ended June 30, 2019, and 2018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38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Year-Over-Year</w:t>
            </w: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Year-Over-Year</w:t>
            </w:r>
          </w:p>
        </w:tc>
        <w:tc>
          <w:tcPr>
            <w:tcW w:w="0" w:type="dxa"/>
            <w:vAlign w:val="bottom"/>
          </w:tcPr>
          <w:p>
            <w:pPr>
              <w:spacing w:after="0"/>
              <w:rPr>
                <w:sz w:val="1"/>
                <w:szCs w:val="1"/>
                <w:color w:val="auto"/>
              </w:rPr>
            </w:pPr>
          </w:p>
        </w:tc>
      </w:tr>
      <w:tr>
        <w:trPr>
          <w:trHeight w:val="72"/>
        </w:trPr>
        <w:tc>
          <w:tcPr>
            <w:tcW w:w="352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3,916</w:t>
            </w:r>
          </w:p>
        </w:tc>
        <w:tc>
          <w:tcPr>
            <w:tcW w:w="11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w w:val="99"/>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7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ind w:right="18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1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w w:val="99"/>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57"/>
        </w:trPr>
        <w:tc>
          <w:tcPr>
            <w:tcW w:w="3520" w:type="dxa"/>
            <w:vAlign w:val="bottom"/>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3,660</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w w:val="99"/>
              </w:rPr>
              <w:t>(93)%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11,477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In February 2014, we issued $201.3 million aggregate principal amount of our 2.75% 2014 Notes due 2034 (2014 Notes). In March 2018, we entered into privately negotiated transactions with certain holders of our 2014 Notes to exchange $150.0 million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746" w:right="279" w:bottom="1440" w:gutter="0" w:footer="0" w:header="0"/>
        </w:sectPr>
      </w:pPr>
    </w:p>
    <w:bookmarkStart w:id="31" w:name="page32"/>
    <w:bookmarkEnd w:id="31"/>
    <w:p>
      <w:pPr>
        <w:jc w:val="both"/>
        <w:ind w:right="40"/>
        <w:spacing w:after="0" w:line="257" w:lineRule="auto"/>
        <w:rPr>
          <w:sz w:val="20"/>
          <w:szCs w:val="20"/>
          <w:color w:val="auto"/>
        </w:rPr>
      </w:pPr>
      <w:r>
        <w:rPr>
          <w:rFonts w:ascii="Arial" w:cs="Arial" w:eastAsia="Arial" w:hAnsi="Arial"/>
          <w:sz w:val="18"/>
          <w:szCs w:val="18"/>
          <w:color w:val="auto"/>
        </w:rPr>
        <w:t>in aggregate principal amount of the 2014 Notes for $150.0 million in aggregate principal amount of our new 2.75% Exchange Convertible Senior Notes due 2034. As the 2018 Notes were convertible, at our election, into cash, shares of our common stock, or a combination of cash and shares of our common stock, we accounted for the 2018 Notes under the cash conversion guidance in ASC 470. Because of this conversion option, along with a redemption premium, the net effective interest rate for the 2018 Notes is higher than the 2014 Notes. The effective interest rate on the 2014 Notes and the 2018 Notes is approximately 3.0% and 12.3%, respectively.</w:t>
      </w:r>
    </w:p>
    <w:p>
      <w:pPr>
        <w:spacing w:after="0" w:line="13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the first quarter of 2019, we received notices from holders of the 2018 Notes electing to voluntarily convert approximately $138.1 million in aggregate principal amount of the 2018 Notes. In February 2019, we notified the Trustee of our intention to exercise our Issuer’s Conversion Option with respect to the remaining approximately $11.9 million in aggregate principal amount of 2018 Notes. In total, $150.0 million of the 2018 Notes were converted into approximately 19.5 million shares of our common stock and the bonds retired. In accordance with ASC 470, we recognized a loss of $9.0 million on the conversion of the debt, representing the difference between the fair value of the bonds converted and the carrying value of the bonds at the time of conversion.</w:t>
      </w:r>
    </w:p>
    <w:p>
      <w:pPr>
        <w:spacing w:after="0" w:line="13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Following the retirement of the 2018 Notes in the first quarter of 2019, only $51.25 million of principal of the 2014 Notes remained outstanding. Interest expense fell for the three and six months ended June 30, 2019, compared to the three and six months ended June 30, 2018 due to the retirement of the 2018 Notes in the first quarter of 2019.</w:t>
      </w:r>
    </w:p>
    <w:p>
      <w:pPr>
        <w:spacing w:after="0" w:line="12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Other income primarily consists of interest income and gains or losses on foreign exchange. Other income for the second quarter of 2019 includes $350 thousand of interest income, partially offset by $125 thousand of foreign exchange losses. By comparison, other income for the second quarter of 2018 includes $133 thousand of interest income and $122 thousand of foreign exchange gains. Other income for the six months ended June 30, 2019 includes $770 thousand of interest income partially offset by $80 thousand of foreign exchange losses. Other income for the six months ended June 30, 2018 includes $275 thousand of interest income and $59 thousand of foreign exchange gain. Higher interest income in the 2019 periods compared to the year ago periods is attributable to higher cash and investment balances; the increase in foreign exchange losses is due to the impact of a stronger U.S. dollar.</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71" w:lineRule="exact"/>
        <w:rPr>
          <w:sz w:val="20"/>
          <w:szCs w:val="20"/>
          <w:color w:val="auto"/>
        </w:rPr>
      </w:pPr>
    </w:p>
    <w:p>
      <w:pPr>
        <w:jc w:val="both"/>
        <w:ind w:right="540" w:firstLine="405"/>
        <w:spacing w:after="0" w:line="312" w:lineRule="auto"/>
        <w:rPr>
          <w:sz w:val="20"/>
          <w:szCs w:val="20"/>
          <w:color w:val="auto"/>
        </w:rPr>
      </w:pPr>
      <w:r>
        <w:rPr>
          <w:rFonts w:ascii="Arial" w:cs="Arial" w:eastAsia="Arial" w:hAnsi="Arial"/>
          <w:sz w:val="16"/>
          <w:szCs w:val="16"/>
          <w:color w:val="auto"/>
        </w:rPr>
        <w:t>Our tax provision is generally driven by three components 1) tax provision from our foreign operations and 2) tax benefits from the deduction of amortization of acquisition-related intangible assets and 3) discrete items, such as changes to recording or releasing valuation allowances or return-to-provision true-ups. Depending on the relative value of these components, we can have either a tax benefit or expense for any given period.</w:t>
      </w:r>
    </w:p>
    <w:p>
      <w:pPr>
        <w:spacing w:after="0" w:line="93"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We recorded a tax benefit of $1.1 million for both the three and six months ended June 30, 2019, respectively. We recorded a tax benefit of $0.2 million and $1.4 million for the three and six months ended June 30, 2018, respectively. The benefit for all periods was primarily attributable to the tax benefit from the amortization of our acquisition-related deferred tax liability, partially offset by a provision from our foreign operations.</w:t>
      </w:r>
    </w:p>
    <w:p>
      <w:pPr>
        <w:spacing w:after="0" w:line="11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the future we may release valuation allowances and recognize deferred tax assets in certain of our foreign subsidiaries depending on the achievement of future profitability in the relevant jurisdictions. Any release of valuation allowances could have the effect of decreasing the income tax provision in the period the valuation allowance is released. We continue to monitor the likelihood that we will be able to recover our deferred tax assets, including those for which a valuation allowance is recorded. There can be no assurance that we will generate profits in the future periods enabling us to fully realize our deferred tax assets. The timing of recording a valuation allowance or the reversal of such valuation allowance is subject to objective and subjective factors that cannot be readily predicted in advance.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As of June 30, 2019, our principal sources of liquidity consisted of $24.0 million of cash and cash equivalents and $44.8 million of short-term investments as well as $12.5 million of availability under our Revolving Credit Facility.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800" w:right="29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4"/>
        </w:trPr>
        <w:tc>
          <w:tcPr>
            <w:tcW w:w="8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(20,499)</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3,936</w:t>
            </w: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Effect of foreign exchange fluctuations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83</w:t>
            </w: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(18,632)</w:t>
            </w: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We derive cash flows from operations primarily from cash collected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w:t>
      </w:r>
    </w:p>
    <w:p>
      <w:pPr>
        <w:spacing w:after="0" w:line="9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Net cash used in operating activities for the six months ended June 30, 2019, was $25.1 million and consisted of a net loss of $39.2 million, adjusted for non-cash items of $24.2 million. Non-cash items included a loss on extinguishment of debt of $9.0 million, amortization of developed technology of $5.6 million, stock-based compensation expense of $5.3 million, amortization of debt discounts, premium and issuance cost of $2.0 million and depreciation and amortization of $2.4 million. The net change in assets and liabilities included a decrease in other liabilities of $9.2 million, an increase in accounts receivable of $2.4 million, an increase in inventories of $1.5 million, and an increase in prepaid expenses and other current assets of $1.3 million, partially offset by an increase in accounts payable of $3.4 million.</w:t>
      </w:r>
    </w:p>
    <w:p>
      <w:pPr>
        <w:spacing w:after="0" w:line="13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2018, was $20.5 million, and consisted of a net loss of $29.5 million, adjusted for non-cash items of $15.3 million. Non-cash items included stock-based compensation expense of $3.8 million, amortization of developed technology of $5.6 million, depreciation and amortization of $2.9 million. The net change in assets and liabilities included an increase in accounts receivable of $1.8 million, an increase in prepaid expenses and other current assets of $1.0 million, and a decrease in other non-current liabilities of $6.7 million, offset by an increase in accounts payable of $2.4 million.</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71" w:lineRule="exact"/>
        <w:rPr>
          <w:sz w:val="20"/>
          <w:szCs w:val="20"/>
          <w:color w:val="auto"/>
        </w:rPr>
      </w:pPr>
    </w:p>
    <w:p>
      <w:pPr>
        <w:ind w:right="900" w:firstLine="405"/>
        <w:spacing w:after="0" w:line="308" w:lineRule="auto"/>
        <w:rPr>
          <w:sz w:val="20"/>
          <w:szCs w:val="20"/>
          <w:color w:val="auto"/>
        </w:rPr>
      </w:pPr>
      <w:r>
        <w:rPr>
          <w:rFonts w:ascii="Arial" w:cs="Arial" w:eastAsia="Arial" w:hAnsi="Arial"/>
          <w:sz w:val="17"/>
          <w:szCs w:val="17"/>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w:t>
      </w:r>
    </w:p>
    <w:p>
      <w:pPr>
        <w:spacing w:after="0" w:line="9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Net cash used in investing activities was $45.3 million during the six months ended June 30, 2019 and consisted of purchases of investments of $44.6 million and capital expenditures of $0.7 million. Net cash provided by investing activities for six months ended June 30, 2018 was $3.9 million and consisted of net redemptions of investments of $4.1 million and capital expenditures of $0.2 million.</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71"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Net cash provided by financing activities was $1.2 million during the six months ended June 30, 2019. Net cash provided by financing activities primarily consisted of $1.0 million from the exercise of stock options and $0.6 of proceeds from our ESPP program, partially offset by $0.5 million for income taxes related to net share settlement of equity awards. Net cash used in financing activities was $2.2 million for the six months ended June 30, 2018 and consisted of $2.6 million of debt issuance costs, partially offset by $0.5 million of net proceeds from employee equity programs.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As discussed above, in the first quarter of 2019, we received notices from holders of the 2018 Notes electing to voluntarily convert approximately $138.1 million in aggregate principal amount of the 2018 Notes. In February 2019, we notified the Trustee of our intention to exercise our Issuer’s Conversion Option with respect to the remaining approximately $11.9 million in aggregate principal amount of 2018 Notes. In total, $150.0 million of the 2018 Notes were converted into approximately 19.5 million shares of our common stock and the bonds retired.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46" w:right="259" w:bottom="1440" w:gutter="0" w:footer="0" w:header="0"/>
        </w:sectPr>
      </w:pPr>
    </w:p>
    <w:bookmarkStart w:id="33" w:name="page34"/>
    <w:bookmarkEnd w:id="33"/>
    <w:p>
      <w:pPr>
        <w:ind w:right="60" w:firstLine="405"/>
        <w:spacing w:after="0" w:line="255" w:lineRule="auto"/>
        <w:rPr>
          <w:sz w:val="20"/>
          <w:szCs w:val="20"/>
          <w:color w:val="auto"/>
        </w:rPr>
      </w:pPr>
      <w:r>
        <w:rPr>
          <w:rFonts w:ascii="Arial" w:cs="Arial" w:eastAsia="Arial" w:hAnsi="Arial"/>
          <w:sz w:val="18"/>
          <w:szCs w:val="18"/>
          <w:color w:val="auto"/>
        </w:rPr>
        <w:t>We currently have outstanding $51.3 million in aggregate principal amount of our 2014 Notes as of June 30, 2019. The 2014 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If we undergo a fundamental change, as defined, holders of the 2014 Notes may require us to repurchase the 2014 Notes in whole or in part for cash at a repurchase price equal to 100% of the principal amount of the 2014 Notes plus accrued and unpaid interest.</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a Revolving Credit Facility with Silicon Valley Bank, which matures on August 2, 2020. Amounts drawn under the Revolving Credit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Facility will be used for working capital and general corporate purposes. As of June 30, 2019, total availability under the Revolving Credit Facility was $12.5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We currently have no outstanding debt under the Revolving Credit Facility, and we are in compliance with all the terms and conditions of the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governing the Revolving Credit Facility. See Note 6 to the condensed consolidated financial statements included in this Form 10-Q for more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Revolving Credit Facility.</w:t>
      </w:r>
    </w:p>
    <w:p>
      <w:pPr>
        <w:spacing w:after="0" w:line="1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believe our existing cash, cash equivalents, and investments will be sufficient to meet our working capital and capital expenditure needs for at least the next 18 months, through December 31, 2020. However, we may experience lower than expected cash generated from sales of our products and services or greater than expected capital expenditures, cost of revenue, or operating expenses, and we may need to raise additional capital to fund our operations, further our research and development activities, or acquire or invest in a business.</w:t>
      </w:r>
    </w:p>
    <w:p>
      <w:pPr>
        <w:spacing w:after="0" w:line="13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As of June 30, 2019, we did not have any off-balance sheet arrangements as defined in Item 303(a)(4) of the Securities and Exchange Commission's Regulation S-K.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Our operating lease obligations include a lease for our current headquarters and leases for manufacturing, laboratory, warehousing and office space for our foreign subsidiaries. In the first quarter of 2019, we entered into a lease for a new headquarters in California which is expected to commence in late 2019 or the first quarter of 2020. Please see Note 7 to the financial statements for a discussion of our lease obligations.</w:t>
      </w:r>
    </w:p>
    <w:p>
      <w:pPr>
        <w:spacing w:after="0" w:line="11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Other than as disclosed above, there have been no material changes during the six months ended June 30, 2019 to our contractual obligations disclosed in our “Management’s Discussion and Analysis of Financial Condition and Results of Operations” included in our annual report on Form 10-K for the year ended December 31,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746" w:right="279" w:bottom="1440" w:gutter="0" w:footer="0" w:header="0"/>
        </w:sectPr>
      </w:pPr>
    </w:p>
    <w:bookmarkStart w:id="34" w:name="page35"/>
    <w:bookmarkEnd w:id="34"/>
    <w:p>
      <w:pPr>
        <w:ind w:right="180"/>
        <w:spacing w:after="0" w:line="255" w:lineRule="auto"/>
        <w:rPr>
          <w:sz w:val="20"/>
          <w:szCs w:val="20"/>
          <w:color w:val="auto"/>
        </w:rPr>
      </w:pPr>
      <w:r>
        <w:rPr>
          <w:rFonts w:ascii="Arial" w:cs="Arial" w:eastAsia="Arial" w:hAnsi="Arial"/>
          <w:sz w:val="18"/>
          <w:szCs w:val="18"/>
          <w:color w:val="auto"/>
        </w:rPr>
        <w:t>income or loss as a result of transaction gains or losses related to revaluing certain current asset and current liability balances that are denominated in currencies other than the functional currency of the entities in which they are recorded. For the six months ended June 30, 2019 and 2018, our gains and losses related to changes in foreign exchange rates was less than $0.1 million.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had cash, cash equivalents and short-term investments of $68.9 million at June 30, 2019. These amounts were held primarily in cash on deposit with banks, treasury bills and money market funds which are short-term. Cash and cash equivalents and investments are held for working capital purposes. Due to the short-term nature of these investments, we believe that we do not have any material exposure to changes in the fair value of our investment portfolio due to changes in interest rates. Declines in interest rates, however, will reduce future investment income. If overall interest rates had decreased by 10% during the periods presented, our interest income would not have been materially affected.</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2019 that have materially affected, or are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71"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i w:val="1"/>
          <w:iCs w:val="1"/>
          <w:color w:val="auto"/>
        </w:rPr>
        <w:t>Set forth below are the risks that we believe are material to our investors. Our risk factors disclosed in Part I, Item 1A, of our annual report on Form 10-K for the year ended December 31, 2018 provide additional disclosure and are incorporated herein by reference.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79"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88"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For example, our revenue declined year-over-year in 2016 compared to 2015, and in 2017 compared to 2016. In 2018, we returned to revenue growth, but we may not be able to achieve similar revenue growth in future periods. We are also increasingly dependent on our mass cytometry business, which is very capital intensive. Variability in our quarterly or annual results of operations, mix of product revenue, including any decline in our mass cytometry revenue, or variability in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1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80"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17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have incurred significant losses in each fiscal year since our inception, including net losses of $59.0 million, $60.5 million, and $76.0 million during the years 2018, 2017, and 2016, respectively. As of June 30, 2019, we had an accumulated deficit of $598.1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w:t>
      </w:r>
    </w:p>
    <w:p>
      <w:pPr>
        <w:spacing w:after="0" w:line="11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Until we are able to generate additional revenue to support our level of operating expenses, we will continue to incur operating and net losses and negative cash flow from operations. 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life science markets are highly competitive and subject to rapid technological change, and we may not be able to successfully compete.</w:t>
      </w:r>
    </w:p>
    <w:p>
      <w:pPr>
        <w:spacing w:after="0" w:line="187"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WaferGen Bio-systems, Inc., Cytek Biosciences, Inc., Akoya Biosciences, Inc., Innova Biosciences Ltd., QIAGEN N.V., 1CellBio, Inc., Berkeley Lights, Inc., and Mission Bio, Inc. have products that compete in certain segments of the market in which we sell our products. In addition, we have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Hyperion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IonPath Inc., Zellwerk GmbH, Bruker Corporation, Shimadzu Corporation, NanoString Technologies, Inc., and Neogenomics (Multiomyx).</w:t>
      </w:r>
    </w:p>
    <w:p>
      <w:pPr>
        <w:spacing w:after="0" w:line="33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2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1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application of our technologies to high-throughput genomics, single-cell genomics and, particularly, mass cytometry applications are in many cases emerging market opportunities. We believe these opportunities will take several years to develop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50" w:right="259" w:bottom="1440" w:gutter="0" w:footer="0" w:header="0"/>
        </w:sectPr>
      </w:pPr>
    </w:p>
    <w:bookmarkStart w:id="37" w:name="page38"/>
    <w:bookmarkEnd w:id="37"/>
    <w:p>
      <w:pPr>
        <w:ind w:right="40"/>
        <w:spacing w:after="0" w:line="273" w:lineRule="auto"/>
        <w:rPr>
          <w:sz w:val="20"/>
          <w:szCs w:val="20"/>
          <w:color w:val="auto"/>
        </w:rPr>
      </w:pPr>
      <w:r>
        <w:rPr>
          <w:rFonts w:ascii="Arial" w:cs="Arial" w:eastAsia="Arial" w:hAnsi="Arial"/>
          <w:sz w:val="17"/>
          <w:szCs w:val="17"/>
          <w:color w:val="auto"/>
        </w:rPr>
        <w:t>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17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1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198"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0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39"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8" w:name="page39"/>
    <w:bookmarkEnd w:id="38"/>
    <w:p>
      <w:pPr>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1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23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1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1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850" w:right="259" w:bottom="1440" w:gutter="0" w:footer="0" w:header="0"/>
        </w:sectPr>
      </w:pPr>
    </w:p>
    <w:bookmarkStart w:id="39" w:name="page40"/>
    <w:bookmarkEnd w:id="39"/>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75"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Our business depends on research and development spending levels of our customers, a reduction in which could limit our ability to sell our products and adversely affect our business.</w:t>
      </w:r>
    </w:p>
    <w:p>
      <w:pPr>
        <w:spacing w:after="0" w:line="11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agricultural biotechnology (Ag-Bio) companies, and contract research organizations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119"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220"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88"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manufacture our genomics analytical and preparatory instruments and IFCs for commercial sale at our facility in Singapore and our mass cytometry instruments for commercial sale at our facility in Canada. Our assays and reagents for commercial sale have been manufactured at our headquarters in the United States, however, we are consolidating our North American production activities into our Canada facility as part of our on-going efforts related to operational excellence and improving efficiencies.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46" w:right="259" w:bottom="1440" w:gutter="0" w:footer="0" w:header="0"/>
        </w:sectPr>
      </w:pPr>
    </w:p>
    <w:bookmarkStart w:id="40" w:name="page41"/>
    <w:bookmarkEnd w:id="40"/>
    <w:p>
      <w:pPr>
        <w:ind w:right="40"/>
        <w:spacing w:after="0" w:line="277" w:lineRule="auto"/>
        <w:rPr>
          <w:sz w:val="20"/>
          <w:szCs w:val="20"/>
          <w:color w:val="auto"/>
        </w:rPr>
      </w:pPr>
      <w:r>
        <w:rPr>
          <w:rFonts w:ascii="Arial" w:cs="Arial" w:eastAsia="Arial" w:hAnsi="Arial"/>
          <w:sz w:val="18"/>
          <w:szCs w:val="18"/>
          <w:color w:val="auto"/>
        </w:rPr>
        <w:t>be available to us on acceptable terms, or at all. If our manufacturing capabilities are impaired, we may not be able to manufacture and ship our products in a timely manner, which would adversely impact our business.</w:t>
      </w:r>
    </w:p>
    <w:p>
      <w:pPr>
        <w:spacing w:after="0" w:line="22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11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During the years 2018, 2017, and 2016, approximately 57%, 55%, and 49%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133" w:lineRule="exact"/>
        <w:rPr>
          <w:sz w:val="20"/>
          <w:szCs w:val="20"/>
          <w:color w:val="auto"/>
        </w:rPr>
      </w:pPr>
    </w:p>
    <w:p>
      <w:pPr>
        <w:ind w:left="820" w:hanging="326"/>
        <w:spacing w:after="0" w:line="30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and other data privacy requirements, labor and employment regulations, anticompetition regulations, the U.K. Bribery Act of 2010 and other anticorruption laws, and the RoHS and WEEE directives, which regulate the use of certain hazardous substances in, and require the collection, reuse, and recycling of waste from, products we manufacture;</w:t>
      </w:r>
    </w:p>
    <w:p>
      <w:pPr>
        <w:spacing w:after="0" w:line="100" w:lineRule="exact"/>
        <w:rPr>
          <w:rFonts w:ascii="Arial" w:cs="Arial" w:eastAsia="Arial" w:hAnsi="Arial"/>
          <w:sz w:val="16"/>
          <w:szCs w:val="16"/>
          <w:color w:val="auto"/>
        </w:rPr>
      </w:pPr>
    </w:p>
    <w:p>
      <w:pPr>
        <w:ind w:left="820" w:right="36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71" w:lineRule="exact"/>
        <w:rPr>
          <w:rFonts w:ascii="Arial" w:cs="Arial" w:eastAsia="Arial" w:hAnsi="Arial"/>
          <w:sz w:val="18"/>
          <w:szCs w:val="18"/>
          <w:color w:val="auto"/>
        </w:rPr>
      </w:pPr>
    </w:p>
    <w:p>
      <w:pPr>
        <w:ind w:left="820" w:right="220" w:hanging="326"/>
        <w:spacing w:after="0" w:line="31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2016 advisory referendum approving the separation of the United Kingdom from the European Union (Brexit);</w:t>
      </w:r>
    </w:p>
    <w:p>
      <w:pPr>
        <w:spacing w:after="0" w:line="92" w:lineRule="exact"/>
        <w:rPr>
          <w:rFonts w:ascii="Arial" w:cs="Arial" w:eastAsia="Arial" w:hAnsi="Arial"/>
          <w:sz w:val="16"/>
          <w:szCs w:val="16"/>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fluctuations in the exchange rate of the U.S. Dollar and foreign currencies.</w:t>
      </w:r>
    </w:p>
    <w:p>
      <w:pPr>
        <w:spacing w:after="0" w:line="175"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746" w:right="319" w:bottom="1440" w:gutter="0" w:footer="0" w:header="0"/>
        </w:sectPr>
      </w:pPr>
    </w:p>
    <w:bookmarkStart w:id="41" w:name="page42"/>
    <w:bookmarkEnd w:id="41"/>
    <w:p>
      <w:pPr>
        <w:ind w:right="220"/>
        <w:spacing w:after="0" w:line="282" w:lineRule="auto"/>
        <w:rPr>
          <w:sz w:val="20"/>
          <w:szCs w:val="20"/>
          <w:color w:val="auto"/>
        </w:rPr>
      </w:pPr>
      <w:r>
        <w:rPr>
          <w:rFonts w:ascii="Arial" w:cs="Arial" w:eastAsia="Arial" w:hAnsi="Arial"/>
          <w:sz w:val="18"/>
          <w:szCs w:val="18"/>
          <w:b w:val="1"/>
          <w:bCs w:val="1"/>
          <w:color w:val="auto"/>
        </w:rPr>
        <w:t>Any disruption or delay in the shipping or off-loading of our products, whether domestically or internationally, may have an adverse effect on our financial condition and results of operations.</w:t>
      </w:r>
    </w:p>
    <w:p>
      <w:pPr>
        <w:spacing w:after="0" w:line="11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2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1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33" w:lineRule="exact"/>
        <w:rPr>
          <w:sz w:val="20"/>
          <w:szCs w:val="20"/>
          <w:color w:val="auto"/>
        </w:rPr>
      </w:pPr>
    </w:p>
    <w:p>
      <w:pPr>
        <w:ind w:left="760" w:right="340" w:hanging="320"/>
        <w:spacing w:after="0" w:line="26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27" w:lineRule="exact"/>
        <w:rPr>
          <w:rFonts w:ascii="Arial" w:cs="Arial" w:eastAsia="Arial" w:hAnsi="Arial"/>
          <w:sz w:val="18"/>
          <w:szCs w:val="18"/>
          <w:color w:val="auto"/>
        </w:rPr>
      </w:pPr>
    </w:p>
    <w:p>
      <w:pPr>
        <w:ind w:left="760" w:right="32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116" w:lineRule="exact"/>
        <w:rPr>
          <w:rFonts w:ascii="Arial" w:cs="Arial" w:eastAsia="Arial" w:hAnsi="Arial"/>
          <w:sz w:val="18"/>
          <w:szCs w:val="18"/>
          <w:color w:val="auto"/>
        </w:rPr>
      </w:pPr>
    </w:p>
    <w:p>
      <w:pPr>
        <w:ind w:left="760" w:right="54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16"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customer base is primarily composed of academic research institutions, translational research and medicine centers, cancer centers, clinical research laboratories, biopharmaceutical, biotechnology, and Ag-Bio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39"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66"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success depends on our ability to develop new products and applications for our technology in existing and new markets, while improving the performance and cost-effectiveness of our systems. New technologies, techniques, or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850" w:right="259" w:bottom="1440" w:gutter="0" w:footer="0" w:header="0"/>
        </w:sectPr>
      </w:pPr>
    </w:p>
    <w:bookmarkStart w:id="42" w:name="page43"/>
    <w:bookmarkEnd w:id="42"/>
    <w:p>
      <w:pPr>
        <w:ind w:right="40"/>
        <w:spacing w:after="0" w:line="268" w:lineRule="auto"/>
        <w:rPr>
          <w:sz w:val="20"/>
          <w:szCs w:val="20"/>
          <w:color w:val="auto"/>
        </w:rPr>
      </w:pPr>
      <w:r>
        <w:rPr>
          <w:rFonts w:ascii="Arial" w:cs="Arial" w:eastAsia="Arial" w:hAnsi="Arial"/>
          <w:sz w:val="17"/>
          <w:szCs w:val="17"/>
          <w:color w:val="auto"/>
        </w:rPr>
        <w:t>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38"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6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success depends largely on the skills, experience, and performance of key members of our management team and key scientific and technical support personnel. The loss of the services of any key member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2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Additionally, to expand our research and product development efforts, we need to retain and recruit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2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112"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133" w:lineRule="exact"/>
        <w:rPr>
          <w:sz w:val="20"/>
          <w:szCs w:val="20"/>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3" w:name="page44"/>
    <w:bookmarkEnd w:id="43"/>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71"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9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112"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31"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We have implemented security controls to protect our information technology infrastructure but, despite our efforts, we are not fully insulated from technology disruptions that could adversely impact us. For example, in early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but we are continuing to monitor the situation. If confidential data is later determined to have been released in the course of this event, it is possible that we could be the subject of actions by governmental authorities or claims from persons alleging they suffered damages from such a release. As of the date of this filing, we estimate the costs associated with the intrusion and remediation to be approximately $0.6 million, net of insurance proceeds received. Although we believe we have now contained the disruption, we anticipate additional work and expense in the future as we continue to respond to the attack and further enhance our security processes and initiatives.</w:t>
      </w:r>
    </w:p>
    <w:p>
      <w:pPr>
        <w:spacing w:after="0" w:line="11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237"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Since 2017, we have been implementing efficiency and cost-savings initiatives intended to stabilize our business operations and return to growth. These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4" w:name="page45"/>
    <w:bookmarkEnd w:id="44"/>
    <w:p>
      <w:pPr>
        <w:ind w:right="20"/>
        <w:spacing w:after="0" w:line="293" w:lineRule="auto"/>
        <w:rPr>
          <w:sz w:val="20"/>
          <w:szCs w:val="20"/>
          <w:color w:val="auto"/>
        </w:rPr>
      </w:pPr>
      <w:r>
        <w:rPr>
          <w:rFonts w:ascii="Arial" w:cs="Arial" w:eastAsia="Arial" w:hAnsi="Arial"/>
          <w:sz w:val="16"/>
          <w:szCs w:val="16"/>
          <w:color w:val="auto"/>
        </w:rPr>
        <w:t>expense reduction measures. The implementation of these efficiency and cost-savings initiatives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grow our business and become profitable may not be successful.</w:t>
      </w:r>
    </w:p>
    <w:p>
      <w:pPr>
        <w:spacing w:after="0" w:line="215"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88"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products, our Biomark,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2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3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If we seek to be regulated as a medical device manufacturer by the U.S. Food and Drug Administration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13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products are currently labeled, promoted and sold to academic research institutions, translational research and medicine centers, cancer centers, clinical research laboratories, contract research organizations, and biopharmaceutical, biotechnology, and Ag-Bio companies “for research use only” (RUO), and are not designed, or intended to be used, for clinical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04" w:lineRule="exact"/>
        <w:rPr>
          <w:sz w:val="20"/>
          <w:szCs w:val="20"/>
          <w:color w:val="auto"/>
        </w:rPr>
      </w:pPr>
    </w:p>
    <w:p>
      <w:pPr>
        <w:jc w:val="both"/>
        <w:ind w:right="100" w:firstLine="432"/>
        <w:spacing w:after="0" w:line="257"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reporting, promotional restrictions, reporting adverse events or malfunctions for our products, and general prohibitions against misbranding and adulteration.</w:t>
      </w:r>
    </w:p>
    <w:p>
      <w:pPr>
        <w:spacing w:after="0" w:line="19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2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These directives are being replaced by Medical Device Regulation 2017/745 and In Vitro Diagnostic Regulation 2017/746, with official entry into force in May 26, 2017 and date of applications of May 26,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33"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2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products that are currently labeled, promoted and intended “for research use only”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746" w:right="259" w:bottom="1440" w:gutter="0" w:footer="0" w:header="0"/>
        </w:sectPr>
      </w:pPr>
    </w:p>
    <w:bookmarkStart w:id="46" w:name="page47"/>
    <w:bookmarkEnd w:id="46"/>
    <w:p>
      <w:pPr>
        <w:ind w:firstLine="432"/>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as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as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215"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66"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2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23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12"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746" w:right="259" w:bottom="1440" w:gutter="0" w:footer="0" w:header="0"/>
        </w:sectPr>
      </w:pPr>
    </w:p>
    <w:bookmarkStart w:id="47" w:name="page48"/>
    <w:bookmarkEnd w:id="47"/>
    <w:p>
      <w:pPr>
        <w:ind w:right="520"/>
        <w:spacing w:after="0" w:line="277" w:lineRule="auto"/>
        <w:rPr>
          <w:sz w:val="20"/>
          <w:szCs w:val="20"/>
          <w:color w:val="auto"/>
        </w:rPr>
      </w:pPr>
      <w:r>
        <w:rPr>
          <w:rFonts w:ascii="Arial" w:cs="Arial" w:eastAsia="Arial" w:hAnsi="Arial"/>
          <w:sz w:val="18"/>
          <w:szCs w:val="18"/>
          <w:color w:val="auto"/>
        </w:rPr>
        <w:t>price of our stock could decline and we could be subject to sanctions or investigations by the Nasdaq Global Select Market (Nasdaq), the SEC, or other regulatory authorities, which would require additional financial and management resources.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198"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As of December 31, 2018, we had approximately $165.9 million of goodwill and net intangible assets, including approximately $104.1 million of goodwill and $61.8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0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22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1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believe that our existing cash and cash equivalents and availability under the Revolving Credit Facility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73"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71"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cash demands (e.g., due to interest payments or payouts under existing cash compensation plans);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variability in sales and timing of related cash collections;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63" w:lineRule="exact"/>
        <w:rPr>
          <w:rFonts w:ascii="Arial" w:cs="Arial" w:eastAsia="Arial" w:hAnsi="Arial"/>
          <w:sz w:val="18"/>
          <w:szCs w:val="18"/>
          <w:color w:val="auto"/>
        </w:rPr>
      </w:pPr>
    </w:p>
    <w:p>
      <w:pPr>
        <w:ind w:left="760" w:right="420" w:hanging="320"/>
        <w:spacing w:after="0" w:line="277"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6" w:right="239" w:bottom="1440" w:gutter="0" w:footer="0" w:header="0"/>
        </w:sectPr>
      </w:pPr>
    </w:p>
    <w:bookmarkStart w:id="48" w:name="page49"/>
    <w:bookmarkEnd w:id="48"/>
    <w:p>
      <w:pPr>
        <w:ind w:firstLine="405"/>
        <w:spacing w:after="0" w:line="269" w:lineRule="auto"/>
        <w:rPr>
          <w:sz w:val="20"/>
          <w:szCs w:val="20"/>
          <w:color w:val="auto"/>
        </w:rPr>
      </w:pPr>
      <w:r>
        <w:rPr>
          <w:rFonts w:ascii="Arial" w:cs="Arial" w:eastAsia="Arial" w:hAnsi="Arial"/>
          <w:sz w:val="17"/>
          <w:szCs w:val="17"/>
          <w:color w:val="auto"/>
        </w:rPr>
        <w:t>To the extent we draw on our $15.0 million revolving senior credit facility (the “2018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If we raise additional funds by issuing equity securities, our stockholders may experience dilution. Debt financing in addition to the 2018 Facility,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23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If we fail to comply with the covenants and other obligations under our credit facility, the lenders may be able to accelerate amounts owed under the facilities and may foreclose upon the assets securing our obligations.</w:t>
      </w:r>
    </w:p>
    <w:p>
      <w:pPr>
        <w:spacing w:after="0" w:line="112"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In August 2018, we entered into the Revolving Credit Facility. The Revolving Credit Facility provides for secured revolving loans in an aggregate amount of up to $15.0 million. The Revolving Credit Facility is secured by substantially all of our assets, other than intellectual property. 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2018 Facility, the lenders would be able to accelerate the required repayment of amounts due under the 2018 Credit Agreement and, if they are not repaid, could foreclose upon the assets securing our obligations under the 2018 Facility.</w:t>
      </w:r>
    </w:p>
    <w:p>
      <w:pPr>
        <w:spacing w:after="0" w:line="22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12"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restructured our European intercompany transactions, which increased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Legislation commonly referred to as the 2017 Tax Cuts and Jobs Act was enacted in the United States on December 22, 2017 and introduced a number of changes to U.S. federal income tax, the consequences to us of which have not yet been fully determined and which could have material impact on the value of our deferred tax assets, could result in significant one-time charges in the current or future taxable years, and could increase our future U.S. tax expense. Payment of additional amounts as a result of changes in applicable tax law or upon final adjudication of any disputes could have a material impact on our results of operations and financial position.</w:t>
      </w:r>
    </w:p>
    <w:p>
      <w:pPr>
        <w:spacing w:after="0" w:line="22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12"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Section 382 of the Internal Revenue Code of 1986, as amended, referred to as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49" w:name="page50"/>
    <w:bookmarkEnd w:id="49"/>
    <w:p>
      <w:pPr>
        <w:ind w:right="400"/>
        <w:spacing w:after="0" w:line="308" w:lineRule="auto"/>
        <w:rPr>
          <w:sz w:val="20"/>
          <w:szCs w:val="20"/>
          <w:color w:val="auto"/>
        </w:rPr>
      </w:pPr>
      <w:r>
        <w:rPr>
          <w:rFonts w:ascii="Arial" w:cs="Arial" w:eastAsia="Arial" w:hAnsi="Arial"/>
          <w:sz w:val="17"/>
          <w:szCs w:val="17"/>
          <w:color w:val="auto"/>
        </w:rPr>
        <w:t>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p>
    <w:p>
      <w:pPr>
        <w:spacing w:after="0" w:line="93"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If we experience an ownership change, our ability to use our NOLs, any loss or deduction attributable to a “net unrealized built-in loss” and other tax 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34"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We believe that these tax benefits are a valuable asset for us. However, legislation commonly known as the 2017 Tax Cuts and Jobs Act includes a decrease in the U.S. federal corporate income tax rate from 35% to 21%, and our tax benefits were revalued at the newly enacted rate. We do not expect this to have a material impact on our financial statements because we currently maintain a full valuation allowance on our U.S. deferred tax assets; however, this reduction in the U.S. federal corporate income tax rate results in a corresponding reduction in the value of our tax benefits. On November 21, 2016, our board of directors approved a tax benefit preservation plan, or Tax Benefit Preservation Plan, in an effort to protect our tax benefits during the effective period of the tax benefit preservation plan. Our board of directors elected to let the Tax Benefit Preservation Plan expire in August 2017 based on its determination, in consultation with our management and tax advisors, that our NOLs were not at material risk of limitation based on an ownership change pursuant to Section</w:t>
      </w:r>
    </w:p>
    <w:p>
      <w:pPr>
        <w:spacing w:after="0" w:line="3" w:lineRule="exact"/>
        <w:rPr>
          <w:sz w:val="20"/>
          <w:szCs w:val="20"/>
          <w:color w:val="auto"/>
        </w:rPr>
      </w:pPr>
    </w:p>
    <w:p>
      <w:pPr>
        <w:ind w:right="240" w:firstLine="8"/>
        <w:spacing w:after="0" w:line="255"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will continue to monitor our NOLs, however, and could elect to adopt a similar plan if it believes a potential risk exists that our NOLs could be limited. Any future tax benefit preservation plan could make it more difficult for a third party to acquire, or could discourage a third party from acquiring, us or a large block of our common stock.</w:t>
      </w:r>
    </w:p>
    <w:p>
      <w:pPr>
        <w:spacing w:after="0" w:line="24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1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In addition, certain geopolitical events, including the prolonged shutdown of the United States government and the ongoing negotiation of the United Kingdom’s withdrawal from the European Union,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23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1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3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successful, our technologies and products may not gain market acceptance, which would materially and adversely impact our business operations.</w:t>
      </w:r>
    </w:p>
    <w:p>
      <w:pPr>
        <w:spacing w:after="0" w:line="28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11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19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34"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 xml:space="preserve">For example, the U.S.-based Financial Accounting Standards Board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nearly all existing U.S. GAAP revenue recognition guidance. The new guidance was effective for our fiscal year 2018. We adopted ASU 2014-09 in the first quarter of 2018 using the modified retrospective method. Under the modified retrospective method, periods prior to the adoption of ASU 2014-09 are not restated and the cumulative effect of initially applying the new standard is reflected in the opening balance of retained earnings as of January 1, 2018. To date, the adoption has not had a material impact on our consolidated financial statements. Additional disclosures are required for significant differences between the reported results under the new standard and those that would have been reported under the legacy standard, which required us to make certain changes to our business processes and controls to support revenue recognition and disclosure under the new standard.</w:t>
      </w:r>
    </w:p>
    <w:p>
      <w:pPr>
        <w:spacing w:after="0" w:line="121" w:lineRule="exact"/>
        <w:rPr>
          <w:sz w:val="20"/>
          <w:szCs w:val="20"/>
          <w:color w:val="auto"/>
        </w:rPr>
      </w:pPr>
    </w:p>
    <w:p>
      <w:pPr>
        <w:jc w:val="both"/>
        <w:ind w:right="120" w:firstLine="432"/>
        <w:spacing w:after="0" w:line="257" w:lineRule="auto"/>
        <w:rPr>
          <w:sz w:val="20"/>
          <w:szCs w:val="20"/>
          <w:color w:val="auto"/>
        </w:rPr>
      </w:pPr>
      <w:r>
        <w:rPr>
          <w:rFonts w:ascii="Arial" w:cs="Arial" w:eastAsia="Arial" w:hAnsi="Arial"/>
          <w:sz w:val="18"/>
          <w:szCs w:val="18"/>
          <w:color w:val="auto"/>
        </w:rPr>
        <w:t xml:space="preserve">The FASB also issued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core principle is that lessees should recognize the assets and liabilities arising from leases on the balance sheet. Under the new standard, lessees will be required to recognize lease assets and liabilities for all leases, with certain exceptions, on their balance sheets. We adopted ASU 2016-02 as of January 1, 2019. The adoption of this standard had a material impact on our consolidated financial statements. We continue to identify the appropriate changes to our business processes, systems, and controls to support the new lease standard and the required disclosures under the new standard.</w:t>
      </w:r>
    </w:p>
    <w:p>
      <w:pPr>
        <w:spacing w:after="0" w:line="134"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It is not clear if or when these and other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112" w:lineRule="exact"/>
        <w:rPr>
          <w:sz w:val="20"/>
          <w:szCs w:val="20"/>
          <w:color w:val="auto"/>
        </w:rPr>
      </w:pPr>
    </w:p>
    <w:p>
      <w:pPr>
        <w:ind w:right="160" w:firstLine="392"/>
        <w:spacing w:after="0" w:line="277" w:lineRule="auto"/>
        <w:rPr>
          <w:sz w:val="20"/>
          <w:szCs w:val="20"/>
          <w:color w:val="auto"/>
        </w:rPr>
      </w:pPr>
      <w:r>
        <w:rPr>
          <w:rFonts w:ascii="Arial" w:cs="Arial" w:eastAsia="Arial" w:hAnsi="Arial"/>
          <w:sz w:val="18"/>
          <w:szCs w:val="18"/>
          <w:color w:val="auto"/>
        </w:rPr>
        <w:t>We have significant outstanding convertible debt, and may be required to repay, refinance or restructure a portion of such debt before 2021. As of June 30, 2019, we had outstanding $51.3 million aggregate principal amount of our 2014 Notes. The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1" w:name="page52"/>
    <w:bookmarkEnd w:id="51"/>
    <w:p>
      <w:pPr>
        <w:spacing w:after="0" w:line="255" w:lineRule="auto"/>
        <w:rPr>
          <w:sz w:val="20"/>
          <w:szCs w:val="20"/>
          <w:color w:val="auto"/>
        </w:rPr>
      </w:pPr>
      <w:r>
        <w:rPr>
          <w:rFonts w:ascii="Arial" w:cs="Arial" w:eastAsia="Arial" w:hAnsi="Arial"/>
          <w:sz w:val="18"/>
          <w:szCs w:val="18"/>
          <w:color w:val="auto"/>
        </w:rPr>
        <w:t>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If we undergo a fundamental change, as defined in the terms of each of the applicable series of Notes, holders of the 2014 Notes may require us to repurchase the 2014 Notes in whole or in part for cash at a repurchase price equal to 100% of the principal amount of the 2014 Notes plus accrued and unpaid interest. If we refinance the debt owed under the 2014 Notes, we may issue additional convertible notes or other debt, which could include additional company obligations and represent more dilution to existing stockholders and noteholders.</w:t>
      </w:r>
    </w:p>
    <w:p>
      <w:pPr>
        <w:spacing w:after="0" w:line="1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This significant amount of debt has important risks to us and our investors, including:</w:t>
      </w:r>
    </w:p>
    <w:p>
      <w:pPr>
        <w:spacing w:after="0" w:line="171" w:lineRule="exact"/>
        <w:rPr>
          <w:sz w:val="20"/>
          <w:szCs w:val="20"/>
          <w:color w:val="auto"/>
        </w:rPr>
      </w:pPr>
    </w:p>
    <w:p>
      <w:pPr>
        <w:ind w:left="1040" w:hanging="31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a portion of our cash flow from operations to make interest payments on this debt;</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19"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46" w:right="259" w:bottom="1440" w:gutter="0" w:footer="0" w:header="0"/>
        </w:sectPr>
      </w:pPr>
    </w:p>
    <w:bookmarkStart w:id="52" w:name="page53"/>
    <w:bookmarkEnd w:id="52"/>
    <w:p>
      <w:pPr>
        <w:ind w:right="16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2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2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2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4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29"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3" w:name="page54"/>
    <w:bookmarkEnd w:id="53"/>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 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4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1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5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51" w:right="239" w:bottom="1440" w:gutter="0" w:footer="0" w:header="0"/>
        </w:sectPr>
      </w:pPr>
    </w:p>
    <w:bookmarkStart w:id="54" w:name="page55"/>
    <w:bookmarkEnd w:id="54"/>
    <w:p>
      <w:pPr>
        <w:ind w:right="100"/>
        <w:spacing w:after="0" w:line="291" w:lineRule="auto"/>
        <w:rPr>
          <w:sz w:val="20"/>
          <w:szCs w:val="20"/>
          <w:color w:val="auto"/>
        </w:rPr>
      </w:pPr>
      <w:r>
        <w:rPr>
          <w:rFonts w:ascii="Arial" w:cs="Arial" w:eastAsia="Arial" w:hAnsi="Arial"/>
          <w:sz w:val="16"/>
          <w:szCs w:val="16"/>
          <w:color w:val="auto"/>
        </w:rPr>
        <w:t>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187"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44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445"/>
        </w:trPr>
        <w:tc>
          <w:tcPr>
            <w:tcW w:w="112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0000FF"/>
            </w:tcBorders>
            <w:gridSpan w:val="6"/>
          </w:tcPr>
          <w:p>
            <w:pPr>
              <w:spacing w:after="0"/>
              <w:rPr>
                <w:rFonts w:ascii="Arial" w:cs="Arial" w:eastAsia="Arial" w:hAnsi="Arial"/>
                <w:sz w:val="18"/>
                <w:szCs w:val="18"/>
                <w:color w:val="0000FF"/>
                <w:w w:val="92"/>
              </w:rPr>
            </w:pPr>
            <w:hyperlink r:id="rId13">
              <w:r>
                <w:rPr>
                  <w:rFonts w:ascii="Arial" w:cs="Arial" w:eastAsia="Arial" w:hAnsi="Arial"/>
                  <w:sz w:val="18"/>
                  <w:szCs w:val="18"/>
                  <w:color w:val="0000FF"/>
                  <w:w w:val="92"/>
                </w:rPr>
                <w:t>First Amendment to Lease between AP3-SF3 CT North, LLC and Fluidigm</w:t>
              </w:r>
            </w:hyperlink>
          </w:p>
        </w:tc>
        <w:tc>
          <w:tcPr>
            <w:tcW w:w="580" w:type="dxa"/>
            <w:vAlign w:val="bottom"/>
            <w:gridSpan w:val="2"/>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8"/>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Corporation, dated April 26, 2019</w:t>
              </w:r>
              <w:r>
                <w:rPr>
                  <w:rFonts w:ascii="Arial" w:cs="Arial" w:eastAsia="Arial" w:hAnsi="Arial"/>
                  <w:sz w:val="18"/>
                  <w:szCs w:val="18"/>
                  <w:color w:val="000000"/>
                </w:rPr>
                <w:t>.</w:t>
              </w:r>
            </w:hyperlink>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8"/>
          </w:tcPr>
          <w:p>
            <w:pPr>
              <w:spacing w:after="0"/>
              <w:rPr>
                <w:rFonts w:ascii="Arial" w:cs="Arial" w:eastAsia="Arial" w:hAnsi="Arial"/>
                <w:sz w:val="18"/>
                <w:szCs w:val="18"/>
                <w:color w:val="0000FF"/>
              </w:rPr>
            </w:pPr>
            <w:hyperlink r:id="rId14">
              <w:r>
                <w:rPr>
                  <w:rFonts w:ascii="Arial" w:cs="Arial" w:eastAsia="Arial" w:hAnsi="Arial"/>
                  <w:sz w:val="18"/>
                  <w:szCs w:val="18"/>
                  <w:color w:val="0000FF"/>
                </w:rPr>
                <w:t>Amended and Restated 2011 Equity Incentive Plan</w:t>
              </w:r>
            </w:hyperlink>
            <w:r>
              <w:rPr>
                <w:rFonts w:ascii="Arial" w:cs="Arial" w:eastAsia="Arial" w:hAnsi="Arial"/>
                <w:sz w:val="18"/>
                <w:szCs w:val="18"/>
                <w:color w:val="000000"/>
              </w:rPr>
              <w: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6/5/2019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Pursuant to 18 U.S.C. Section 1350, as Adopted Pursuant to</w:t>
              </w:r>
            </w:hyperlink>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8"/>
          </w:tcPr>
          <w:p>
            <w:pPr>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Section 302 of the Sarbanes-Oxley Act of 2002 of Chief Executive Officer</w:t>
              </w:r>
            </w:hyperlink>
            <w:r>
              <w:rPr>
                <w:rFonts w:ascii="Arial" w:cs="Arial" w:eastAsia="Arial" w:hAnsi="Arial"/>
                <w:sz w:val="18"/>
                <w:szCs w:val="18"/>
                <w:color w:val="000000"/>
              </w:rPr>
              <w:t>.</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tcBorders>
            <w:gridSpan w:val="5"/>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Certification Pursuant to 18 U.S.C. Section 1350, as Adopted Pursuant to</w:t>
              </w:r>
            </w:hyperlink>
          </w:p>
        </w:tc>
        <w:tc>
          <w:tcPr>
            <w:tcW w:w="660" w:type="dxa"/>
            <w:vAlign w:val="bottom"/>
            <w:gridSpan w:val="3"/>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8"/>
          </w:tcPr>
          <w:p>
            <w:pPr>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Section 302 of the Sarbanes-Oxley Act of 2002 of Chief Financial Officer</w:t>
              </w:r>
            </w:hyperlink>
            <w:r>
              <w:rPr>
                <w:rFonts w:ascii="Arial" w:cs="Arial" w:eastAsia="Arial" w:hAnsi="Arial"/>
                <w:sz w:val="18"/>
                <w:szCs w:val="18"/>
                <w:color w:val="000000"/>
              </w:rPr>
              <w:t>.</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top w:val="single" w:sz="8" w:color="0000FF"/>
            </w:tcBorders>
            <w:gridSpan w:val="4"/>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Certification Pursuant to 18 U.S.C. Section 1350, as Adopted Pursuant to</w:t>
              </w:r>
            </w:hyperlink>
          </w:p>
        </w:tc>
        <w:tc>
          <w:tcPr>
            <w:tcW w:w="700" w:type="dxa"/>
            <w:vAlign w:val="bottom"/>
            <w:gridSpan w:val="4"/>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Furnished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8"/>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Section 906 of the Sarbanes-Oxley Act of 2002 of Chief Executive Officer</w:t>
              </w:r>
            </w:hyperlink>
            <w:r>
              <w:rPr>
                <w:rFonts w:ascii="Arial" w:cs="Arial" w:eastAsia="Arial" w:hAnsi="Arial"/>
                <w:sz w:val="18"/>
                <w:szCs w:val="18"/>
                <w:color w:val="000000"/>
              </w:rPr>
              <w:t>.</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20" w:type="dxa"/>
            <w:vAlign w:val="bottom"/>
          </w:tcPr>
          <w:p>
            <w:pPr>
              <w:ind w:left="40"/>
              <w:spacing w:after="0"/>
              <w:rPr>
                <w:sz w:val="20"/>
                <w:szCs w:val="20"/>
                <w:color w:val="auto"/>
              </w:rPr>
            </w:pPr>
            <w:r>
              <w:rPr>
                <w:rFonts w:ascii="Arial" w:cs="Arial" w:eastAsia="Arial" w:hAnsi="Arial"/>
                <w:sz w:val="18"/>
                <w:szCs w:val="18"/>
                <w:color w:val="auto"/>
              </w:rPr>
              <w:t>32.2(1)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tcBorders>
            <w:gridSpan w:val="5"/>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Pursuant to 18 U.S.C. Section 1350, as Adopted Pursuant to</w:t>
              </w:r>
            </w:hyperlink>
          </w:p>
        </w:tc>
        <w:tc>
          <w:tcPr>
            <w:tcW w:w="660" w:type="dxa"/>
            <w:vAlign w:val="bottom"/>
            <w:gridSpan w:val="3"/>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Furnished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8"/>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Section 906 of the Sarbanes-Oxley Act of 2002 of Chief Financial Officer</w:t>
              </w:r>
            </w:hyperlink>
            <w:r>
              <w:rPr>
                <w:rFonts w:ascii="Arial" w:cs="Arial" w:eastAsia="Arial" w:hAnsi="Arial"/>
                <w:sz w:val="18"/>
                <w:szCs w:val="18"/>
                <w:color w:val="000000"/>
              </w:rPr>
              <w:t>.</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53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0"/>
              </w:rPr>
              <w:t>XBRL Instance Document - the instance document does not appear in the</w:t>
            </w:r>
          </w:p>
        </w:tc>
        <w:tc>
          <w:tcPr>
            <w:tcW w:w="700" w:type="dxa"/>
            <w:vAlign w:val="bottom"/>
            <w:gridSpan w:val="4"/>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8"/>
          </w:tcPr>
          <w:p>
            <w:pPr>
              <w:spacing w:after="0"/>
              <w:rPr>
                <w:sz w:val="20"/>
                <w:szCs w:val="20"/>
                <w:color w:val="auto"/>
              </w:rPr>
            </w:pPr>
            <w:r>
              <w:rPr>
                <w:rFonts w:ascii="Arial" w:cs="Arial" w:eastAsia="Arial" w:hAnsi="Arial"/>
                <w:sz w:val="18"/>
                <w:szCs w:val="18"/>
                <w:color w:val="auto"/>
              </w:rPr>
              <w:t>Interactive Data File because its XBRL tags are embedded within the Inline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8"/>
          </w:tcPr>
          <w:p>
            <w:pPr>
              <w:spacing w:after="0"/>
              <w:rPr>
                <w:sz w:val="20"/>
                <w:szCs w:val="20"/>
                <w:color w:val="auto"/>
              </w:rPr>
            </w:pPr>
            <w:r>
              <w:rPr>
                <w:rFonts w:ascii="Arial" w:cs="Arial" w:eastAsia="Arial" w:hAnsi="Arial"/>
                <w:sz w:val="18"/>
                <w:szCs w:val="18"/>
                <w:color w:val="auto"/>
              </w:rPr>
              <w:t>XBRL document.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0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0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0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0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0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20" w:right="40" w:hanging="1385"/>
        <w:spacing w:after="0" w:line="271" w:lineRule="auto"/>
        <w:tabs>
          <w:tab w:leader="none" w:pos="1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50" w:right="239" w:bottom="1440" w:gutter="0" w:footer="0" w:header="0"/>
        </w:sectPr>
      </w:pPr>
    </w:p>
    <w:bookmarkStart w:id="56" w:name="page57"/>
    <w:bookmarkEnd w:id="56"/>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August 7, 2019</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August 7, 2019</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720"/>
          </w:cols>
          <w:pgMar w:left="240" w:top="580" w:right="9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20" w:hanging="328"/>
        <w:spacing w:after="0" w:line="308" w:lineRule="auto"/>
        <w:tabs>
          <w:tab w:leader="none" w:pos="5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August 7, 2019</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20" w:hanging="328"/>
        <w:spacing w:after="0" w:line="308" w:lineRule="auto"/>
        <w:tabs>
          <w:tab w:leader="none" w:pos="5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August 7, 2019</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18 U.S.C. § 1350, AS ADOPTED PURSUANT TO SECTION 906 OF THE SARBANES-OXLEY ACT OF 2002</w:t>
      </w:r>
    </w:p>
    <w:p>
      <w:pPr>
        <w:spacing w:after="0" w:line="126"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 Stephen Christopher Linthwaite, the president and chief executive officer of Fluidigm Corporation (the “Company”), certify for the purposes of 18 U.S.C. Section 1350, as adopted pursuant to Section 906 of the Sarbanes-Oxley Act of 2002, that, to the best of my knowledge,</w:t>
      </w:r>
    </w:p>
    <w:p>
      <w:pPr>
        <w:spacing w:after="0" w:line="11" w:lineRule="exact"/>
        <w:rPr>
          <w:sz w:val="20"/>
          <w:szCs w:val="20"/>
          <w:color w:val="auto"/>
        </w:rPr>
      </w:pPr>
    </w:p>
    <w:p>
      <w:pPr>
        <w:ind w:right="140" w:firstLine="886"/>
        <w:spacing w:after="0" w:line="277" w:lineRule="auto"/>
        <w:tabs>
          <w:tab w:leader="none" w:pos="10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2019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tabs>
          <w:tab w:leader="none" w:pos="5640" w:val="left"/>
          <w:tab w:leader="none" w:pos="6060" w:val="left"/>
        </w:tabs>
        <w:rPr>
          <w:sz w:val="20"/>
          <w:szCs w:val="20"/>
          <w:color w:val="auto"/>
        </w:rPr>
      </w:pPr>
      <w:r>
        <w:rPr>
          <w:rFonts w:ascii="Arial" w:cs="Arial" w:eastAsia="Arial" w:hAnsi="Arial"/>
          <w:sz w:val="18"/>
          <w:szCs w:val="18"/>
          <w:color w:val="auto"/>
        </w:rPr>
        <w:t>Date: August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140" w:firstLine="886"/>
        <w:spacing w:after="0" w:line="277" w:lineRule="auto"/>
        <w:tabs>
          <w:tab w:leader="none" w:pos="10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2019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tabs>
          <w:tab w:leader="none" w:pos="5640" w:val="left"/>
          <w:tab w:leader="none" w:pos="6060" w:val="left"/>
        </w:tabs>
        <w:rPr>
          <w:sz w:val="20"/>
          <w:szCs w:val="20"/>
          <w:color w:val="auto"/>
        </w:rPr>
      </w:pPr>
      <w:r>
        <w:rPr>
          <w:rFonts w:ascii="Arial" w:cs="Arial" w:eastAsia="Arial" w:hAnsi="Arial"/>
          <w:sz w:val="18"/>
          <w:szCs w:val="18"/>
          <w:color w:val="auto"/>
        </w:rPr>
        <w:t>Date: August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3"/>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
      <w:numFmt w:val="bullet"/>
      <w:start w:val="1"/>
    </w:lvl>
  </w:abstractNum>
  <w:abstractNum w:abstractNumId="14">
    <w:nsid w:val="3F2DBA31"/>
    <w:multiLevelType w:val="hybridMultilevel"/>
    <w:lvl w:ilvl="0">
      <w:lvlJc w:val="left"/>
      <w:lvlText w:val="%1."/>
      <w:numFmt w:val="decimal"/>
      <w:start w:val="382"/>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Archives/edgar/data/1162194/000116219419000033/ex102.htm" TargetMode="External"/><Relationship Id="rId14" Type="http://schemas.openxmlformats.org/officeDocument/2006/relationships/hyperlink" Target="http://www.sec.gov/Archives/edgar/data/1162194/000117184319003846/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2019-12-28T08:30:20Z</dcterms:created>
  <dcterms:modified xsi:type="dcterms:W3CDTF">2019-12-28T08:30:20Z</dcterms:modified>
</cp:coreProperties>
</file>