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168275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186690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740" w:right="1840" w:hanging="3705"/>
        <w:spacing w:after="0" w:line="328" w:lineRule="auto"/>
        <w:tabs>
          <w:tab w:leader="none" w:pos="38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214630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236220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410" w:type="dxa"/>
        <w:tblCellMar>
          <w:top w:w="0" w:type="dxa"/>
          <w:left w:w="0" w:type="dxa"/>
          <w:bottom w:w="0" w:type="dxa"/>
          <w:right w:w="0" w:type="dxa"/>
        </w:tblCellMar>
      </w:tblPr>
      <w:tr>
        <w:trPr>
          <w:trHeight w:val="234"/>
        </w:trPr>
        <w:tc>
          <w:tcPr>
            <w:tcW w:w="4560" w:type="dxa"/>
            <w:vAlign w:val="bottom"/>
            <w:gridSpan w:val="4"/>
          </w:tcPr>
          <w:p>
            <w:pPr>
              <w:jc w:val="center"/>
              <w:ind w:left="480"/>
              <w:spacing w:after="0"/>
              <w:rPr>
                <w:sz w:val="20"/>
                <w:szCs w:val="20"/>
                <w:color w:val="auto"/>
              </w:rPr>
            </w:pPr>
            <w:r>
              <w:rPr>
                <w:rFonts w:ascii="Arial" w:cs="Arial" w:eastAsia="Arial" w:hAnsi="Arial"/>
                <w:sz w:val="18"/>
                <w:szCs w:val="18"/>
                <w:b w:val="1"/>
                <w:bCs w:val="1"/>
                <w:color w:val="auto"/>
                <w:w w:val="91"/>
              </w:rPr>
              <w:t>Delaware</w:t>
            </w:r>
          </w:p>
        </w:tc>
        <w:tc>
          <w:tcPr>
            <w:tcW w:w="1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560" w:type="dxa"/>
            <w:vAlign w:val="bottom"/>
            <w:gridSpan w:val="2"/>
          </w:tcPr>
          <w:p>
            <w:pPr>
              <w:jc w:val="right"/>
              <w:ind w:right="2022"/>
              <w:spacing w:after="0"/>
              <w:rPr>
                <w:sz w:val="20"/>
                <w:szCs w:val="20"/>
                <w:color w:val="auto"/>
              </w:rPr>
            </w:pPr>
            <w:r>
              <w:rPr>
                <w:rFonts w:ascii="Arial" w:cs="Arial" w:eastAsia="Arial" w:hAnsi="Arial"/>
                <w:sz w:val="18"/>
                <w:szCs w:val="18"/>
                <w:b w:val="1"/>
                <w:bCs w:val="1"/>
                <w:color w:val="auto"/>
              </w:rPr>
              <w:t>77-0513190</w:t>
            </w:r>
          </w:p>
        </w:tc>
      </w:tr>
      <w:tr>
        <w:trPr>
          <w:trHeight w:val="180"/>
        </w:trPr>
        <w:tc>
          <w:tcPr>
            <w:tcW w:w="4560" w:type="dxa"/>
            <w:vAlign w:val="bottom"/>
            <w:gridSpan w:val="4"/>
          </w:tcPr>
          <w:p>
            <w:pPr>
              <w:jc w:val="center"/>
              <w:ind w:left="480"/>
              <w:spacing w:after="0"/>
              <w:rPr>
                <w:sz w:val="20"/>
                <w:szCs w:val="20"/>
                <w:color w:val="auto"/>
              </w:rPr>
            </w:pPr>
            <w:r>
              <w:rPr>
                <w:rFonts w:ascii="Arial" w:cs="Arial" w:eastAsia="Arial" w:hAnsi="Arial"/>
                <w:sz w:val="14"/>
                <w:szCs w:val="14"/>
                <w:b w:val="1"/>
                <w:bCs w:val="1"/>
                <w:color w:val="auto"/>
                <w:w w:val="93"/>
              </w:rPr>
              <w:t>(State or other jurisdiction of</w:t>
            </w:r>
          </w:p>
        </w:tc>
        <w:tc>
          <w:tcPr>
            <w:tcW w:w="1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40" w:type="dxa"/>
            <w:vAlign w:val="bottom"/>
          </w:tcPr>
          <w:p>
            <w:pPr>
              <w:jc w:val="center"/>
              <w:ind w:right="1742"/>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4560" w:type="dxa"/>
            <w:vAlign w:val="bottom"/>
            <w:gridSpan w:val="4"/>
          </w:tcPr>
          <w:p>
            <w:pPr>
              <w:jc w:val="center"/>
              <w:ind w:left="480"/>
              <w:spacing w:after="0"/>
              <w:rPr>
                <w:sz w:val="20"/>
                <w:szCs w:val="20"/>
                <w:color w:val="auto"/>
              </w:rPr>
            </w:pPr>
            <w:r>
              <w:rPr>
                <w:rFonts w:ascii="Arial" w:cs="Arial" w:eastAsia="Arial" w:hAnsi="Arial"/>
                <w:sz w:val="14"/>
                <w:szCs w:val="14"/>
                <w:b w:val="1"/>
                <w:bCs w:val="1"/>
                <w:color w:val="auto"/>
                <w:w w:val="94"/>
              </w:rPr>
              <w:t>incorporation or organization)</w:t>
            </w:r>
          </w:p>
        </w:tc>
        <w:tc>
          <w:tcPr>
            <w:tcW w:w="1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560" w:type="dxa"/>
            <w:vAlign w:val="bottom"/>
            <w:gridSpan w:val="2"/>
          </w:tcPr>
          <w:p>
            <w:pPr>
              <w:jc w:val="center"/>
              <w:ind w:right="1422"/>
              <w:spacing w:after="0"/>
              <w:rPr>
                <w:sz w:val="20"/>
                <w:szCs w:val="20"/>
                <w:color w:val="auto"/>
              </w:rPr>
            </w:pPr>
            <w:r>
              <w:rPr>
                <w:rFonts w:ascii="Arial" w:cs="Arial" w:eastAsia="Arial" w:hAnsi="Arial"/>
                <w:sz w:val="14"/>
                <w:szCs w:val="14"/>
                <w:b w:val="1"/>
                <w:bCs w:val="1"/>
                <w:color w:val="auto"/>
                <w:w w:val="95"/>
              </w:rPr>
              <w:t>Identification Number)</w:t>
            </w:r>
          </w:p>
        </w:tc>
      </w:tr>
      <w:tr>
        <w:trPr>
          <w:trHeight w:val="539"/>
        </w:trPr>
        <w:tc>
          <w:tcPr>
            <w:tcW w:w="2680" w:type="dxa"/>
            <w:vAlign w:val="bottom"/>
          </w:tcPr>
          <w:p>
            <w:pPr>
              <w:ind w:left="180"/>
              <w:spacing w:after="0"/>
              <w:rPr>
                <w:sz w:val="20"/>
                <w:szCs w:val="20"/>
                <w:color w:val="auto"/>
              </w:rPr>
            </w:pPr>
            <w:r>
              <w:rPr>
                <w:rFonts w:ascii="Arial" w:cs="Arial" w:eastAsia="Arial" w:hAnsi="Arial"/>
                <w:sz w:val="18"/>
                <w:szCs w:val="18"/>
                <w:b w:val="1"/>
                <w:bCs w:val="1"/>
                <w:color w:val="auto"/>
              </w:rPr>
              <w:t>7000 Shoreline Ct, Ste 100,</w:t>
            </w:r>
          </w:p>
        </w:tc>
        <w:tc>
          <w:tcPr>
            <w:tcW w:w="1880" w:type="dxa"/>
            <w:vAlign w:val="bottom"/>
            <w:gridSpan w:val="3"/>
          </w:tcPr>
          <w:p>
            <w:pPr>
              <w:ind w:left="100"/>
              <w:spacing w:after="0"/>
              <w:rPr>
                <w:sz w:val="20"/>
                <w:szCs w:val="20"/>
                <w:color w:val="auto"/>
              </w:rPr>
            </w:pPr>
            <w:r>
              <w:rPr>
                <w:rFonts w:ascii="Arial" w:cs="Arial" w:eastAsia="Arial" w:hAnsi="Arial"/>
                <w:sz w:val="18"/>
                <w:szCs w:val="18"/>
                <w:b w:val="1"/>
                <w:bCs w:val="1"/>
                <w:color w:val="auto"/>
                <w:w w:val="95"/>
              </w:rPr>
              <w:t>South San Francisco,</w:t>
            </w:r>
          </w:p>
        </w:tc>
        <w:tc>
          <w:tcPr>
            <w:tcW w:w="2540" w:type="dxa"/>
            <w:vAlign w:val="bottom"/>
            <w:gridSpan w:val="2"/>
          </w:tcPr>
          <w:p>
            <w:pPr>
              <w:ind w:left="140"/>
              <w:spacing w:after="0"/>
              <w:rPr>
                <w:sz w:val="20"/>
                <w:szCs w:val="20"/>
                <w:color w:val="auto"/>
              </w:rPr>
            </w:pPr>
            <w:r>
              <w:rPr>
                <w:rFonts w:ascii="Arial" w:cs="Arial" w:eastAsia="Arial" w:hAnsi="Arial"/>
                <w:sz w:val="18"/>
                <w:szCs w:val="18"/>
                <w:b w:val="1"/>
                <w:bCs w:val="1"/>
                <w:color w:val="auto"/>
              </w:rPr>
              <w:t>CA</w:t>
            </w:r>
          </w:p>
        </w:tc>
        <w:tc>
          <w:tcPr>
            <w:tcW w:w="3560" w:type="dxa"/>
            <w:vAlign w:val="bottom"/>
            <w:gridSpan w:val="2"/>
          </w:tcPr>
          <w:p>
            <w:pPr>
              <w:jc w:val="right"/>
              <w:ind w:right="2222"/>
              <w:spacing w:after="0"/>
              <w:rPr>
                <w:sz w:val="20"/>
                <w:szCs w:val="20"/>
                <w:color w:val="auto"/>
              </w:rPr>
            </w:pPr>
            <w:r>
              <w:rPr>
                <w:rFonts w:ascii="Arial" w:cs="Arial" w:eastAsia="Arial" w:hAnsi="Arial"/>
                <w:sz w:val="18"/>
                <w:szCs w:val="18"/>
                <w:b w:val="1"/>
                <w:bCs w:val="1"/>
                <w:color w:val="auto"/>
              </w:rPr>
              <w:t>94080</w:t>
            </w:r>
          </w:p>
        </w:tc>
      </w:tr>
      <w:tr>
        <w:trPr>
          <w:trHeight w:val="285"/>
        </w:trPr>
        <w:tc>
          <w:tcPr>
            <w:tcW w:w="4560" w:type="dxa"/>
            <w:vAlign w:val="bottom"/>
            <w:gridSpan w:val="4"/>
          </w:tcPr>
          <w:p>
            <w:pPr>
              <w:jc w:val="center"/>
              <w:ind w:left="4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tcPr>
          <w:p>
            <w:pPr>
              <w:jc w:val="center"/>
              <w:ind w:right="1742"/>
              <w:spacing w:after="0"/>
              <w:rPr>
                <w:sz w:val="20"/>
                <w:szCs w:val="20"/>
                <w:color w:val="auto"/>
              </w:rPr>
            </w:pPr>
            <w:r>
              <w:rPr>
                <w:rFonts w:ascii="Arial" w:cs="Arial" w:eastAsia="Arial" w:hAnsi="Arial"/>
                <w:sz w:val="14"/>
                <w:szCs w:val="14"/>
                <w:b w:val="1"/>
                <w:bCs w:val="1"/>
                <w:color w:val="auto"/>
                <w:w w:val="95"/>
              </w:rPr>
              <w:t>(Zip Code)</w:t>
            </w:r>
          </w:p>
        </w:tc>
      </w:tr>
      <w:tr>
        <w:trPr>
          <w:trHeight w:val="421"/>
        </w:trPr>
        <w:tc>
          <w:tcPr>
            <w:tcW w:w="2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jc w:val="center"/>
              <w:ind w:right="254"/>
              <w:spacing w:after="0"/>
              <w:rPr>
                <w:sz w:val="20"/>
                <w:szCs w:val="20"/>
                <w:color w:val="auto"/>
              </w:rPr>
            </w:pPr>
            <w:r>
              <w:rPr>
                <w:rFonts w:ascii="Arial" w:cs="Arial" w:eastAsia="Arial" w:hAnsi="Arial"/>
                <w:sz w:val="18"/>
                <w:szCs w:val="18"/>
                <w:b w:val="1"/>
                <w:bCs w:val="1"/>
                <w:color w:val="auto"/>
                <w:w w:val="90"/>
              </w:rPr>
              <w:t>(650) 266-6000</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186"/>
        </w:trPr>
        <w:tc>
          <w:tcPr>
            <w:tcW w:w="2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2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55"/>
        </w:trPr>
        <w:tc>
          <w:tcPr>
            <w:tcW w:w="3220" w:type="dxa"/>
            <w:vAlign w:val="bottom"/>
            <w:gridSpan w:val="2"/>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240" w:type="dxa"/>
            <w:vAlign w:val="bottom"/>
          </w:tcPr>
          <w:p>
            <w:pPr>
              <w:spacing w:after="0"/>
              <w:rPr>
                <w:sz w:val="22"/>
                <w:szCs w:val="22"/>
                <w:color w:val="auto"/>
              </w:rPr>
            </w:pPr>
          </w:p>
        </w:tc>
      </w:tr>
      <w:tr>
        <w:trPr>
          <w:trHeight w:val="568"/>
        </w:trPr>
        <w:tc>
          <w:tcPr>
            <w:tcW w:w="4560" w:type="dxa"/>
            <w:vAlign w:val="bottom"/>
            <w:gridSpan w:val="4"/>
          </w:tcPr>
          <w:p>
            <w:pPr>
              <w:ind w:left="20"/>
              <w:spacing w:after="0"/>
              <w:rPr>
                <w:sz w:val="20"/>
                <w:szCs w:val="20"/>
                <w:color w:val="auto"/>
              </w:rPr>
            </w:pPr>
            <w:r>
              <w:rPr>
                <w:rFonts w:ascii="Arial" w:cs="Arial" w:eastAsia="Arial" w:hAnsi="Arial"/>
                <w:sz w:val="16"/>
                <w:szCs w:val="16"/>
                <w:color w:val="auto"/>
              </w:rPr>
              <w:t>Securities registered pursuant to Section 12(b) of the Act:</w:t>
            </w: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33"/>
        </w:trPr>
        <w:tc>
          <w:tcPr>
            <w:tcW w:w="2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2"/>
          </w:tcPr>
          <w:p>
            <w:pPr>
              <w:spacing w:after="0"/>
              <w:rPr>
                <w:sz w:val="2"/>
                <w:szCs w:val="2"/>
                <w:color w:val="auto"/>
              </w:rPr>
            </w:pPr>
          </w:p>
        </w:tc>
      </w:tr>
      <w:tr>
        <w:trPr>
          <w:trHeight w:val="258"/>
        </w:trPr>
        <w:tc>
          <w:tcPr>
            <w:tcW w:w="2680" w:type="dxa"/>
            <w:vAlign w:val="bottom"/>
            <w:tcBorders>
              <w:left w:val="single" w:sz="8" w:color="auto"/>
              <w:bottom w:val="single" w:sz="8" w:color="auto"/>
            </w:tcBorders>
          </w:tcPr>
          <w:p>
            <w:pPr>
              <w:ind w:left="1480"/>
              <w:spacing w:after="0"/>
              <w:rPr>
                <w:sz w:val="20"/>
                <w:szCs w:val="20"/>
                <w:color w:val="auto"/>
              </w:rPr>
            </w:pPr>
            <w:r>
              <w:rPr>
                <w:rFonts w:ascii="Arial" w:cs="Arial" w:eastAsia="Arial" w:hAnsi="Arial"/>
                <w:sz w:val="14"/>
                <w:szCs w:val="14"/>
                <w:b w:val="1"/>
                <w:bCs w:val="1"/>
                <w:color w:val="auto"/>
                <w:w w:val="97"/>
              </w:rPr>
              <w:t>Title of each class</w:t>
            </w: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2"/>
              </w:rPr>
              <w:t>Trading Symbol(s)</w:t>
            </w:r>
          </w:p>
        </w:tc>
        <w:tc>
          <w:tcPr>
            <w:tcW w:w="680" w:type="dxa"/>
            <w:vAlign w:val="bottom"/>
            <w:tcBorders>
              <w:bottom w:val="single" w:sz="8" w:color="auto"/>
            </w:tcBorders>
          </w:tcPr>
          <w:p>
            <w:pPr>
              <w:spacing w:after="0"/>
              <w:rPr>
                <w:sz w:val="22"/>
                <w:szCs w:val="22"/>
                <w:color w:val="auto"/>
              </w:rPr>
            </w:pPr>
          </w:p>
        </w:tc>
        <w:tc>
          <w:tcPr>
            <w:tcW w:w="3560" w:type="dxa"/>
            <w:vAlign w:val="bottom"/>
            <w:tcBorders>
              <w:bottom w:val="single" w:sz="8" w:color="auto"/>
              <w:right w:val="single" w:sz="8" w:color="auto"/>
            </w:tcBorders>
            <w:gridSpan w:val="2"/>
          </w:tcPr>
          <w:p>
            <w:pPr>
              <w:jc w:val="center"/>
              <w:ind w:right="442"/>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3"/>
        </w:trPr>
        <w:tc>
          <w:tcPr>
            <w:tcW w:w="4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Common Stock, par value $0.001 per share</w:t>
            </w:r>
          </w:p>
        </w:tc>
        <w:tc>
          <w:tcPr>
            <w:tcW w:w="280" w:type="dxa"/>
            <w:vAlign w:val="bottom"/>
          </w:tcPr>
          <w:p>
            <w:pPr>
              <w:spacing w:after="0"/>
              <w:rPr>
                <w:sz w:val="21"/>
                <w:szCs w:val="21"/>
                <w:color w:val="auto"/>
              </w:rPr>
            </w:pPr>
          </w:p>
        </w:tc>
        <w:tc>
          <w:tcPr>
            <w:tcW w:w="1860" w:type="dxa"/>
            <w:vAlign w:val="bottom"/>
            <w:tcBorders>
              <w:right w:val="single" w:sz="8" w:color="auto"/>
            </w:tcBorders>
          </w:tcPr>
          <w:p>
            <w:pPr>
              <w:jc w:val="center"/>
              <w:ind w:right="234"/>
              <w:spacing w:after="0"/>
              <w:rPr>
                <w:sz w:val="20"/>
                <w:szCs w:val="20"/>
                <w:color w:val="auto"/>
              </w:rPr>
            </w:pPr>
            <w:r>
              <w:rPr>
                <w:rFonts w:ascii="Arial" w:cs="Arial" w:eastAsia="Arial" w:hAnsi="Arial"/>
                <w:sz w:val="18"/>
                <w:szCs w:val="18"/>
                <w:b w:val="1"/>
                <w:bCs w:val="1"/>
                <w:color w:val="auto"/>
              </w:rPr>
              <w:t>FLDM</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40" w:type="dxa"/>
            <w:vAlign w:val="bottom"/>
            <w:tcBorders>
              <w:right w:val="single" w:sz="8" w:color="auto"/>
            </w:tcBorders>
          </w:tcPr>
          <w:p>
            <w:pPr>
              <w:jc w:val="center"/>
              <w:ind w:right="782"/>
              <w:spacing w:after="0"/>
              <w:rPr>
                <w:sz w:val="20"/>
                <w:szCs w:val="20"/>
                <w:color w:val="auto"/>
              </w:rPr>
            </w:pPr>
            <w:r>
              <w:rPr>
                <w:rFonts w:ascii="Arial" w:cs="Arial" w:eastAsia="Arial" w:hAnsi="Arial"/>
                <w:sz w:val="18"/>
                <w:szCs w:val="18"/>
                <w:b w:val="1"/>
                <w:bCs w:val="1"/>
                <w:color w:val="auto"/>
                <w:w w:val="91"/>
              </w:rPr>
              <w:t>Nasdaq Global Select Market</w:t>
            </w:r>
          </w:p>
        </w:tc>
      </w:tr>
      <w:tr>
        <w:trPr>
          <w:trHeight w:val="27"/>
        </w:trPr>
        <w:tc>
          <w:tcPr>
            <w:tcW w:w="268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1220" w:type="dxa"/>
        <w:tblCellMar>
          <w:top w:w="0" w:type="dxa"/>
          <w:left w:w="0" w:type="dxa"/>
          <w:bottom w:w="0" w:type="dxa"/>
          <w:right w:w="0" w:type="dxa"/>
        </w:tblCellMar>
      </w:tblP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0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0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0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01"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As of October 31, 2019, there were 69,564,909 shares of the Registrant’s common stock, $0.001 par value per share, outstanding.</w:t>
      </w:r>
    </w:p>
    <w:p>
      <w:pPr>
        <w:sectPr>
          <w:pgSz w:w="11900" w:h="16838" w:orient="portrait"/>
          <w:cols w:equalWidth="0" w:num="1">
            <w:col w:w="11380"/>
          </w:cols>
          <w:pgMar w:left="240" w:top="738" w:right="279" w:bottom="1440" w:gutter="0" w:footer="0" w:header="0"/>
        </w:sectPr>
      </w:pP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738" w:right="279" w:bottom="1440" w:gutter="0" w:footer="0" w:header="0"/>
          <w:type w:val="continuous"/>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Page</w:t>
            </w:r>
          </w:p>
        </w:tc>
      </w:tr>
      <w:tr>
        <w:trPr>
          <w:trHeight w:val="203"/>
        </w:trPr>
        <w:tc>
          <w:tcPr>
            <w:tcW w:w="10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Borders>
              <w:bottom w:val="single" w:sz="8" w:color="0000FF"/>
            </w:tcBorders>
            <w:gridSpan w:val="5"/>
          </w:tcPr>
          <w:p>
            <w:pPr>
              <w:jc w:val="cente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3340" w:type="dxa"/>
            <w:vAlign w:val="bottom"/>
            <w:gridSpan w:val="7"/>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92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24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92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2019 and December 31, 2018</w:t>
              </w:r>
            </w:hyperlink>
          </w:p>
        </w:tc>
        <w:tc>
          <w:tcPr>
            <w:tcW w:w="124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920" w:type="dxa"/>
            <w:vAlign w:val="bottom"/>
            <w:gridSpan w:val="20"/>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Operations for the three and nine months ended September 30, 2019 and 2018</w:t>
              </w:r>
            </w:hyperlink>
          </w:p>
        </w:tc>
        <w:tc>
          <w:tcPr>
            <w:tcW w:w="124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920" w:type="dxa"/>
            <w:vAlign w:val="bottom"/>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and nine months ended September 30, 2019 and</w:t>
              </w:r>
            </w:hyperlink>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60" w:type="dxa"/>
            <w:vAlign w:val="bottom"/>
            <w:tcBorders>
              <w:top w:val="single" w:sz="8" w:color="0000EE"/>
            </w:tcBorders>
            <w:gridSpan w:val="2"/>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jc w:val="right"/>
              <w:ind w:right="4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920" w:type="dxa"/>
            <w:vAlign w:val="bottom"/>
            <w:gridSpan w:val="2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 for the three and nine months ended September 30, 2019 and</w:t>
              </w:r>
            </w:hyperlink>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60" w:type="dxa"/>
            <w:vAlign w:val="bottom"/>
            <w:tcBorders>
              <w:top w:val="single" w:sz="8" w:color="0000EE"/>
            </w:tcBorders>
            <w:gridSpan w:val="2"/>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jc w:val="right"/>
              <w:ind w:right="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000" w:type="dxa"/>
            <w:vAlign w:val="bottom"/>
          </w:tcPr>
          <w:p>
            <w:pPr>
              <w:spacing w:after="0"/>
              <w:rPr>
                <w:sz w:val="24"/>
                <w:szCs w:val="24"/>
                <w:color w:val="auto"/>
              </w:rPr>
            </w:pPr>
          </w:p>
        </w:tc>
        <w:tc>
          <w:tcPr>
            <w:tcW w:w="892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nine months ended September 30, 2019 and 2018</w:t>
              </w:r>
            </w:hyperlink>
          </w:p>
        </w:tc>
        <w:tc>
          <w:tcPr>
            <w:tcW w:w="1240" w:type="dxa"/>
            <w:vAlign w:val="bottom"/>
            <w:gridSpan w:val="4"/>
          </w:tcPr>
          <w:p>
            <w:pPr>
              <w:jc w:val="right"/>
              <w:ind w:right="4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784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1080" w:type="dxa"/>
            <w:vAlign w:val="bottom"/>
            <w:gridSpan w:val="4"/>
          </w:tcPr>
          <w:p>
            <w:pPr>
              <w:spacing w:after="0"/>
              <w:rPr>
                <w:sz w:val="24"/>
                <w:szCs w:val="24"/>
                <w:color w:val="auto"/>
              </w:rPr>
            </w:pPr>
          </w:p>
        </w:tc>
        <w:tc>
          <w:tcPr>
            <w:tcW w:w="1240" w:type="dxa"/>
            <w:vAlign w:val="bottom"/>
            <w:gridSpan w:val="4"/>
          </w:tcPr>
          <w:p>
            <w:pPr>
              <w:jc w:val="right"/>
              <w:ind w:right="40"/>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920" w:type="dxa"/>
            <w:vAlign w:val="bottom"/>
            <w:gridSpan w:val="20"/>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1240" w:type="dxa"/>
            <w:vAlign w:val="bottom"/>
            <w:gridSpan w:val="4"/>
          </w:tcPr>
          <w:p>
            <w:pPr>
              <w:jc w:val="right"/>
              <w:ind w:right="4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Quantitative and Qualitative Disclosures About Market Risk</w:t>
              </w:r>
            </w:hyperlink>
          </w:p>
        </w:tc>
        <w:tc>
          <w:tcPr>
            <w:tcW w:w="246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1"/>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4560" w:type="dxa"/>
            <w:vAlign w:val="bottom"/>
            <w:gridSpan w:val="9"/>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34</w:t>
              </w:r>
            </w:hyperlink>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PART II.</w:t>
            </w: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Borders>
              <w:bottom w:val="single" w:sz="8" w:color="0000FF"/>
            </w:tcBorders>
            <w:gridSpan w:val="3"/>
          </w:tcPr>
          <w:p>
            <w:pPr>
              <w:jc w:val="center"/>
              <w:spacing w:after="0"/>
              <w:rPr>
                <w:rFonts w:ascii="Arial" w:cs="Arial" w:eastAsia="Arial" w:hAnsi="Arial"/>
                <w:sz w:val="18"/>
                <w:szCs w:val="18"/>
                <w:color w:val="0000FF"/>
                <w:w w:val="97"/>
              </w:rPr>
            </w:pPr>
            <w:hyperlink w:anchor="page38">
              <w:r>
                <w:rPr>
                  <w:rFonts w:ascii="Arial" w:cs="Arial" w:eastAsia="Arial" w:hAnsi="Arial"/>
                  <w:sz w:val="18"/>
                  <w:szCs w:val="18"/>
                  <w:color w:val="0000FF"/>
                  <w:w w:val="97"/>
                </w:rPr>
                <w:t>OTHER INFORMATION</w:t>
              </w:r>
            </w:hyperlink>
          </w:p>
        </w:tc>
        <w:tc>
          <w:tcPr>
            <w:tcW w:w="3520" w:type="dxa"/>
            <w:vAlign w:val="bottom"/>
            <w:gridSpan w:val="8"/>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920" w:type="dxa"/>
            <w:vAlign w:val="bottom"/>
            <w:gridSpan w:val="2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1240" w:type="dxa"/>
            <w:vAlign w:val="bottom"/>
            <w:gridSpan w:val="4"/>
          </w:tcPr>
          <w:p>
            <w:pPr>
              <w:jc w:val="right"/>
              <w:ind w:right="40"/>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4"/>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Risk Factors</w:t>
              </w:r>
            </w:hyperlink>
          </w:p>
        </w:tc>
        <w:tc>
          <w:tcPr>
            <w:tcW w:w="400" w:type="dxa"/>
            <w:vAlign w:val="bottom"/>
          </w:tcPr>
          <w:p>
            <w:pPr>
              <w:spacing w:after="0"/>
              <w:rPr>
                <w:sz w:val="24"/>
                <w:szCs w:val="24"/>
                <w:color w:val="auto"/>
              </w:rPr>
            </w:pPr>
          </w:p>
        </w:tc>
        <w:tc>
          <w:tcPr>
            <w:tcW w:w="7600" w:type="dxa"/>
            <w:vAlign w:val="bottom"/>
            <w:gridSpan w:val="15"/>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8920" w:type="dxa"/>
            <w:vAlign w:val="bottom"/>
            <w:gridSpan w:val="2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1240" w:type="dxa"/>
            <w:vAlign w:val="bottom"/>
            <w:gridSpan w:val="4"/>
          </w:tcPr>
          <w:p>
            <w:pPr>
              <w:jc w:val="right"/>
              <w:ind w:right="40"/>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5"/>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Exhibits</w:t>
              </w:r>
            </w:hyperlink>
          </w:p>
        </w:tc>
        <w:tc>
          <w:tcPr>
            <w:tcW w:w="7600" w:type="dxa"/>
            <w:vAlign w:val="bottom"/>
            <w:gridSpan w:val="15"/>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320" w:type="dxa"/>
            <w:vAlign w:val="bottom"/>
            <w:gridSpan w:val="1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SIGNATURES</w:t>
              </w:r>
            </w:hyperlink>
          </w:p>
        </w:tc>
        <w:tc>
          <w:tcPr>
            <w:tcW w:w="8820" w:type="dxa"/>
            <w:vAlign w:val="bottom"/>
            <w:gridSpan w:val="19"/>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57</w:t>
              </w:r>
            </w:hyperlink>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8820" w:type="dxa"/>
            <w:vAlign w:val="bottom"/>
            <w:gridSpan w:val="1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EXHIBIT LIST</w:t>
              </w:r>
            </w:hyperlink>
          </w:p>
        </w:tc>
        <w:tc>
          <w:tcPr>
            <w:tcW w:w="8820" w:type="dxa"/>
            <w:vAlign w:val="bottom"/>
            <w:gridSpan w:val="19"/>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56</w:t>
              </w:r>
            </w:hyperlink>
          </w:p>
        </w:tc>
      </w:tr>
      <w:tr>
        <w:trPr>
          <w:trHeight w:val="20"/>
        </w:trPr>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160"/>
          </w:cols>
          <w:pgMar w:left="280" w:top="58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25,886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95,401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w w:val="98"/>
              </w:rPr>
              <w:t>Accounts receivable (net of allowances of $104 at September 30, 2019 and $126 at December 31, 2018)</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14,014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16,651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8,396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104,108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104,108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269,394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303,647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14,470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revenue, current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11,938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11,464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37,582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49,853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172,058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231,531</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0"/>
              </w:rPr>
              <w:t>Preferred stock, $0.001 par value, 10,000 shares authorized, no shares issued and outstanding at September 30,</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2019 and December 31, 2018</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$0.001 par value, 200,000 shares authorized at September 30, 2019 and December 31, 2018;</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69,550 and 49,338 shares issued and outstanding as of September 30, 2019 and December 31,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774,249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631,605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(610,956)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(558,851)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72,116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269,394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303,647</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820"/>
              <w:spacing w:after="0"/>
              <w:rPr>
                <w:sz w:val="20"/>
                <w:szCs w:val="20"/>
                <w:color w:val="auto"/>
              </w:rPr>
            </w:pPr>
            <w:r>
              <w:rPr>
                <w:rFonts w:ascii="Arial" w:cs="Arial" w:eastAsia="Arial" w:hAnsi="Arial"/>
                <w:sz w:val="18"/>
                <w:szCs w:val="18"/>
                <w:color w:val="auto"/>
              </w:rPr>
              <w:t>See accompanying notes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20,666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24,242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68,728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66,496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Grant revenue</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80,639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33,017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Cost of service revenue</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37,801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14,038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46,391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42,838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7,430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23,362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22,072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57,812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27,854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27,450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89,049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79,884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(37,046)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(9,824)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(46,405)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(44,238)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69,469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65,792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39,033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Net change in unrealized gain (loss) on investments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(52,176)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(44,180)</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Common</w:t>
            </w: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Additional</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Total</w:t>
            </w:r>
          </w:p>
        </w:tc>
      </w:tr>
      <w:tr>
        <w:trPr>
          <w:trHeight w:val="216"/>
        </w:trPr>
        <w:tc>
          <w:tcPr>
            <w:tcW w:w="30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c>
          <w:tcPr>
            <w:tcW w:w="18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Paid-in</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Comprehensive</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2"/>
              </w:rPr>
              <w:t>Stockholders’</w:t>
            </w:r>
          </w:p>
        </w:tc>
      </w:tr>
      <w:tr>
        <w:trPr>
          <w:trHeight w:val="230"/>
        </w:trPr>
        <w:tc>
          <w:tcPr>
            <w:tcW w:w="300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Stock Shares</w:t>
            </w:r>
          </w:p>
        </w:tc>
        <w:tc>
          <w:tcPr>
            <w:tcW w:w="1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Amount</w:t>
            </w:r>
          </w:p>
        </w:tc>
        <w:tc>
          <w:tcPr>
            <w:tcW w:w="1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Capital</w:t>
            </w:r>
          </w:p>
        </w:tc>
        <w:tc>
          <w:tcPr>
            <w:tcW w:w="2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(Loss)/Income</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Deficit</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5"/>
              </w:rPr>
              <w:t>Equity</w:t>
            </w:r>
          </w:p>
        </w:tc>
      </w:tr>
      <w:tr>
        <w:trPr>
          <w:trHeight w:val="27"/>
        </w:trPr>
        <w:tc>
          <w:tcPr>
            <w:tcW w:w="3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72,116</w:t>
            </w: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Issuance of common stock on bond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conversion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19,460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133,279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133,298</w:t>
            </w: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restricted stock, net of</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 and other</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Issuance of common stock from</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option exercises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(25,465)</w:t>
            </w: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color w:val="auto"/>
              </w:rPr>
              <w:t>Balance as of March 31, 2019</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68,991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767,169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(584,316)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182,245</w:t>
            </w: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restricted stock, net of</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 and other</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Issuance of common stock from</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option exercises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793</w:t>
            </w: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under</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2,985</w:t>
            </w: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(13,753)</w:t>
            </w: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Other comprehensive income, net of</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tax</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3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2019</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172,640</w:t>
            </w: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Issuance of restricted stock, net of</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shares withheld for taxes, and other</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from</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 exercises</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3,055</w:t>
            </w: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(12,887)</w:t>
            </w: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3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2019</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69,550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774,249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162,605</w:t>
            </w:r>
          </w:p>
        </w:tc>
      </w:tr>
      <w:tr>
        <w:trPr>
          <w:trHeight w:val="20"/>
        </w:trPr>
        <w:tc>
          <w:tcPr>
            <w:tcW w:w="3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6"/>
        </w:trPr>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Additional</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Total</w:t>
            </w:r>
          </w:p>
        </w:tc>
      </w:tr>
      <w:tr>
        <w:trPr>
          <w:trHeight w:val="216"/>
        </w:trPr>
        <w:tc>
          <w:tcPr>
            <w:tcW w:w="346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Stock</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Paid-in</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Comprehensive</w:t>
            </w: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2"/>
              </w:rPr>
              <w:t>Stockholders’</w:t>
            </w:r>
          </w:p>
        </w:tc>
      </w:tr>
      <w:tr>
        <w:trPr>
          <w:trHeight w:val="230"/>
        </w:trPr>
        <w:tc>
          <w:tcPr>
            <w:tcW w:w="3460" w:type="dxa"/>
            <w:vAlign w:val="bottom"/>
          </w:tcPr>
          <w:p>
            <w:pPr>
              <w:spacing w:after="0"/>
              <w:rPr>
                <w:sz w:val="20"/>
                <w:szCs w:val="20"/>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Stock Shares</w:t>
            </w:r>
          </w:p>
        </w:tc>
        <w:tc>
          <w:tcPr>
            <w:tcW w:w="14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(Loss)/Income</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Deficit</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5"/>
              </w:rPr>
              <w:t>Equity</w:t>
            </w:r>
          </w:p>
        </w:tc>
      </w:tr>
      <w:tr>
        <w:trPr>
          <w:trHeight w:val="27"/>
        </w:trPr>
        <w:tc>
          <w:tcPr>
            <w:tcW w:w="34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531,666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30,935</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Issuance of restricted stock, net of shares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withheld for taxes, and other</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from option</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exercises</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Conversion option on convertible debt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29,292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29,292</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cost related to conversion option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Cumulative-effect of new accounting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standard for Topic 606 Revenue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(13,247)</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Balance as of March 31, 2018</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38,908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562,152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(513,085)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48,574</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restricted stock, net of shares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withheld for taxes, and other</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Issuance of common stock from option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exercises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under ESPP</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2,007</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(16,241)</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34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564,622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34,831</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Issuance of restricted stock, net of shares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withheld for taxes, and other</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from option</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exercises</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2,303</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Other comprehensive income (loss), net of</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tax</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4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2018</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39,316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566,964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22,411</w:t>
            </w:r>
          </w:p>
        </w:tc>
      </w:tr>
      <w:tr>
        <w:trPr>
          <w:trHeight w:val="20"/>
        </w:trPr>
        <w:tc>
          <w:tcPr>
            <w:tcW w:w="3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(52,105)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(44,238)</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4,123</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 of developed technology</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8,400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discounts, premium and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5,715</w:t>
            </w:r>
          </w:p>
        </w:tc>
      </w:tr>
      <w:tr>
        <w:trPr>
          <w:trHeight w:val="243"/>
        </w:trPr>
        <w:tc>
          <w:tcPr>
            <w:tcW w:w="858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non-cash items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2,054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2,035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(29,691)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(24,563)</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(1,451)</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maturities and sales of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4,738</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stock issuance from ESPP</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95,401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58,056</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35,829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20" w:firstLine="392"/>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27"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We create, manufacture, and market innovative technologies and life science tools, including preparatory and analytical instruments for Mass Cytometry, PCR, Library Prep, Single Cell Genomics, and consumables, including integrated fluidic circuits (IFCs), assays, and reagents. Our focus is on the most pressing needs in translational and clinical research, including cancer, immunology and immunotherapy. We use proprietary CyTOF® and microfluidics technologies to develop innovative end-to-end solutions that have the flexibility required to meet the needs of translational research and the robustness to support high-impact clinical research studies. We sell our instruments to leading academic research institutions, translational research and medicine centers, cancer centers, clinical research laboratories, and biopharmaceutical, biotechnology and plant and animal research companies.</w:t>
      </w:r>
    </w:p>
    <w:p>
      <w:pPr>
        <w:spacing w:after="0" w:line="228" w:lineRule="exact"/>
        <w:rPr>
          <w:sz w:val="20"/>
          <w:szCs w:val="20"/>
          <w:color w:val="auto"/>
        </w:rPr>
      </w:pPr>
    </w:p>
    <w:p>
      <w:pPr>
        <w:ind w:right="7860" w:firstLine="8"/>
        <w:spacing w:after="0" w:line="440"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(U.S. GAAP) and include the accounts of our wholly owned subsidiaries. As of September 30, 2019, we had wholly owned subsidiaries in Singapore, Canada, the Netherlands, Japan, France, the United Kingdom, China, and Germany.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3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Certain prior period amounts in the condensed consolidated statements of cash flows were reclassified to conform with the current period presentation. These reclassifications were immaterial and did not affect prior period total assets, total liabilities, stockholders' equity, total revenue, total costs and expenses, loss from operations or net loss.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75"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performance awards, options to purchase common stock, and shares associated with the potential conversion of our convertible notes are considered to be potentially dilutive common shares but have been excluded from the calculation of diluted net loss per share as their effect is anti-dilutive for all periods presented.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potentially dilutive common shares were excluded from the computation of diluted net loss per share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 because including them would have been anti-dilutive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20" w:type="dxa"/>
            <w:vAlign w:val="bottom"/>
          </w:tcPr>
          <w:p>
            <w:pPr>
              <w:spacing w:after="0"/>
              <w:rPr>
                <w:sz w:val="22"/>
                <w:szCs w:val="22"/>
                <w:color w:val="auto"/>
              </w:rPr>
            </w:pPr>
          </w:p>
        </w:tc>
        <w:tc>
          <w:tcPr>
            <w:tcW w:w="6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2"/>
                <w:szCs w:val="22"/>
                <w:color w:val="auto"/>
              </w:rPr>
            </w:pPr>
          </w:p>
        </w:tc>
        <w:tc>
          <w:tcPr>
            <w:tcW w:w="1340" w:type="dxa"/>
            <w:vAlign w:val="bottom"/>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3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55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restricted stock units and performance awards</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5,342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4,376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4,376</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2018</w:t>
            </w: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Convertible Notes</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19,036</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19,036</w:t>
            </w:r>
          </w:p>
        </w:tc>
      </w:tr>
      <w:tr>
        <w:trPr>
          <w:trHeight w:val="27"/>
        </w:trPr>
        <w:tc>
          <w:tcPr>
            <w:tcW w:w="4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2018</w:t>
            </w:r>
          </w:p>
        </w:tc>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potential make-whole shares</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799</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799</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2014</w:t>
            </w: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Convertible Notes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916</w:t>
            </w:r>
          </w:p>
        </w:tc>
      </w:tr>
      <w:tr>
        <w:trPr>
          <w:trHeight w:val="27"/>
        </w:trPr>
        <w:tc>
          <w:tcPr>
            <w:tcW w:w="42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Total</w:t>
            </w:r>
          </w:p>
        </w:tc>
        <w:tc>
          <w:tcPr>
            <w:tcW w:w="50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6,258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25,127</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6,258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25,127</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20" w:type="dxa"/>
            <w:vAlign w:val="bottom"/>
          </w:tcPr>
          <w:p>
            <w:pPr>
              <w:spacing w:after="0"/>
              <w:rPr>
                <w:sz w:val="24"/>
                <w:szCs w:val="24"/>
                <w:color w:val="auto"/>
              </w:rPr>
            </w:pPr>
          </w:p>
        </w:tc>
        <w:tc>
          <w:tcPr>
            <w:tcW w:w="6000" w:type="dxa"/>
            <w:vAlign w:val="bottom"/>
            <w:gridSpan w:val="2"/>
          </w:tcPr>
          <w:p>
            <w:pPr>
              <w:jc w:val="right"/>
              <w:ind w:right="588"/>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7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three and nine months ended September 30, 2019, are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Net Unrealized Gain</w:t>
            </w:r>
          </w:p>
        </w:tc>
        <w:tc>
          <w:tcPr>
            <w:tcW w:w="120" w:type="dxa"/>
            <w:vAlign w:val="bottom"/>
          </w:tcPr>
          <w:p>
            <w:pPr>
              <w:spacing w:after="0"/>
              <w:rPr>
                <w:sz w:val="14"/>
                <w:szCs w:val="14"/>
                <w:color w:val="auto"/>
              </w:rPr>
            </w:pPr>
          </w:p>
        </w:tc>
        <w:tc>
          <w:tcPr>
            <w:tcW w:w="13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2"/>
              </w:rPr>
              <w:t>Translation</w:t>
            </w:r>
          </w:p>
        </w:tc>
        <w:tc>
          <w:tcPr>
            <w:tcW w:w="3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Adjustment</w:t>
            </w:r>
          </w:p>
        </w:tc>
        <w:tc>
          <w:tcPr>
            <w:tcW w:w="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on Securities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6"/>
              </w:rPr>
              <w:t>Comprehensive Loss</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80" w:firstLine="392"/>
        <w:spacing w:after="0" w:line="255" w:lineRule="auto"/>
        <w:rPr>
          <w:sz w:val="20"/>
          <w:szCs w:val="20"/>
          <w:color w:val="auto"/>
        </w:rPr>
      </w:pPr>
      <w:r>
        <w:rPr>
          <w:rFonts w:ascii="Arial" w:cs="Arial" w:eastAsia="Arial" w:hAnsi="Arial"/>
          <w:sz w:val="18"/>
          <w:szCs w:val="18"/>
          <w:color w:val="auto"/>
        </w:rPr>
        <w:t>We generate revenue primarily from the sale of our products and services. Product revenue is derived from the sale of instruments and consumables, including IFCs, assays and reagents. Service revenue is derived from the sale of instrument service contracts, repairs, installation, training and other specialized product support services. We receive grants from various governmental entities to perform research and development activities over contractually defined periods. Revenue is generally recognized provided that the conditions under which the grants were provided have been met and any remaining performance obligations are perfunctory. Revenue is reported net of any sales, use and value-added taxes we collect from customers as required by government authorities.</w:t>
      </w:r>
    </w:p>
    <w:p>
      <w:pPr>
        <w:spacing w:after="0" w:line="139" w:lineRule="exact"/>
        <w:rPr>
          <w:sz w:val="20"/>
          <w:szCs w:val="20"/>
          <w:color w:val="auto"/>
        </w:rPr>
      </w:pPr>
    </w:p>
    <w:p>
      <w:pPr>
        <w:ind w:right="260" w:firstLine="392"/>
        <w:spacing w:after="0" w:line="302" w:lineRule="auto"/>
        <w:rPr>
          <w:sz w:val="20"/>
          <w:szCs w:val="20"/>
          <w:color w:val="auto"/>
        </w:rPr>
      </w:pPr>
      <w:r>
        <w:rPr>
          <w:rFonts w:ascii="Arial" w:cs="Arial" w:eastAsia="Arial" w:hAnsi="Arial"/>
          <w:sz w:val="16"/>
          <w:szCs w:val="16"/>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using a cost plus a margin approach or by applying a discount to the product’s list price.</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1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 Customers generally do not have a unilateral right to return products after delivery. Invoices are generally issued at shipment and generally become due in 30 to 60 days.</w:t>
      </w:r>
    </w:p>
    <w:p>
      <w:pPr>
        <w:spacing w:after="0" w:line="13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We sometimes perform shipping and handling activities after control of the product passes to the customer. We have made an accounting policy election to account for these activities as product fulfillment activities rather than as separate performance obligations.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We recognize revenue from repairs, installation, training and other specialized product support services at the point in time the work is completed.</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Installation and training services are generally billed in advance of service. Repairs and other services are generally billed at the point the work is completed.</w:t>
      </w:r>
    </w:p>
    <w:p>
      <w:pPr>
        <w:spacing w:after="0" w:line="18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Revenue associated with instrument service contracts is recognized on a straight-line basis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consolidated balance sheet as deferred revenue.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Costs</w:t>
      </w:r>
    </w:p>
    <w:p>
      <w:pPr>
        <w:spacing w:after="0" w:line="17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Incremental sales commission costs incurred to obtain instrument service contracts are capitalized and amortized to selling, general and administrative expense over the life of the contract, which is generally one to three years. As a practical expedient, we expense sales commissions associated with product support services that are delivered in less than one year as they are incurred. Sales commissions associated with the sale of products are expensed as they are incurred.</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71" w:lineRule="exact"/>
        <w:rPr>
          <w:sz w:val="20"/>
          <w:szCs w:val="20"/>
          <w:color w:val="auto"/>
        </w:rPr>
      </w:pPr>
    </w:p>
    <w:p>
      <w:pPr>
        <w:ind w:right="460" w:firstLine="405"/>
        <w:spacing w:after="0" w:line="312" w:lineRule="auto"/>
        <w:rPr>
          <w:sz w:val="20"/>
          <w:szCs w:val="20"/>
          <w:color w:val="auto"/>
        </w:rPr>
      </w:pPr>
      <w:r>
        <w:rPr>
          <w:rFonts w:ascii="Arial" w:cs="Arial" w:eastAsia="Arial" w:hAnsi="Arial"/>
          <w:sz w:val="16"/>
          <w:szCs w:val="16"/>
          <w:color w:val="auto"/>
        </w:rPr>
        <w:t>We generally provide a one-year warranty on our instruments. We accrue for estimated warranty obligations at the time of product shipment. We periodically review our warranty liability and record adjustments based on the terms of warranties provided to customers, and historical and anticipated warranty claim experience. This expense is recorded as a component of cost of product revenue in the condensed consolidated statements of operations.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17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Applying the revenue recognition practices discussed above often requires significant judgment. Judgment is required when identifying performance obligations, estimating SSP and allocating purchasing consideration in multi-element arrangements and estimating the future amount of our warranty obligations. Moreover, significant judgment is required when interpreting commercial terms and determining when control of goods and services passes to the customer. Any material changes created by errors in judgment could have a material effect on our operating results and overall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Other Long-lived Assets</w:t>
      </w:r>
    </w:p>
    <w:p>
      <w:pPr>
        <w:spacing w:after="0" w:line="175" w:lineRule="exact"/>
        <w:rPr>
          <w:sz w:val="20"/>
          <w:szCs w:val="20"/>
          <w:color w:val="auto"/>
        </w:rPr>
      </w:pPr>
    </w:p>
    <w:p>
      <w:pPr>
        <w:ind w:right="20" w:firstLine="392"/>
        <w:spacing w:after="0" w:line="264" w:lineRule="auto"/>
        <w:rPr>
          <w:sz w:val="20"/>
          <w:szCs w:val="20"/>
          <w:color w:val="auto"/>
        </w:rPr>
      </w:pPr>
      <w:r>
        <w:rPr>
          <w:rFonts w:ascii="Arial" w:cs="Arial" w:eastAsia="Arial" w:hAnsi="Arial"/>
          <w:sz w:val="18"/>
          <w:szCs w:val="18"/>
          <w:color w:val="auto"/>
        </w:rPr>
        <w:t>Goodwill, which has an indefinite useful life, represents the excess of cost over fair value of net assets acquired. Our intangible assets include developed technology, patents and licenses. The cost of identifiable intangible assets with finite lives is generally amortized on a straight-line basis over the assets’ respective estimated useful lives.</w:t>
      </w:r>
    </w:p>
    <w:p>
      <w:pPr>
        <w:spacing w:after="0" w:line="127" w:lineRule="exact"/>
        <w:rPr>
          <w:sz w:val="20"/>
          <w:szCs w:val="20"/>
          <w:color w:val="auto"/>
        </w:rPr>
      </w:pPr>
    </w:p>
    <w:p>
      <w:pPr>
        <w:ind w:right="80" w:firstLine="392"/>
        <w:spacing w:after="0" w:line="276"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Events or changes in circumstances that could affect the likelihood that we will be required to recognize an impairment charge include, but are not limited to, declines in our stock price or market capitalization, declines in our market share or revenues, and an increase in our losses. Any impairment charges could have a material adverse effect on our operating results and net asset value in the quarter in which we recognize the impairment charge.</w:t>
      </w:r>
    </w:p>
    <w:p>
      <w:pPr>
        <w:spacing w:after="0" w:line="11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evaluating our goodwill and intangible assets with indefinite lives for indications of impairment,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13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evaluate our long-lived assets, including finite-lived intangibles,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long-lived assets for any of the periods presented herein.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ind w:right="100" w:firstLine="392"/>
        <w:spacing w:after="0" w:line="257" w:lineRule="auto"/>
        <w:rPr>
          <w:sz w:val="20"/>
          <w:szCs w:val="20"/>
          <w:color w:val="auto"/>
        </w:rPr>
      </w:pPr>
      <w:r>
        <w:rPr>
          <w:rFonts w:ascii="Arial" w:cs="Arial" w:eastAsia="Arial" w:hAnsi="Arial"/>
          <w:sz w:val="18"/>
          <w:szCs w:val="18"/>
          <w:color w:val="auto"/>
        </w:rPr>
        <w:t>In February 2014, we closed an underwritten public offering of $201.3 million aggregate principal amount of our 2.75% Senior Convertible Notes due 2034 (2014 Notes). In March 2018, we entered into separate privately negotiated transactions with certain holders of our 2014 Notes to exchange $150.0 million in aggregate principal amount of the 2014 Notes for our new 2.75% Exchange Convertible Senior Notes due 2034 (2018 Notes). Following the exchange, approximately $51.3 million in aggregate principal amount of the 2014 Notes was outstanding in addition to $150.0 million in aggregate principal amount of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2018 Notes. In the first quarter of 2019, the 2018 Notes were converted into 19.5 million shares of common stock and the 2018 Notes were retired. We recorded a loss of $9.0 million on the retirement of the 2018 Notes.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 6 Convertible Notes and Credit Facility for the accounting treatment of the transactions and additional information about the exchange.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Adoption of New Accounting Guidance</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February 2016, the FASB established Topic 842, Leases, by issuing Accounting Standards Update (ASU) No. 2016-02, which requires lessees to recognize operating leases on the 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The new standard establishes a right-of-use (ROU) model that requires a lessee to recognize a ROU asset and lease liability on the balance sheet for all leases with a term longer than 12 months. Leases are classified as finance or operating; the classification will impact the expense recognition in the income statement.</w:t>
      </w:r>
    </w:p>
    <w:p>
      <w:pPr>
        <w:spacing w:after="0" w:line="139" w:lineRule="exact"/>
        <w:rPr>
          <w:sz w:val="20"/>
          <w:szCs w:val="20"/>
          <w:color w:val="auto"/>
        </w:rPr>
      </w:pPr>
    </w:p>
    <w:p>
      <w:pPr>
        <w:ind w:right="80" w:firstLine="392"/>
        <w:spacing w:after="0" w:line="297" w:lineRule="auto"/>
        <w:rPr>
          <w:sz w:val="20"/>
          <w:szCs w:val="20"/>
          <w:color w:val="auto"/>
        </w:rPr>
      </w:pPr>
      <w:r>
        <w:rPr>
          <w:rFonts w:ascii="Arial" w:cs="Arial" w:eastAsia="Arial" w:hAnsi="Arial"/>
          <w:sz w:val="16"/>
          <w:szCs w:val="16"/>
          <w:color w:val="auto"/>
        </w:rPr>
        <w:t>Modified Retrospective Transition approach is required, applying the new standard to all leases existing at the date of initial application. An entity may choose to use either (1) its effective date or (2) the beginning of the earliest comparative period presented in the financial statements as its date of initial application. We adopted the new standard on January 1, 2019 and used the effective date of the standard as our date of initial application. Consequently, previously presented financial information has not been updated, and the disclosures required under the new standard have not been provided for dates and periods before January 1, 2019. For dates and periods prior to January 1, 2019, the original disclosures under ASC 840 are disclosed.</w:t>
      </w:r>
    </w:p>
    <w:p>
      <w:pPr>
        <w:spacing w:after="0" w:line="104" w:lineRule="exact"/>
        <w:rPr>
          <w:sz w:val="20"/>
          <w:szCs w:val="20"/>
          <w:color w:val="auto"/>
        </w:rPr>
      </w:pPr>
    </w:p>
    <w:p>
      <w:pPr>
        <w:ind w:right="100" w:firstLine="392"/>
        <w:spacing w:after="0" w:line="264" w:lineRule="auto"/>
        <w:rPr>
          <w:sz w:val="20"/>
          <w:szCs w:val="20"/>
          <w:color w:val="auto"/>
        </w:rPr>
      </w:pPr>
      <w:r>
        <w:rPr>
          <w:rFonts w:ascii="Arial" w:cs="Arial" w:eastAsia="Arial" w:hAnsi="Arial"/>
          <w:sz w:val="18"/>
          <w:szCs w:val="18"/>
          <w:color w:val="auto"/>
        </w:rPr>
        <w:t>The new standard provides several optional practical expedients in transition. We elected the ‘package of practical expedients,’ which permits us to not reassess under the new standard our prior conclusions about lease identification, lease classification and initial direct costs. We did not elect the use-of-hindsight or the practical expedient pertaining to land easements; the latter not being applicable to us.</w:t>
      </w:r>
    </w:p>
    <w:p>
      <w:pPr>
        <w:spacing w:after="0" w:line="127" w:lineRule="exact"/>
        <w:rPr>
          <w:sz w:val="20"/>
          <w:szCs w:val="20"/>
          <w:color w:val="auto"/>
        </w:rPr>
      </w:pPr>
    </w:p>
    <w:p>
      <w:pPr>
        <w:jc w:val="both"/>
        <w:ind w:right="360" w:firstLine="392"/>
        <w:spacing w:after="0" w:line="286" w:lineRule="auto"/>
        <w:rPr>
          <w:sz w:val="20"/>
          <w:szCs w:val="20"/>
          <w:color w:val="auto"/>
        </w:rPr>
      </w:pPr>
      <w:r>
        <w:rPr>
          <w:rFonts w:ascii="Arial" w:cs="Arial" w:eastAsia="Arial" w:hAnsi="Arial"/>
          <w:sz w:val="17"/>
          <w:szCs w:val="17"/>
          <w:color w:val="auto"/>
        </w:rPr>
        <w:t>On adoption, we recognized $9.2 million of lease liabilities, based on the present value of the current minimum lease payments over the lease term, discounted using our collateralized incremental borrowing rate, with corresponding ROU assets of $7.4 million. The difference between the initial lease liability and ROU asset is attributable to deferred rent. There was no impact to retained earnings from the adoption of ASC 842.</w:t>
      </w:r>
    </w:p>
    <w:p>
      <w:pPr>
        <w:spacing w:after="0" w:line="111" w:lineRule="exact"/>
        <w:rPr>
          <w:sz w:val="20"/>
          <w:szCs w:val="20"/>
          <w:color w:val="auto"/>
        </w:rPr>
      </w:pPr>
    </w:p>
    <w:p>
      <w:pPr>
        <w:ind w:right="80" w:firstLine="392"/>
        <w:spacing w:after="0" w:line="257" w:lineRule="auto"/>
        <w:rPr>
          <w:sz w:val="20"/>
          <w:szCs w:val="20"/>
          <w:color w:val="auto"/>
        </w:rPr>
      </w:pPr>
      <w:r>
        <w:rPr>
          <w:rFonts w:ascii="Arial" w:cs="Arial" w:eastAsia="Arial" w:hAnsi="Arial"/>
          <w:sz w:val="18"/>
          <w:szCs w:val="18"/>
          <w:color w:val="auto"/>
        </w:rPr>
        <w:t>The new standard also provides certain accounting elections for an entity’s ongoing accounting. We have elected the short-term lease recognition exemption for all leases that qualify. This means, for those leases that qualify, we will not recognize ROU assets or lease liabilities for leases with an initial lease term of one year or less. We have also elected to not separate lease and nonlease components for our building leases. The nonlease components are generally variable in nature and are expected to represent most of our variable lease costs. Variable costs are expensed as incurred. We have taken a portfolio approach for our vehicle leases by country.</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which establishes new guidance on the accounting for costs incurred to implement a cloud computing arrangement that is considered a service arrangement. The new guidance requires the capitalization of such costs, aligning it with the accounting for costs associated with developing or obtaining internal-use software. The new guidance is effective for fiscal years beginning after December 15, 2019. We are currently evaluating the impact of adoption on our consolidated financial statements.</w:t>
      </w:r>
    </w:p>
    <w:p>
      <w:pPr>
        <w:spacing w:after="0" w:line="134" w:lineRule="exact"/>
        <w:rPr>
          <w:sz w:val="20"/>
          <w:szCs w:val="20"/>
          <w:color w:val="auto"/>
        </w:rPr>
      </w:pPr>
    </w:p>
    <w:p>
      <w:pPr>
        <w:ind w:right="300" w:firstLine="405"/>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will be effective for annual and interim goodwill impairment testing performed for our fiscal year beginning January 1, 2020, with early adoption permitted. We are currently evaluating the effect that the updated standard will have on our consolidated financial statements.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60" w:firstLine="405"/>
        <w:spacing w:after="0" w:line="218" w:lineRule="exact"/>
        <w:rPr>
          <w:sz w:val="20"/>
          <w:szCs w:val="20"/>
          <w:color w:val="auto"/>
        </w:rPr>
      </w:pPr>
      <w:r>
        <w:rPr>
          <w:rFonts w:ascii="Arial" w:cs="Arial" w:eastAsia="Arial" w:hAnsi="Arial"/>
          <w:sz w:val="16"/>
          <w:szCs w:val="16"/>
          <w:color w:val="auto"/>
        </w:rPr>
        <w:t>The FASB issued two ASUs related to financial instruments – credit losses. The ASUs issued were: (1) in June 2016, ASU 2016-13, Financial Instruments – Credit Losses (Topic 326): Measurement of Credit Losses on Financial Instruments, and (2) in November 2018, ASU 2018-19 Codification Improvements to Topic 326, Financial Instruments—Credit Losses. ASU 2016-13 is intended to improve financial reporting by requiring more timely recording of credit losses on loans and other financial instruments held by financial institutions and other organizations. ASU 2018-19 clarifies that receivables arising from operating leases are not within the scope of the credit losses standard, but rather, should be accounted for in accordance with the leasing standard. These ASUs are effective for fiscal years beginning after December 15, 2019, and interim periods within those years, with early adoption permitted. We are evaluating the effect that ASU 2016</w:t>
      </w:r>
      <w:r>
        <w:rPr>
          <w:rFonts w:ascii="MS PGothic" w:cs="MS PGothic" w:eastAsia="MS PGothic" w:hAnsi="MS PGothic"/>
          <w:sz w:val="16"/>
          <w:szCs w:val="16"/>
          <w:color w:val="auto"/>
        </w:rPr>
        <w:t>‑</w:t>
      </w:r>
      <w:r>
        <w:rPr>
          <w:rFonts w:ascii="Arial" w:cs="Arial" w:eastAsia="Arial" w:hAnsi="Arial"/>
          <w:sz w:val="16"/>
          <w:szCs w:val="16"/>
          <w:color w:val="auto"/>
        </w:rPr>
        <w:t>13 and ASU 2018-19 will have on our consolidated financial statements and related disclosures.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17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following table disaggregates our revenue for the three and nine months ended September 30, 2019, and 2018, respectively, by geographic area and by product, service and grant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00" w:type="dxa"/>
            <w:vAlign w:val="bottom"/>
            <w:gridSpan w:val="3"/>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5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Markets: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11,112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13,654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35,203</w:t>
            </w:r>
          </w:p>
        </w:tc>
        <w:tc>
          <w:tcPr>
            <w:tcW w:w="1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96"/>
              </w:rPr>
              <w:t>$ 37,008</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28,465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26,365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6,292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6,526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21,135</w:t>
            </w:r>
          </w:p>
        </w:tc>
        <w:tc>
          <w:tcPr>
            <w:tcW w:w="1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17,266</w:t>
            </w: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26,496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28,963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84,803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6"/>
              </w:rPr>
              <w:t>$ 80,639</w:t>
            </w: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7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Service and Grant: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9,159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13,890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34,200</w:t>
            </w:r>
          </w:p>
        </w:tc>
        <w:tc>
          <w:tcPr>
            <w:tcW w:w="1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96"/>
              </w:rPr>
              <w:t>$ 31,831</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Consumables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34,528</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34,665</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20,666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24,242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68,728</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66,496</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15,875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26,496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28,963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84,803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6"/>
              </w:rPr>
              <w:t>$ 80,639</w:t>
            </w: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71"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We reported $17.8 million of deferred revenue on our December 31, 2018 consolidated balance sheet. During the nine months ended September 30, 2019, $9.0 million of the opening balance was recognized as revenue and $10.6 million of net additional advance payments were received from customers, primarily associated with instrument service contracts. At September 30, 2019, we reported $19.4 million of deferred revenue.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summarizes the expected timing of revenue recognition for unfulfilled performance obligations associated with instrument service contracts that were partially completed at September 30, 2019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 xml:space="preserve">Expected Revenue </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(remainder of the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8,425</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21,004</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4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right="500" w:firstLine="8"/>
        <w:spacing w:after="0" w:line="286" w:lineRule="auto"/>
        <w:tabs>
          <w:tab w:leader="none" w:pos="178"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Expected revenue includes both billed amounts included in deferred revenue and unbilled amounts that are not reflected in our consolidated financial statements and are subject to change if our customers decide to cancel or modify their contracts. Purchase orders for instrument service contracts can generally be canceled before the service period begins without penalty.</w:t>
      </w:r>
    </w:p>
    <w:p>
      <w:pPr>
        <w:spacing w:after="0" w:line="11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apply the practical expedient that permits us to not disclose information about unsatisfied performance obligations that are expected to be delivered within one year.</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Costs</w:t>
      </w:r>
    </w:p>
    <w:p>
      <w:pPr>
        <w:spacing w:after="0" w:line="171"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We reported $0.4 million of capitalized commission costs from instrument service contracts at September 30, 2019 and December 31, 2018 in the condensed consolidated balance sheets.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 net</w:t>
      </w:r>
    </w:p>
    <w:p>
      <w:pPr>
        <w:spacing w:after="0" w:line="17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 connection with our acquisition of DVS Sciences, Inc. (DVS) in February 2014, we recognized goodwill of $104.1 million. Intangible assets include developed technology related to the DVS acquisition and other intangible assets and are included in other non-current assets.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1"/>
              </w:rPr>
              <w:t>September 30, 2019</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560" w:type="dxa"/>
            <w:vAlign w:val="bottom"/>
          </w:tcPr>
          <w:p>
            <w:pPr>
              <w:spacing w:after="0"/>
              <w:rPr>
                <w:sz w:val="13"/>
                <w:szCs w:val="13"/>
                <w:color w:val="auto"/>
              </w:rPr>
            </w:pPr>
          </w:p>
        </w:tc>
        <w:tc>
          <w:tcPr>
            <w:tcW w:w="8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63"/>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49,000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3,634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7.8 years</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3"/>
              </w:rPr>
              <w:t>December 31, 2018</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560" w:type="dxa"/>
            <w:vAlign w:val="bottom"/>
          </w:tcPr>
          <w:p>
            <w:pPr>
              <w:spacing w:after="0"/>
              <w:rPr>
                <w:sz w:val="13"/>
                <w:szCs w:val="13"/>
                <w:color w:val="auto"/>
              </w:rPr>
            </w:pPr>
          </w:p>
        </w:tc>
        <w:tc>
          <w:tcPr>
            <w:tcW w:w="8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63"/>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57,400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4,413</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7.8 years</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Amortization of intangibles was $3.0 million and $3.1 million for the three months ended September 30, 2019, and 2018, respectively. Amortization of intangibles was $9.2 million and $9.3 million for the nine months ended September 30, 2019, and 2018,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Based on the carrying value of intangible assets, net, as of September 30, 2019, the annual amortization expense is expected to be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Developed</w:t>
            </w:r>
          </w:p>
        </w:tc>
        <w:tc>
          <w:tcPr>
            <w:tcW w:w="16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Patents and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Technology</w:t>
            </w:r>
          </w:p>
        </w:tc>
        <w:tc>
          <w:tcPr>
            <w:tcW w:w="160" w:type="dxa"/>
            <w:vAlign w:val="bottom"/>
          </w:tcPr>
          <w:p>
            <w:pPr>
              <w:spacing w:after="0"/>
              <w:rPr>
                <w:sz w:val="12"/>
                <w:szCs w:val="12"/>
                <w:color w:val="auto"/>
              </w:rPr>
            </w:pPr>
          </w:p>
        </w:tc>
        <w:tc>
          <w:tcPr>
            <w:tcW w:w="10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Licenses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08"/>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6"/>
              </w:rPr>
              <w:t>Expense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(remainder of the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260</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1,042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12,242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11,200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887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12,087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804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12,004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11,200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634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11,834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49,000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3,634</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52,634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5. Balance Sheet Details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74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40" w:type="dxa"/>
            <w:vAlign w:val="bottom"/>
            <w:gridSpan w:val="2"/>
          </w:tcPr>
          <w:p>
            <w:pPr>
              <w:ind w:left="420"/>
              <w:spacing w:after="0"/>
              <w:rPr>
                <w:sz w:val="20"/>
                <w:szCs w:val="20"/>
                <w:color w:val="auto"/>
              </w:rPr>
            </w:pPr>
            <w:r>
              <w:rPr>
                <w:rFonts w:ascii="Arial" w:cs="Arial" w:eastAsia="Arial" w:hAnsi="Arial"/>
                <w:sz w:val="18"/>
                <w:szCs w:val="18"/>
                <w:color w:val="auto"/>
              </w:rPr>
              <w:t>Cash, cash equivalents and restricted cash consisted of the following (in thousands):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gridSpan w:val="4"/>
          </w:tcPr>
          <w:p>
            <w:pPr>
              <w:jc w:val="right"/>
              <w:ind w:right="38"/>
              <w:spacing w:after="0"/>
              <w:rPr>
                <w:sz w:val="20"/>
                <w:szCs w:val="20"/>
                <w:color w:val="auto"/>
              </w:rPr>
            </w:pPr>
            <w:r>
              <w:rPr>
                <w:rFonts w:ascii="Arial" w:cs="Arial" w:eastAsia="Arial" w:hAnsi="Arial"/>
                <w:sz w:val="14"/>
                <w:szCs w:val="14"/>
                <w:b w:val="1"/>
                <w:bCs w:val="1"/>
                <w:color w:val="auto"/>
              </w:rPr>
              <w:t>September 30, 2019</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25,886</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95,401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27,961</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95,401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Short-term restricted cash of approximately $1.1 million is included in prepaid expenses and other current assets, and $1.0 million of non-current restricted cash is included in other non-current assets in the condensed consolidated balance sheet.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14,998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13,003</w:t>
            </w:r>
          </w:p>
        </w:tc>
        <w:tc>
          <w:tcPr>
            <w:tcW w:w="0" w:type="dxa"/>
            <w:vAlign w:val="bottom"/>
          </w:tcPr>
          <w:p>
            <w:pPr>
              <w:spacing w:after="0"/>
              <w:rPr>
                <w:sz w:val="1"/>
                <w:szCs w:val="1"/>
                <w:color w:val="auto"/>
              </w:rPr>
            </w:pPr>
          </w:p>
        </w:tc>
      </w:tr>
      <w:tr>
        <w:trPr>
          <w:trHeight w:val="27"/>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2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Laboratory and manufacturing equipment</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18,935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18,780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Office furniture and fixtures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(22,855)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8,396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933"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933"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75"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We accrue for estimated warranty obligations once revenue is recognized. Management periodically reviews the estimated fair value of its warranty liability and records adjustments based on the terms of warranties provided to customers, as well as historical and anticipated warranty claim experience. Activity for our warranty accrual for the three and nine months ended September 30, 2019, and 2018, which is included in other accrued liabilities, is summarized below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Accrual for warranties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1,195</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costs incurred</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1,107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741</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260" w:right="7960" w:hanging="252"/>
        <w:spacing w:after="0" w:line="495" w:lineRule="auto"/>
        <w:tabs>
          <w:tab w:leader="none" w:pos="197"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Convertible Notes and Credit Facility </w:t>
      </w:r>
      <w:r>
        <w:rPr>
          <w:rFonts w:ascii="Arial" w:cs="Arial" w:eastAsia="Arial" w:hAnsi="Arial"/>
          <w:sz w:val="16"/>
          <w:szCs w:val="16"/>
          <w:i w:val="1"/>
          <w:iCs w:val="1"/>
          <w:color w:val="auto"/>
        </w:rPr>
        <w:t>2014 Senior Convertible Notes (2014 Notes)</w:t>
      </w:r>
    </w:p>
    <w:p>
      <w:pPr>
        <w:spacing w:after="0" w:line="1"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In February 2014, we closed an underwritten public offering of $201.3 million aggregate principal amount of our 2.75% Senior Convertible Notes due 2034 (2014 Notes), pursuant to an underwriting agreement dated January 29, 2014. The 2014 Notes accrue interest at a rate of 2.75% per year, payable semi-annually in arrears on February 1 and August 1 of each year. Interest on the 2014 Notes accrued from February 4, 2014. The 2014 Notes will mature on February 1, 2034, unless earlier converted, redeemed, or repurchased in accordance with the terms of the 2014 Notes.</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initial conversion rate of the 2014 Notes is 17.8750 shares of our common stock, par value $0.001 per share, per $1,000 principal amount of 2014 Notes (which is equivalent to an initial conversion price of approximately $55.94 per share). The conversion rate will be subject to adjustment upon the occurrence of certain specified events, including upon a conversion in connection with a fundamental change, as defined in the indenture governing the 2014 Notes or, subject to certain conditions, redemption of the 2014 Notes by the Company.</w:t>
      </w:r>
    </w:p>
    <w:p>
      <w:pPr>
        <w:spacing w:after="0" w:line="133"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Holders may surrender their 2014 Notes for conversion at any time prior to the stated maturity date. On or after February 6, 2018, and prior to February 6, 2021, we may redeem any or all of the 2014 Notes in cash if the closing price of our common stock exceeds 130% of the conversion price for a specified number of days, and on or after February 6, 2021, we may redeem any or all of the 2014 Notes in cash without any such condition. The redemption price of the 2014 Notes will equal 100% of the principal amount of the 2014 Notes plus accrued and unpaid interest. Holders may require us to repurchase all or a portion of their 2014 Notes on each of February 6, 2021, February 6, 2024, and February 6, 2029, at a repurchase price in cash equal to 100% of the principal amount of the 2014 Notes plus accrued and unpaid interest. If we undergo a fundamental change, as defined in the indenture governing the 2014 Notes, holders may require us to repurchase the 2014 Notes in whole or in part for cash at a repurchase price equal to 100% of the principal amount of the 2014 Notes plus accrued and unpaid interest.</w:t>
      </w:r>
    </w:p>
    <w:p>
      <w:pPr>
        <w:spacing w:after="0" w:line="125"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In February 2014, we received $195.2 million, net of underwriting discounts, from the issuance of the 2014 Notes and incurred approximately $1.1 million in offering-related expenses. The underwriting discount of $6.0 million and the debt issuance costs of $1.1 million were recorded as offsets to the proceeds.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Senior Convertible Notes (2018 Notes)</w:t>
      </w:r>
    </w:p>
    <w:p>
      <w:pPr>
        <w:spacing w:after="0" w:line="171"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 March 2018, we entered into separate privately negotiated transactions with certain holders of our 2014 Notes to exchange $150.0 million in aggregate principal amount of the 2014 Notes for new convertible notes (2018 Notes). The 2018 Notes were subsequently retired in the first quarter of 2019 as discussed below.</w:t>
      </w:r>
    </w:p>
    <w:p>
      <w:pPr>
        <w:spacing w:after="0" w:line="12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As of the closing of the 2018 Notes on March 12, 2018, the estimated fair value was $145.5 million. The difference between the $150.0 million aggregate principal amount of the 2018 Notes and its fair value was amortized over the expected term of the 2018 Notes using the effective interest method through the first note holder put date of February 6, 2023.</w:t>
      </w:r>
    </w:p>
    <w:p>
      <w:pPr>
        <w:spacing w:after="0" w:line="12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accounted for the exchange transaction as an extinguishment of debt due to the significance of the change in value of the embedded conversion option, resulting in a $0.1 million gain. The gain on extinguishment of the 2014 Notes exchanged was calculated as the difference between the reacquisition price (i.e., the fair value of the principal amount of 2018 Notes) and the net carrying value of the 2014 Notes exchanged, net of unamortized debt discount and debt issuance cost write-offs.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2018 Notes accrued interest at a rate of 2.75%, payable semi-annually in arrears on February 1 and August 1 of each year. Interest on the 2018 Notes accrued from February 1, 2018. The 2018 Notes were set to mature on February 1, 2034, unless earlier converted, redeemed, or repurchased in accordance with the terms of the indenture governing the 2018 Notes. The initial conversion rate of the 2018 Notes was 126.9438 shares of our common stock, par value $0.001 per share, per $1,000 principal amount of the 2018 Notes (which is equivalent to an initial conversion price of approximately $7.88 per share). The conversion rate was subject to adjustment upon the occurrence of certain specified events. One of those specified events was that Holders who converted their 2018 Notes voluntarily prior to our exercise of the Issuer's Conversion Option were entitled, under certain circumstances, to a make-whole premium in the form of an increase in the conversion rate determined by reference to a make-whole table set forth in the indenture governing the 2018 Notes. Any time prior to the maturity of the 2018 Notes, we had the ability to convert the 2018 Notes, in whole but not in part, into cash, shares of our common stock, or combination thereof, if the closing price of our common stock equaled or exceeded 110% of the conversion price then in effect for a specified number of days (Issuer’s Conversion Option). On or after February 6, 2022, we would have been able to elect to redeem all or any portion of the 2018 Notes at a redemption price equal to 100% of the accreted principal amount of the 2018 Notes on the redemption date of the 2018 Notes, plus accrued and unpaid interest.</w:t>
      </w:r>
    </w:p>
    <w:p>
      <w:pPr>
        <w:spacing w:after="0" w:line="12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Holders of the 2018 Notes had the right, at their option, to require us to purchase all or a portion of the 2018 Notes (i) on February 6, 2023, February 6, 2026, and February 6, 2029, or (ii) in the event of a fundamental change, as defined in the indenture governing the 2018 Notes, in each case, at a repurchase price equal to 100% of the accreted principal amount (i.e., up to 120% of the outstanding principal amount) of the 2018 Notes on the fundamental change repurchase date, plus accrued and unpaid interest.</w:t>
      </w:r>
    </w:p>
    <w:p>
      <w:pPr>
        <w:spacing w:after="0" w:line="133"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As the 2018 Notes were convertible, at our election, into cash, shares of our common stock, or a combination of cash and shares of our common stock, we accounted for the 2018 Notes under the cash conversion guidance in ASC 470, whereby the embedded conversion option in the 2018 Notes was separated and accounted for in equity. The embedded conversion option value was calculated as the difference between (i) the total fair value of the 2018 Notes and (ii) the fair value of a similar debt instrument excluding the embedded conversion option. We determined an embedded conversion option value of $29.3 million, which was recorded in additional paid-in-capital and reduced the carrying value of the 2018 Notes. The resulting discount on the 2018 Notes was amortized over the expected term of the 2018 Notes, using the effective interest method through the first note holder put date, of February 6, 2023.</w:t>
      </w:r>
    </w:p>
    <w:p>
      <w:pPr>
        <w:spacing w:after="0" w:line="11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Offering-related costs for the 2018 Notes were approximately $2.8 million and were paid in the first and second quarters of 2018. Offering-related costs of $2.2 million were capitalized as debt issuance costs, recorded as an offset to the carrying value of the 2018 Notes, and are amortized over the expected term of the 2018 Notes using the effective interest method through the first note holder put date of February 6, 2023. Offering-related costs of $0.6 million were accounted for as equity issuance costs, recorded as an offset to additional paid-in capital, and are not subject to amortization. Offering-related costs were allocated between debt and equity in the same proportion as the allocation of the 2018 Notes between debt and equity.</w:t>
      </w:r>
    </w:p>
    <w:p>
      <w:pPr>
        <w:spacing w:after="0" w:line="119"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In the first quarter of 2019, we received notices from holders of the 2018 Notes electing to voluntarily convert approximately $138.1 million in aggregate principal amount of the 2018 Notes. In February 2019, we notified U.S. Bank National Association (the Trustee) of our intention to exercise our Issuer’s Conversion Option with respect to the remaining approximately $11.9 million in aggregate principal amount of 2018 Notes. In total, $150.0 million of the 2018 Notes were converted into 19.5 million shares of our common stock and the bonds were retired. We recognized a loss of $9.0 million, which represents the difference between the fair value of the bonds retired and their carrying costs. The net impact on equity was $133.3 million and represents the fair value of the bonds retired.</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carrying values of the components of the 2014 Notes and the 2018 Notes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81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2.75% 2014 Notes due 2034</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Principal amount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51,250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51,250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49,794</w:t>
            </w:r>
          </w:p>
        </w:tc>
      </w:tr>
      <w:tr>
        <w:trPr>
          <w:trHeight w:val="237"/>
        </w:trPr>
        <w:tc>
          <w:tcPr>
            <w:tcW w:w="8120" w:type="dxa"/>
            <w:vAlign w:val="bottom"/>
          </w:tcPr>
          <w:p>
            <w:pPr>
              <w:ind w:left="260"/>
              <w:spacing w:after="0"/>
              <w:rPr>
                <w:sz w:val="20"/>
                <w:szCs w:val="20"/>
                <w:color w:val="auto"/>
              </w:rPr>
            </w:pPr>
            <w:r>
              <w:rPr>
                <w:rFonts w:ascii="Arial" w:cs="Arial" w:eastAsia="Arial" w:hAnsi="Arial"/>
                <w:sz w:val="18"/>
                <w:szCs w:val="18"/>
                <w:b w:val="1"/>
                <w:bCs w:val="1"/>
                <w:color w:val="auto"/>
              </w:rPr>
              <w:t>2.75% 2018 Notes due 2034</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149,999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Premium accretion</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3,755</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(1,932)</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122,264</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49,853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172,058</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Revolving Credit Facility</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August 2018, the Company entered into a revolving credit facility with Silicon Valley Bank (the Revolving Credit Facility) in an aggregate principal amount of up to the lesser of (i) $15.0 million (Maximum Amount) or (ii) the sum of (a) 85% of our eligible receivables and (b) 50% of our eligible inventory, in each case, subject to certain limitations (Borrowing Base), provided that the amount of eligible inventory that may be counted towards the Borrowing Base shall be subject to a cap as set forth in the Revolving Credit Facility. Subject to the level of this borrowing base, the Company may make and repay borrowings from time to time until the maturity of the revolving credit facility. As of September 30, 2019, availability under the revolving credit facility was $9.0 million. There were no borrowings outstanding under the Revolving Credit Facility at September 30, 2019.</w:t>
      </w:r>
    </w:p>
    <w:p>
      <w:pPr>
        <w:spacing w:after="0" w:line="124" w:lineRule="exact"/>
        <w:rPr>
          <w:sz w:val="20"/>
          <w:szCs w:val="20"/>
          <w:color w:val="auto"/>
        </w:rPr>
      </w:pPr>
    </w:p>
    <w:p>
      <w:pPr>
        <w:ind w:right="340" w:firstLine="405"/>
        <w:spacing w:after="0" w:line="279" w:lineRule="auto"/>
        <w:rPr>
          <w:sz w:val="20"/>
          <w:szCs w:val="20"/>
          <w:color w:val="auto"/>
        </w:rPr>
      </w:pPr>
      <w:r>
        <w:rPr>
          <w:rFonts w:ascii="Arial" w:cs="Arial" w:eastAsia="Arial" w:hAnsi="Arial"/>
          <w:sz w:val="17"/>
          <w:szCs w:val="17"/>
          <w:color w:val="auto"/>
        </w:rPr>
        <w:t>The Revolving Credit Facility matures on August 2, 2020 and is collateralized by substantially all the Company’s property, other than intellectual property. Loans under the Revolving Credit Facility will bear interest, at the greater of (i) prime rate plus 0.50% or (ii) 5.50%. Interest on any outstanding loans is due and payable monthly and the principal balance is due at maturity though loans can be prepaid at any time without penalty. In addition, the Company pays a quarterly unused revolving line facility fee of .75% per annum on the average unused facility.</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Subject to certain exceptions, the Company must pay a prepayment fee equal to (i) 2.00% of the Maximum Amount if it prepays all advances and terminates the Loan Agreement prior to August 2, 2019, or (ii) 1.00% of the Maximum Amount if it prepays all advances and terminates the Loan Agreement on or after August 2, 2019, and prior to the maturity date.</w:t>
      </w:r>
    </w:p>
    <w:p>
      <w:pPr>
        <w:spacing w:after="0" w:line="12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Company incurred approximately $335,000 of debt issuance costs in connection with the facility, including $225,000 in commitment fees. Half of the commitment fee was paid at the inception of the facility and the remainder paid on August 2, 2019. Debt issuance costs were capitalized and are being amortized to interest expense over the life of the Revolving Credit Facility.</w:t>
      </w:r>
    </w:p>
    <w:p>
      <w:pPr>
        <w:spacing w:after="0" w:line="127"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The Revolving Credit Facility contains customary affirmative and negative covenants which, unless waived by the bank, limit the Company’s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The Revolving Credit Facility also contains customary events of default, subject to customary cure periods for certain defaults, that include, among other things, non-payment defaults, covenant defaults, material judgment defaults, bankruptcy and insolvency defaults, cross-defaults to certain other material indebtedness, and defaults due to inaccuracy of representation and warranties. Upon an event of default, the lender may declare all or a portion of the outstanding obligations payable by the Company to be immediately due and payable and exercise other rights and remedies provided for under the Revolving Credit Facility. During the existence of an event of default, interest on the obligations under the Revolving Credit Facility could be increased to 5.0% above the otherwise applicable rate of interest. The Company was in compliance with all the terms and conditions of the Revolving Credit Facility at September 30, 2019.</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have operating leases for buildings, equipment and vehicles. Existing leases have remaining terms of less than 1 year to 8 years. Some leases contain options to extend the lease, usually for up to 5 years, and termination options.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Operating lease right-of-use assets, net, consisted of the following (in thousands):</w:t>
      </w:r>
    </w:p>
    <w:p>
      <w:pPr>
        <w:spacing w:after="0" w:line="230"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2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c>
          <w:tcPr>
            <w:tcW w:w="1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buildings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Operating lease right-of-use equipment</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vehicles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5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6,453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In the first half of 2019, we entered into a new operating lease for our corporate headquarters in South San Francisco, California which is expected to commence in early 2020. The lease term is approximately 10 years. We expect to recognize a right-of-use asset and lease liability of approximately $47.4 million, based on our current incremental collateralized borrowing rate, as a result of this lease.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vMerge w:val="restart"/>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92"/>
        </w:trPr>
        <w:tc>
          <w:tcPr>
            <w:tcW w:w="8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3"/>
        </w:trPr>
        <w:tc>
          <w:tcPr>
            <w:tcW w:w="9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 (including variable costs)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180" w:type="dxa"/>
            <w:vAlign w:val="bottom"/>
            <w:tcBorders>
              <w:bottom w:val="single" w:sz="8" w:color="CCEEFF"/>
            </w:tcBorders>
            <w:gridSpan w:val="2"/>
          </w:tcPr>
          <w:p>
            <w:pPr>
              <w:ind w:left="5620"/>
              <w:spacing w:after="0"/>
              <w:rPr>
                <w:sz w:val="20"/>
                <w:szCs w:val="20"/>
                <w:color w:val="auto"/>
              </w:rPr>
            </w:pPr>
            <w:r>
              <w:rPr>
                <w:rFonts w:ascii="Arial" w:cs="Arial" w:eastAsia="Arial" w:hAnsi="Arial"/>
                <w:sz w:val="18"/>
                <w:szCs w:val="18"/>
                <w:color w:val="auto"/>
                <w:w w:val="96"/>
              </w:rPr>
              <w:t>Variable costs including non-lease component</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311"/>
        </w:trPr>
        <w:tc>
          <w:tcPr>
            <w:tcW w:w="8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180" w:type="dxa"/>
            <w:vAlign w:val="bottom"/>
            <w:gridSpan w:val="2"/>
          </w:tcPr>
          <w:p>
            <w:pPr>
              <w:ind w:left="6860"/>
              <w:spacing w:after="0"/>
              <w:rPr>
                <w:sz w:val="20"/>
                <w:szCs w:val="20"/>
                <w:color w:val="auto"/>
              </w:rPr>
            </w:pPr>
            <w:r>
              <w:rPr>
                <w:rFonts w:ascii="Arial" w:cs="Arial" w:eastAsia="Arial" w:hAnsi="Arial"/>
                <w:sz w:val="18"/>
                <w:szCs w:val="18"/>
                <w:b w:val="1"/>
                <w:bCs w:val="1"/>
                <w:color w:val="auto"/>
              </w:rPr>
              <w:t>Supplemental information:</w:t>
            </w:r>
          </w:p>
        </w:tc>
        <w:tc>
          <w:tcPr>
            <w:tcW w:w="3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Cash paid for amounts included in the measurement of operating lease liabilities (included in net cash used in operating</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918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Operating cash flows from operating leases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311"/>
        </w:trPr>
        <w:tc>
          <w:tcPr>
            <w:tcW w:w="8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9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50"/>
        </w:trPr>
        <w:tc>
          <w:tcPr>
            <w:tcW w:w="9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78"/>
        </w:trPr>
        <w:tc>
          <w:tcPr>
            <w:tcW w:w="8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675"/>
        </w:trPr>
        <w:tc>
          <w:tcPr>
            <w:tcW w:w="8960" w:type="dxa"/>
            <w:vAlign w:val="bottom"/>
          </w:tcPr>
          <w:p>
            <w:pPr>
              <w:ind w:left="56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Future minimum lease payments and minimum sublease income under non-cancelable operating leases as of September 30, 2019,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Minimum Lease</w:t>
            </w:r>
          </w:p>
        </w:tc>
        <w:tc>
          <w:tcPr>
            <w:tcW w:w="100" w:type="dxa"/>
            <w:vAlign w:val="bottom"/>
          </w:tcPr>
          <w:p>
            <w:pPr>
              <w:spacing w:after="0"/>
              <w:rPr>
                <w:sz w:val="14"/>
                <w:szCs w:val="14"/>
                <w:color w:val="auto"/>
              </w:rPr>
            </w:pP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Minimum Sublease</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2"/>
                <w:szCs w:val="12"/>
                <w:color w:val="auto"/>
              </w:rPr>
            </w:pPr>
          </w:p>
        </w:tc>
        <w:tc>
          <w:tcPr>
            <w:tcW w:w="12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Payments for</w:t>
            </w: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71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1"/>
              </w:rPr>
              <w:t>Operating Leases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(remainder of the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996</w:t>
            </w:r>
          </w:p>
        </w:tc>
        <w:tc>
          <w:tcPr>
            <w:tcW w:w="3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future minimum payments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7,671</w:t>
            </w:r>
          </w:p>
        </w:tc>
        <w:tc>
          <w:tcPr>
            <w:tcW w:w="3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6,822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6,822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Disclosures related to periods prior to adoption of ASC 842</w:t>
      </w:r>
    </w:p>
    <w:p>
      <w:pPr>
        <w:spacing w:after="0" w:line="17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Operating lease rent expense, net of amortization of lease incentives and sublease income was $1.2 million and $3.6 million for the three and nine months ended September 30, 2018, respectively for the prior year comparative periods before the adoption of ASC 842.</w:t>
      </w:r>
    </w:p>
    <w:p>
      <w:pPr>
        <w:spacing w:after="0" w:line="11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of December 31, 2018, future minimum lease payment obligations and minimum sublease income, net of expenses, under noncancelable operating leases before the adoption of ASC 842 were disclosed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Minimum Lease</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Minimum Sublease</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Payments for</w:t>
            </w:r>
          </w:p>
        </w:tc>
        <w:tc>
          <w:tcPr>
            <w:tcW w:w="14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4340" w:type="dxa"/>
            <w:vAlign w:val="bottom"/>
            <w:vMerge w:val="continue"/>
          </w:tcPr>
          <w:p>
            <w:pPr>
              <w:spacing w:after="0"/>
              <w:rPr>
                <w:sz w:val="16"/>
                <w:szCs w:val="16"/>
                <w:color w:val="auto"/>
              </w:rPr>
            </w:pPr>
          </w:p>
        </w:tc>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Operating Leases</w:t>
            </w: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90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2020</w:t>
            </w:r>
          </w:p>
        </w:tc>
        <w:tc>
          <w:tcPr>
            <w:tcW w:w="2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2022</w:t>
            </w:r>
          </w:p>
        </w:tc>
        <w:tc>
          <w:tcPr>
            <w:tcW w:w="2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payments (income)</w:t>
            </w:r>
          </w:p>
        </w:tc>
        <w:tc>
          <w:tcPr>
            <w:tcW w:w="2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9,578</w:t>
            </w:r>
          </w:p>
        </w:tc>
        <w:tc>
          <w:tcPr>
            <w:tcW w:w="0" w:type="dxa"/>
            <w:vAlign w:val="bottom"/>
          </w:tcPr>
          <w:p>
            <w:pPr>
              <w:spacing w:after="0"/>
              <w:rPr>
                <w:sz w:val="1"/>
                <w:szCs w:val="1"/>
                <w:color w:val="auto"/>
              </w:rPr>
            </w:pPr>
          </w:p>
        </w:tc>
      </w:tr>
      <w:tr>
        <w:trPr>
          <w:trHeight w:val="669"/>
        </w:trPr>
        <w:tc>
          <w:tcPr>
            <w:tcW w:w="4340" w:type="dxa"/>
            <w:vAlign w:val="bottom"/>
          </w:tcPr>
          <w:p>
            <w:pPr>
              <w:spacing w:after="0"/>
              <w:rPr>
                <w:sz w:val="24"/>
                <w:szCs w:val="24"/>
                <w:color w:val="auto"/>
              </w:rPr>
            </w:pPr>
          </w:p>
        </w:tc>
        <w:tc>
          <w:tcPr>
            <w:tcW w:w="2760" w:type="dxa"/>
            <w:vAlign w:val="bottom"/>
          </w:tcPr>
          <w:p>
            <w:pPr>
              <w:jc w:val="right"/>
              <w:ind w:right="1210"/>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our cash and available-for-sale securities by significant category within the fair value hierarchy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4"/>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Short-Term</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1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Marketable</w:t>
            </w: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Cash- Restricted</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6"/>
              </w:rPr>
              <w:t>Gain</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Cash-non-restricted</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14,053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14,053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14,053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Cash-restricted</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2,075</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4"/>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Total cash</w:t>
            </w: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16,128</w:t>
            </w:r>
          </w:p>
        </w:tc>
        <w:tc>
          <w:tcPr>
            <w:tcW w:w="12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16,128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14,053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Level 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11,833</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4"/>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36,825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36,875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36,875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48,658</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48,708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7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64,786</w:t>
            </w:r>
          </w:p>
        </w:tc>
        <w:tc>
          <w:tcPr>
            <w:tcW w:w="12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64,836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25,886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36,875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3"/>
                <w:szCs w:val="13"/>
                <w:color w:val="auto"/>
              </w:rPr>
            </w:pPr>
          </w:p>
        </w:tc>
        <w:tc>
          <w:tcPr>
            <w:tcW w:w="98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98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gridSpan w:val="3"/>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17,685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17,685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17,685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Level 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77,716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77,716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77,716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77,716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7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95,401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95,401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95,401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There were no transfers between Level I and Level II measurements during the nine months ended September 30, 2019, and December 31, 2018, and there were no changes in the valuation techniques used.</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w:t>
      </w:r>
    </w:p>
    <w:p>
      <w:pPr>
        <w:spacing w:after="0" w:line="17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estimated fair value of the 2014 and 2018 Notes is based on a market approach and represents a Level II valuation. When determining the estimated fair value of our long-term debt, we used a commonly accepted valuation methodology and market-based risk measurements that are indirectly observable, such as credit risk.</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par value, carrying value and the estimated fair value of the 2014 and 2018 Notes at September 30,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respectively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Carrying Value</w:t>
            </w:r>
          </w:p>
        </w:tc>
        <w:tc>
          <w:tcPr>
            <w:tcW w:w="220" w:type="dxa"/>
            <w:vAlign w:val="bottom"/>
          </w:tcPr>
          <w:p>
            <w:pPr>
              <w:spacing w:after="0"/>
              <w:rPr>
                <w:sz w:val="22"/>
                <w:szCs w:val="22"/>
                <w:color w:val="auto"/>
              </w:rPr>
            </w:pPr>
          </w:p>
        </w:tc>
        <w:tc>
          <w:tcPr>
            <w:tcW w:w="1040" w:type="dxa"/>
            <w:vAlign w:val="bottom"/>
          </w:tcPr>
          <w:p>
            <w:pPr>
              <w:jc w:val="right"/>
              <w:ind w:right="21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Notes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43,665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2018 Notes</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149,999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122,264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171,843</w:t>
            </w: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51,250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49,853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49,713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201,249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172,058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215,508</w:t>
            </w: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60" w:right="9260" w:hanging="252"/>
        <w:spacing w:after="0" w:line="495" w:lineRule="auto"/>
        <w:tabs>
          <w:tab w:leader="none" w:pos="197"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i w:val="1"/>
          <w:iCs w:val="1"/>
          <w:color w:val="auto"/>
        </w:rPr>
        <w:t>Conversion of 2018 Notes</w:t>
      </w:r>
    </w:p>
    <w:p>
      <w:pPr>
        <w:spacing w:after="0" w:line="1" w:lineRule="exact"/>
        <w:rPr>
          <w:sz w:val="20"/>
          <w:szCs w:val="20"/>
          <w:color w:val="auto"/>
        </w:rPr>
      </w:pPr>
    </w:p>
    <w:p>
      <w:pPr>
        <w:jc w:val="both"/>
        <w:ind w:right="160" w:firstLine="405"/>
        <w:spacing w:after="0" w:line="342" w:lineRule="auto"/>
        <w:rPr>
          <w:sz w:val="20"/>
          <w:szCs w:val="20"/>
          <w:color w:val="auto"/>
        </w:rPr>
      </w:pPr>
      <w:r>
        <w:rPr>
          <w:rFonts w:ascii="Arial" w:cs="Arial" w:eastAsia="Arial" w:hAnsi="Arial"/>
          <w:sz w:val="16"/>
          <w:szCs w:val="16"/>
          <w:color w:val="auto"/>
        </w:rPr>
        <w:t>In the first quarter of 2019, we issued 19,460,260 shares of our common stock in connection with the conversion of our 2018 Notes (see Note 6). As a result of this issuance of common stock, we recorded a total of $133.3 million of equity, which is equivalent to the fair value of the bonds retired.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Plans</w:t>
      </w:r>
    </w:p>
    <w:p>
      <w:pPr>
        <w:spacing w:after="0" w:line="175"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Our board of directors sets the terms, conditions, and restrictions related to our Employee Stock Purchase Plan (ESPP) and the grant of stock options, restricted stock units (RSU) and performance-based awards under our other equity incentive plans. Our board of directors determines the number of shares subject to award grants and also sets vesting criteria.</w:t>
      </w:r>
    </w:p>
    <w:p>
      <w:pPr>
        <w:spacing w:after="0" w:line="127"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In general, our RSUs vest on a quarterly basis over a period of four years from the date of grant at a rate of 25% on the first anniversary of the grant date and ratably each quarter over the remaining 12 quarters, subject to the recipient employee’s continued employment. We may grant RSU awards with different vesting terms from time to time.</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Incentive stock options and non-statutory stock options granted under the 2011 Plan have a term of no more than ten years from the date of grant and an exercise price of at least 100% of the fair market value of the underlying common stock on the date of grant. If a participant owns stock representing more than 10% of the voting power of all classes of our stock on the grant date, an incentive stock option awarded to the participant will have a term of no more than five years from the date of grant and an exercise price of at least 110% of the fair market value of the underlying common stock on the date of grant. Generally, our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12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For performance-based share awards,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175"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January 2011, our board of directors adopted the 2011 Equity Incentive Plan (2011 Plan) under which incentive stock options, non-statutory stock options, RSUs, stock appreciation rights, performance units, and performance shares may be granted to our employees, directors, and consultants. In April 2019, our board of directors authorized, and in June 2019, our stockholders approved, the amendment and restatement of the 2011 Plan to make various changes, including increasing the number of shares reserved for issuance by approximately 5.0 million shares and extending the term of the 2011 Plan until April 2029.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Equity Incentive Plan and 1999 Stock Option Plan</w:t>
      </w:r>
    </w:p>
    <w:p>
      <w:pPr>
        <w:spacing w:after="0" w:line="17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2009 Equity Incentive Plan (2009 Plan) terminated on the date the 2011 Plan was adopted. Options granted and shares issued under the 2009 Plan that were outstanding on the date the 2011 Plan became effective remained subject to the terms of the 2009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Inducement Award Plan</w:t>
      </w:r>
    </w:p>
    <w:p>
      <w:pPr>
        <w:spacing w:after="0" w:line="175" w:lineRule="exact"/>
        <w:rPr>
          <w:sz w:val="20"/>
          <w:szCs w:val="20"/>
          <w:color w:val="auto"/>
        </w:rPr>
      </w:pPr>
    </w:p>
    <w:p>
      <w:pPr>
        <w:ind w:firstLine="392"/>
        <w:spacing w:after="0" w:line="290" w:lineRule="auto"/>
        <w:rPr>
          <w:sz w:val="20"/>
          <w:szCs w:val="20"/>
          <w:color w:val="auto"/>
        </w:rPr>
      </w:pPr>
      <w:r>
        <w:rPr>
          <w:rFonts w:ascii="Arial" w:cs="Arial" w:eastAsia="Arial" w:hAnsi="Arial"/>
          <w:sz w:val="16"/>
          <w:szCs w:val="16"/>
          <w:color w:val="auto"/>
        </w:rPr>
        <w:t>In January 2017, we adopted the Fluidigm Corporation 2017 Inducement Award Plan (Inducement Plan) and reserved 2 million shares of our common stock for issuance pursuant to equity awards granted under the Inducement Plan. The Inducement Plan provided for the grant of equity-based awards and its terms were substantially similar to the 2011 Plan. In accordance with Rule 5635(c)(4) of the Nasdaq Listing Rules, awards under the Inducement Plan could only be made to individuals not previously our employees or non-employee members of our board of directors (or following such individuals' bona fide period of non-employment), as an inducement material to the individuals' entry into employment with us or in connection with a merger or acquisition, to the extent permitted by Rule 5635(c)(3) of the Nasdaq Listing Rules. In June 2019, concurrently with the increase in shares available for grant under the 2011 Plan, the Inducement Plan was terminated such that no further grants could be made thereunder. Options granted and shares issued under the Inducement Plan that were outstanding upon such termination remain outstanding subject to their terms and the terms of the Inducement Plan.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Expense Information</w:t>
      </w:r>
    </w:p>
    <w:p>
      <w:pPr>
        <w:spacing w:after="0" w:line="17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We use the Black-Scholes option-pricing model to estimate the fair value of stock options granted under our equity incentive plans. We grant stock options at exercise prices not less than the fair value of our common stock at the date of grant. The fair value of RSUs granted to employees is valued using the fair market value of our common stock on the grant date.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Activity under the 2011 Plan, the 2009 Plan, the 1999 Plan, and the Inducement Plan is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 of Units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BFE4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000s)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Value per Unit</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as of 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RSU granted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RSU released</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RSU forfeited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as of September 30,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2,641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BFE4FF"/>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BFE4FF"/>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As of September 30, 2019, the unrecognized compensation costs related to outstanding unvested RSUs under our equity incentive plans were $17.4 million. We expect to recognize these costs over a weighted average period of 3.3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b w:val="1"/>
          <w:bCs w:val="1"/>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Weighted-Average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Average Remaining</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 Life (in</w:t>
            </w:r>
          </w:p>
        </w:tc>
        <w:tc>
          <w:tcPr>
            <w:tcW w:w="160" w:type="dxa"/>
            <w:vAlign w:val="bottom"/>
          </w:tcPr>
          <w:p>
            <w:pPr>
              <w:spacing w:after="0"/>
              <w:rPr>
                <w:sz w:val="12"/>
                <w:szCs w:val="12"/>
                <w:color w:val="auto"/>
              </w:rPr>
            </w:pPr>
          </w:p>
        </w:tc>
        <w:tc>
          <w:tcPr>
            <w:tcW w:w="120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Options (000s)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5"/>
              </w:rPr>
              <w:t>per Option</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Value in (000s)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2,385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5,991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Options 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2019</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2,086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as of September 30, 2019</w:t>
            </w:r>
          </w:p>
        </w:tc>
        <w:tc>
          <w:tcPr>
            <w:tcW w:w="13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1,264</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to vest as of September 30, 2019</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822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average grant date fair value of options granted in 2019 was $7.17. As of September 30, 2019, the unrecognized compensation costs related to outstanding unvested options under our equity incentive plans were $2.8 million. We expect to recognize these costs over a weighted average period of 2.0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During the nine months ended September 30, 2019, we granted 400,839 performance stock units to certain executive officers and senior level employees. The number of performance stock units ultimately earned under these awards is calculated based on the Total Shareholder Return (TSR) of our common stock as compared to the TSR of a defined group of peer companies during the three-year performance period. The percentage of performance stock units that vest will depend on our relative position at the end of the performance period and can range from 0% to 200% of the number of units granted.</w:t>
      </w:r>
    </w:p>
    <w:p>
      <w:pPr>
        <w:spacing w:after="0" w:line="154"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Under FASB ASC Topic 718, the provisions of the performance stock unit awards related to TSR are considered a market condition, and the effects of that market condition should be reflected in the grant date fair value of the awards. We used a Monte Carlo simulation pricing model to incorporate the market condition effects at our grant date with a weighted-average fair value of $16.90 per unit.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Activity under the performance stock units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 of Units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BFE4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000s)</w:t>
            </w:r>
          </w:p>
        </w:tc>
        <w:tc>
          <w:tcPr>
            <w:tcW w:w="120" w:type="dxa"/>
            <w:vAlign w:val="bottom"/>
            <w:tcBorders>
              <w:bottom w:val="single" w:sz="8" w:color="BFE4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Value per Unit</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as of 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155</w:t>
            </w:r>
          </w:p>
        </w:tc>
        <w:tc>
          <w:tcPr>
            <w:tcW w:w="24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PSU granted</w:t>
            </w:r>
          </w:p>
        </w:tc>
        <w:tc>
          <w:tcPr>
            <w:tcW w:w="1480" w:type="dxa"/>
            <w:vAlign w:val="bottom"/>
            <w:gridSpan w:val="2"/>
          </w:tcPr>
          <w:p>
            <w:pPr>
              <w:jc w:val="right"/>
              <w:ind w:right="17"/>
              <w:spacing w:after="0"/>
              <w:rPr>
                <w:sz w:val="20"/>
                <w:szCs w:val="20"/>
                <w:color w:val="auto"/>
              </w:rPr>
            </w:pPr>
            <w:r>
              <w:rPr>
                <w:rFonts w:ascii="Arial" w:cs="Arial" w:eastAsia="Arial" w:hAnsi="Arial"/>
                <w:sz w:val="18"/>
                <w:szCs w:val="18"/>
                <w:color w:val="auto"/>
              </w:rPr>
              <w:t>401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PSU released</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PSU forfeited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as of September 30,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BFE4FF"/>
          </w:tcPr>
          <w:p>
            <w:pPr>
              <w:jc w:val="right"/>
              <w:ind w:right="17"/>
              <w:spacing w:after="0"/>
              <w:rPr>
                <w:sz w:val="20"/>
                <w:szCs w:val="20"/>
                <w:color w:val="auto"/>
              </w:rPr>
            </w:pPr>
            <w:r>
              <w:rPr>
                <w:rFonts w:ascii="Arial" w:cs="Arial" w:eastAsia="Arial" w:hAnsi="Arial"/>
                <w:sz w:val="18"/>
                <w:szCs w:val="18"/>
                <w:color w:val="auto"/>
              </w:rPr>
              <w:t>547</w:t>
            </w:r>
          </w:p>
        </w:tc>
        <w:tc>
          <w:tcPr>
            <w:tcW w:w="240" w:type="dxa"/>
            <w:vAlign w:val="bottom"/>
            <w:tcBorders>
              <w:top w:val="single" w:sz="8" w:color="BFE4FF"/>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BFE4FF"/>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September 30, 2019, the unrecognized compensation costs related to these awards were $6.2 million. We expect to recognize these costs over a weighted average period of 2.3 years.</w:t>
      </w:r>
    </w:p>
    <w:p>
      <w:pPr>
        <w:spacing w:after="0" w:line="116"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During the three and nine months ended September 30, 2019, we also granted performance stock units to a certain employee. The number of performance stock units that ultimately vest under these awards is dependent on achieving certain discrete operational milestones between September 30, 2019 and December 31, 2020. Activity under these performance stock units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8"/>
              </w:rPr>
              <w:t>Number of Units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000s)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Value per Unit</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PSU granted</w:t>
            </w:r>
          </w:p>
        </w:tc>
        <w:tc>
          <w:tcPr>
            <w:tcW w:w="1360" w:type="dxa"/>
            <w:vAlign w:val="bottom"/>
          </w:tcPr>
          <w:p>
            <w:pPr>
              <w:ind w:left="1080"/>
              <w:spacing w:after="0"/>
              <w:rPr>
                <w:sz w:val="20"/>
                <w:szCs w:val="20"/>
                <w:color w:val="auto"/>
              </w:rPr>
            </w:pPr>
            <w:r>
              <w:rPr>
                <w:rFonts w:ascii="Arial" w:cs="Arial" w:eastAsia="Arial" w:hAnsi="Arial"/>
                <w:sz w:val="18"/>
                <w:szCs w:val="18"/>
                <w:color w:val="auto"/>
              </w:rPr>
              <w:t>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PSU released</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PSU forfeited</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2019</w:t>
            </w:r>
          </w:p>
        </w:tc>
        <w:tc>
          <w:tcPr>
            <w:tcW w:w="13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68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Under FASB ASC Topic 718, the provisions of these performance stock units are considered to be a performance condition, and expense is only recognized when it is probable the related milestone will be achieved and the awards will vest. As of September 30, 2019, the expense recognized for these awards has been immaterial.</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2017 Employee Stock Purchase Plan</w:t>
      </w:r>
    </w:p>
    <w:p>
      <w:pPr>
        <w:spacing w:after="0" w:line="171"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Our ESPP offers U.S. and some non-U.S. employees the right to purchase shares of our common stock. Prior to June 2019, our ESPP had a six-month offering period, with a new period commencing on the first trading day on or after May 31 and November 30 of each year. Employees were eligible to participate through payroll deductions of up to 10% of their compensation. The purchase price at which shares were sold under the ESPP was 85% of the lower of the fair market value of a share of our common stock on the first day of the offering period or the last day of the offering period.</w:t>
      </w:r>
    </w:p>
    <w:p>
      <w:pPr>
        <w:spacing w:after="0" w:line="10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Effective in June 2019, our ESPP was amended to offer a twelve-month offering period with two six-month purchase periods beginning on each of May 31 and November 30. Under the updated plan, the purchase price at which shares are sold for the first purchase period is 85% of the lower of the fair market value of a share of our common stock on the first day of the offering period or the last day of the first purchase period. For the second purchase period, the purchase price at which shares are sold is 85% of the lowest of the fair value of the common stock on the first day of the offering period, the last day of the offering period or the fair value of the common stock at the beginning of the second purchase period. Employees are eligible under the amended plan to participate through payroll deductions of up to 15% of their compensation. Employees may not purchase more than $25 thousand of stock for any calendar year.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recognized share-based compensation expense as follows (in thousands):</w:t>
      </w:r>
    </w:p>
    <w:p>
      <w:pPr>
        <w:spacing w:after="0" w:line="230"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50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Three Months Ended September 30,</w:t>
            </w:r>
          </w:p>
        </w:tc>
        <w:tc>
          <w:tcPr>
            <w:tcW w:w="140" w:type="dxa"/>
            <w:vAlign w:val="bottom"/>
          </w:tcPr>
          <w:p>
            <w:pPr>
              <w:spacing w:after="0"/>
              <w:rPr>
                <w:sz w:val="16"/>
                <w:szCs w:val="16"/>
                <w:color w:val="auto"/>
              </w:rPr>
            </w:pPr>
          </w:p>
        </w:tc>
        <w:tc>
          <w:tcPr>
            <w:tcW w:w="228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4"/>
        </w:trPr>
        <w:tc>
          <w:tcPr>
            <w:tcW w:w="44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and Restricted Stock Units</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5,699</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
        </w:trPr>
        <w:tc>
          <w:tcPr>
            <w:tcW w:w="4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Share-based Compensation</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w:t>
            </w:r>
          </w:p>
        </w:tc>
      </w:tr>
      <w:tr>
        <w:trPr>
          <w:trHeight w:val="20"/>
        </w:trPr>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Company’s quarterly provision for income taxes is based on an estimated effective annual income tax rate. The Company’s quarterly provision for income taxes also includes the tax impact of certain unusual or infrequently occurring items, if any, including changes in judgment about valuation allowances and effects of changes in tax laws or rates, in the interim period in which they occur.</w:t>
      </w:r>
    </w:p>
    <w:p>
      <w:pPr>
        <w:spacing w:after="0" w:line="12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Company recorded a tax benefit of $1.2 million and $2.3 million for the three and nine months ended September 30, 2019, respectively. We recorded a tax benefit of $0.8 million and $2.2 million for the three and nine months ended September 30, 2018, respectively. The benefit for all periods was primarily attributable to the tax benefit from the amortization of our acquisition-related deferred tax liability, partially offset by a provision from our foreign operations.</w:t>
      </w:r>
    </w:p>
    <w:p>
      <w:pPr>
        <w:spacing w:after="0" w:line="133"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Company’s tax benefit for income taxes for the periods presented differs from the 21% U.S. Federal statutory rate for the three and nine months ended September 30, 2019 and 2018, respectively, primarily due to maintaining a valuation allowance for deferred tax assets, which primarily consist of net operating loss carryforwards.</w:t>
      </w:r>
    </w:p>
    <w:p>
      <w:pPr>
        <w:spacing w:after="0" w:line="18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Tax positions taken by the Company are subject to audits by multiple tax jurisdictions. The Company believes that it has provided adequate reserves for its uncertain tax positions for all tax years still open for assessment. The Company also believes that it does not have any tax position that will significantly increase or decrease within the next year. For the nine months ended September 30, 2019, the Company did not recognize any material interest or penalties related to uncertain tax positions.</w:t>
      </w:r>
    </w:p>
    <w:p>
      <w:pPr>
        <w:spacing w:after="0" w:line="13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Recording deferred tax assets is appropriate when realization of these assets is more likely than not. Assessing the realizability of deferred tax assets is dependent upon several factors including historical financial results. The deferred tax assets have been offset by valuation allowances. In the future we may release valuation allowances and recognize deferred tax assets in certain of our foreign subsidiaries depending on the achievement of future profitability in the relevant jurisdictions. Any release of valuation allowances could have the effect of decreasing the income tax provision in the period the valuation allowance is released. We continue to monitor the likelihood that we will be able to recover our deferred tax assets, including those for which a valuation allowance is recorded. There can be no assurance that we will generate profits in the future periods enabling us to fully realize our deferred tax assets. The timing of recording a valuation allowance or the reversal of such valuation allowance is subject to objective and subjective factors that cannot be readily predicted in advance.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Information about Geographic Areas</w:t>
      </w:r>
    </w:p>
    <w:p>
      <w:pPr>
        <w:spacing w:after="0" w:line="175"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We operate in one reporting segment that develops, manufacturers and commercializes tools for life sciences research.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19" w:lineRule="exact"/>
        <w:rPr>
          <w:sz w:val="20"/>
          <w:szCs w:val="20"/>
          <w:color w:val="auto"/>
        </w:rPr>
      </w:pPr>
    </w:p>
    <w:p>
      <w:pPr>
        <w:ind w:right="960" w:firstLine="405"/>
        <w:spacing w:after="0" w:line="342" w:lineRule="auto"/>
        <w:rPr>
          <w:sz w:val="20"/>
          <w:szCs w:val="20"/>
          <w:color w:val="auto"/>
        </w:rPr>
      </w:pPr>
      <w:r>
        <w:rPr>
          <w:rFonts w:ascii="Arial" w:cs="Arial" w:eastAsia="Arial" w:hAnsi="Arial"/>
          <w:sz w:val="16"/>
          <w:szCs w:val="16"/>
          <w:color w:val="auto"/>
        </w:rPr>
        <w:t>A summary table of our total revenue by geographic areas of our customers and by product and service for the three and nine months ended September 30, 2019 and 2018 is included in Note 3 to the condensed consolidated financial statements of this quarterly report on Form 10-Q.</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ind w:right="40" w:firstLine="405"/>
        <w:spacing w:after="0" w:line="264" w:lineRule="auto"/>
        <w:rPr>
          <w:sz w:val="20"/>
          <w:szCs w:val="20"/>
          <w:color w:val="auto"/>
        </w:rPr>
      </w:pPr>
      <w:r>
        <w:rPr>
          <w:rFonts w:ascii="Arial" w:cs="Arial" w:eastAsia="Arial" w:hAnsi="Arial"/>
          <w:sz w:val="18"/>
          <w:szCs w:val="18"/>
          <w:color w:val="auto"/>
        </w:rPr>
        <w:t>Sales to customers in the United States represented $10.5 million or 40%, and $32.9 million or 39% of total revenues for the three and nine months ended September 30, 2019, respectively. Sales to customers in the United States represented $13.2 million or 46% and $35.4 million or 44% of total revenues for the three and nine months ended September 30, 2018, respectively.</w:t>
      </w:r>
    </w:p>
    <w:p>
      <w:pPr>
        <w:spacing w:after="0" w:line="12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Sales to customers in China represented $3.9 million or 15%, and $11.4 million or 13% of total revenues for the three and nine months ended September 30, 2019, respectively. Sales to customers in China represented $3.4 million or 12%, and $8.9 million or 11% of total revenues for the three and nine months ended September 30, 2018, respectively. Except for China, no other foreign country or jurisdiction had sales in excess of 10% of our total revenue during the three and nine months ended September 30, 2019 and 2018.</w:t>
      </w:r>
    </w:p>
    <w:p>
      <w:pPr>
        <w:spacing w:after="0" w:line="133"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No individual customer represented more than 10% of our total revenues for the three and nine months ended September 30, 2019, and 2018, respectively.</w:t>
      </w:r>
    </w:p>
    <w:p>
      <w:pPr>
        <w:spacing w:after="0" w:line="220" w:lineRule="exact"/>
        <w:rPr>
          <w:sz w:val="20"/>
          <w:szCs w:val="20"/>
          <w:color w:val="auto"/>
        </w:rPr>
      </w:pPr>
    </w:p>
    <w:p>
      <w:pPr>
        <w:ind w:right="8580" w:firstLine="8"/>
        <w:spacing w:after="0" w:line="440" w:lineRule="auto"/>
        <w:tabs>
          <w:tab w:leader="none" w:pos="27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Indemnification</w:t>
      </w:r>
    </w:p>
    <w:p>
      <w:pPr>
        <w:spacing w:after="0" w:line="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we may revise estimates.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3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(the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39"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and in our annual report on Form 10-K filed with the Securities and Exchange Commission (SEC). Given these uncertainties, you should not place undue reliance on these forward-looking statements. Also, forward-looking statements represent our management’s beliefs and assumptions only as of the date of this Form 10-Q.</w:t>
      </w:r>
    </w:p>
    <w:p>
      <w:pPr>
        <w:spacing w:after="0" w:line="104"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11"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8"/>
          <w:szCs w:val="18"/>
          <w:color w:val="auto"/>
        </w:rPr>
        <w:t>“Fluidigm,” the Fluidigm logo, “Access Array,” “Advanta,” “Biomark,” “C1,” “Callisto,” “CyTOF,” “Delta Gene,” “Digital Array,” “Dynamic Array,” “EP1,” “Flex Six,” “Helios,” “Hyperion,” “Imaging Mass Cytometry,” “IMC,” “Juno,” “Maxpar,” “MSL,” “Polaris,” “Script Builder,” “Singular,” and “SNP Type” are trademarks or registered trademarks of Fluidigm Corporation. Other service marks, trademarks and trade names referred to in this quarterly report on Form 10-Q are the property of their respective owners.</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Unless the context requires otherwise, references in this Form 10-Q to “Fluidigm,” the “Company,” “we,” “us,” and “our” refer to Fluidigm Corporation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60" w:firstLine="392"/>
        <w:spacing w:after="0" w:line="257" w:lineRule="auto"/>
        <w:rPr>
          <w:sz w:val="20"/>
          <w:szCs w:val="20"/>
          <w:color w:val="auto"/>
        </w:rPr>
      </w:pPr>
      <w:r>
        <w:rPr>
          <w:rFonts w:ascii="Arial" w:cs="Arial" w:eastAsia="Arial" w:hAnsi="Arial"/>
          <w:sz w:val="18"/>
          <w:szCs w:val="18"/>
          <w:color w:val="auto"/>
        </w:rPr>
        <w:t>Fluidigm is a global biotechnology tools provider with a vision to improve life through comprehensive health insight. Our innovative technologies and multi-omic tools are used by researchers to reveal meaningful insights in health and disease, identify biomarkers to inform decisions and accelerate the development of more effective therapies. We create, manufacture, and market innovative technologies and life science tools, including preparatory and analytical instruments for Mass Cytometry, PCR, Library Prep, Single Cell Genomics, and consumables, including integrated fluidic circuits (IFCs), assays, and reagents.</w:t>
      </w:r>
    </w:p>
    <w:p>
      <w:pPr>
        <w:spacing w:after="0" w:line="134" w:lineRule="exact"/>
        <w:rPr>
          <w:sz w:val="20"/>
          <w:szCs w:val="20"/>
          <w:color w:val="auto"/>
        </w:rPr>
      </w:pPr>
    </w:p>
    <w:p>
      <w:pPr>
        <w:ind w:right="300" w:firstLine="392"/>
        <w:spacing w:after="0" w:line="259" w:lineRule="auto"/>
        <w:rPr>
          <w:sz w:val="20"/>
          <w:szCs w:val="20"/>
          <w:color w:val="auto"/>
        </w:rPr>
      </w:pPr>
      <w:r>
        <w:rPr>
          <w:rFonts w:ascii="Arial" w:cs="Arial" w:eastAsia="Arial" w:hAnsi="Arial"/>
          <w:sz w:val="18"/>
          <w:szCs w:val="18"/>
          <w:color w:val="auto"/>
        </w:rPr>
        <w:t>Our focus is on the most pressing needs in translational and clinical research, including cancer, immunology and immunotherapy. We use proprietary CyTOF® and microfluidics technologies to develop innovative end-to-end solutions that have the flexibility required to meet the needs of translational research and the robustness to support high-impact clinical research studies. We sell our products to leading academic, government, pharmaceutical, biotechnology and plant and animal research laboratories worldwide.</w:t>
      </w:r>
    </w:p>
    <w:p>
      <w:pPr>
        <w:spacing w:after="0" w:line="133" w:lineRule="exact"/>
        <w:rPr>
          <w:sz w:val="20"/>
          <w:szCs w:val="20"/>
          <w:color w:val="auto"/>
        </w:rPr>
      </w:pPr>
    </w:p>
    <w:p>
      <w:pPr>
        <w:ind w:right="60" w:firstLine="392"/>
        <w:spacing w:after="0" w:line="291" w:lineRule="auto"/>
        <w:rPr>
          <w:sz w:val="20"/>
          <w:szCs w:val="20"/>
          <w:color w:val="auto"/>
        </w:rPr>
      </w:pPr>
      <w:r>
        <w:rPr>
          <w:rFonts w:ascii="Arial" w:cs="Arial" w:eastAsia="Arial" w:hAnsi="Arial"/>
          <w:sz w:val="16"/>
          <w:szCs w:val="16"/>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 Our facility in Singapore manufactures our genomics instruments, which are assembled by our contract manufacturer located adjacent to our Singapore facility. All of our IFCs for commercial sale and some IFCs for our research and development purposes are also fabricated at our Singapore facility. Our mass cytometry instruments for commercial sale, as well as for internal research and development purposes, are manufactured at our facility in Canada. We also manufacture assays and reagents at our facilities in the United States. As part of our on-going efforts related to operational excellence and improving efficiencies, we are currently completing the consolidation of our mass cytometry reagent production activities into our Canadian facility.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7" w:name="page28"/>
    <w:bookmarkEnd w:id="27"/>
    <w:p>
      <w:pPr>
        <w:ind w:left="440"/>
        <w:spacing w:after="0"/>
        <w:rPr>
          <w:sz w:val="20"/>
          <w:szCs w:val="20"/>
          <w:color w:val="auto"/>
        </w:rPr>
      </w:pPr>
      <w:r>
        <w:rPr>
          <w:rFonts w:ascii="Arial" w:cs="Arial" w:eastAsia="Arial" w:hAnsi="Arial"/>
          <w:sz w:val="16"/>
          <w:szCs w:val="16"/>
          <w:color w:val="auto"/>
        </w:rPr>
        <w:t>Our total revenue for the nine months ended September 30, 2019 was $84.8 million compared to $80.6 million for the nine months ended September 30,</w:t>
      </w:r>
    </w:p>
    <w:p>
      <w:pPr>
        <w:spacing w:after="0" w:line="4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2018. Our total revenue was $113.0 million in 2018, $101.9 million in 2017, and $104.4 million in 2016. We have incurred significant net losses since our inception in 1999 and, as of September 30, 2019, our accumulated deficit was $611.0 million.</w:t>
      </w:r>
    </w:p>
    <w:p>
      <w:pPr>
        <w:spacing w:after="0" w:line="13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At the end of 2016, we began reallocating our resources based on revenue contribution and growth expectations across our target markets, including a reorganization of our sales team and commercial leadership. We implemented certain operational efficiencies and cost-savings initiatives beginning in the first quarter of 2017 intended to align our resources with our product strategy, reduce our operating expenses, and manage our cash flows. In 2017 and 2018, we grew our revenues, increased gross margins, reduced operating expenses, streamlined our manufacturing operations, and rationalized our headcount and facilities. These activities have resulted in lower net losses, improving from $76.0 million in 2016 to $59.0 million in 2018. We have also strengthened our balance sheet through the issuance of common stock and reduction of debt. In August 2017, we sold 9.1 million shares of common stock for aggregate net proceeds of approximately $28.8 million; in December 2018, we sold approximately 9.4 million shares of common stock for aggregate net proceeds of $59.1 million. In March 2018, we refinanced $150 million of our 2014 Notes with the issuance of our 2018 Notes, which effectively extended the maturity of the debt while providing us with additional financing flexibility. The 2018 Notes were subsequently converted into 19.5 million shares of our common stock during the first quarter of 2019. The conversion is described in Note 6 of our September 30, 2019 condensed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17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124"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Except for the adoption of ASC 842 disclosed below, there have been no material changes in our critical accounting policies and estimates in the preparation of our condensed consolidated financial statements during the nine months ended September 30, 2019, compared to those disclosed in our annual report on Form 10-K for the year ended December 31, 2018, as filed with the SEC on March 18,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Adoption of New Accounting Guidance</w:t>
      </w:r>
    </w:p>
    <w:p>
      <w:pPr>
        <w:spacing w:after="0" w:line="17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February 2016, the FASB established Topic 842, Leases, by issuing Accounting Standards Update (ASU) No. 2016-02, which requires lessees to recognize operating leases on the 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The new standard establishes a right-of-use (ROU) model that requires a lessee to recognize a ROU asset and lease liability on the balance sheet for all leases with a term longer than 12 months. Leases are classified as finance or operating; the classification will impact the expense recognition in the income statement.</w:t>
      </w:r>
    </w:p>
    <w:p>
      <w:pPr>
        <w:spacing w:after="0" w:line="139"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Modified Retrospective Transition approach is required, applying the new standard to all leases existing at the date of initial application. An entity may choose to use either (1) its effective date or (2) the beginning of the earliest comparative period presented in the financial statements as its date of initial application. We adopted the new standard on January 1, 2019 and used the effective date of the standard as our date of initial application. Consequently, previously presented financial information has not been updated, and the disclosures required under the new standard have not been provided for dates and periods before January 1, 2019. For dates and periods prior to January 1, 2019, the original disclosures under ASC 840 are disclosed.</w:t>
      </w:r>
    </w:p>
    <w:p>
      <w:pPr>
        <w:spacing w:after="0" w:line="10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new standard provides several optional practical expedients in transition. We elected the ‘package of practical expedients,’ which permits us to not reassess under the new standard our prior conclusions about lease identification, lease classification and initial direct costs. We did not elect the use-of-hindsight or the practical expedient pertaining to land easements; the latter not being applicable to 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8" w:name="page29"/>
    <w:bookmarkEnd w:id="28"/>
    <w:p>
      <w:pPr>
        <w:ind w:right="20" w:firstLine="405"/>
        <w:spacing w:after="0" w:line="312" w:lineRule="auto"/>
        <w:rPr>
          <w:sz w:val="20"/>
          <w:szCs w:val="20"/>
          <w:color w:val="auto"/>
        </w:rPr>
      </w:pPr>
      <w:r>
        <w:rPr>
          <w:rFonts w:ascii="Arial" w:cs="Arial" w:eastAsia="Arial" w:hAnsi="Arial"/>
          <w:sz w:val="16"/>
          <w:szCs w:val="16"/>
          <w:color w:val="auto"/>
        </w:rPr>
        <w:t>On adoption of the new standard, we recognized $9.2 million of lease liabilities, based on the present value of the current minimum lease payments over the lease term, discounted using our collateralized incremental borrowing rate, with corresponding ROU assets of $7.4 million. The difference between the initial lease liability and ROU asset is attributable to deferred rent. There was no impact to retained earnings from the adoption of ASC 842.</w:t>
      </w:r>
    </w:p>
    <w:p>
      <w:pPr>
        <w:spacing w:after="0" w:line="93"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The new standard also provides certain accounting elections for an entity’s ongoing accounting. We have elected the short-term lease recognition exemption for all leases that qualify. This means, for those leases that qualify, we will not recognize ROU assets or lease liabilities for leases with an initial lease term of one year or less. We have also elected to not separate lease and nonlease components for our building leases. The nonlease components are generally variable in nature and are expected to represent the majority of our variable lease costs. Variable costs are expensed as incurred. We have taken a portfolio approach for our vehicle leases by country.</w:t>
      </w:r>
    </w:p>
    <w:p>
      <w:pPr>
        <w:spacing w:after="0" w:line="1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Note 2 — “Summary of Significant Accounting Policies” in the notes to our condensed consolidated financial statements in this quarterly report on Form 10-Q for recent accounting changes and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table presents our historical condensed consolidated statements of operations data for the three and nine months ended September 30, 2019, and 2018, and as a percentage of total revenue for the respective periods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9"/>
          </w:tcPr>
          <w:p>
            <w:pPr>
              <w:ind w:left="580"/>
              <w:spacing w:after="0"/>
              <w:rPr>
                <w:sz w:val="20"/>
                <w:szCs w:val="20"/>
                <w:color w:val="auto"/>
              </w:rPr>
            </w:pPr>
            <w:r>
              <w:rPr>
                <w:rFonts w:ascii="Arial" w:cs="Arial" w:eastAsia="Arial" w:hAnsi="Arial"/>
                <w:sz w:val="14"/>
                <w:szCs w:val="14"/>
                <w:b w:val="1"/>
                <w:bCs w:val="1"/>
                <w:color w:val="auto"/>
                <w:w w:val="96"/>
              </w:rPr>
              <w:t>Three Months Ended September 30,</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26,496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28,963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84,803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80,639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14,038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46,391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42,838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53</w:t>
            </w:r>
          </w:p>
        </w:tc>
      </w:tr>
      <w:tr>
        <w:trPr>
          <w:trHeight w:val="27"/>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7,430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23,362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22,072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27</w:t>
            </w:r>
          </w:p>
        </w:tc>
      </w:tr>
      <w:tr>
        <w:trPr>
          <w:trHeight w:val="27"/>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65,687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27,854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27,450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89,049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79,884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99</w:t>
            </w:r>
          </w:p>
        </w:tc>
      </w:tr>
      <w:tr>
        <w:trPr>
          <w:trHeight w:val="27"/>
        </w:trPr>
        <w:tc>
          <w:tcPr>
            <w:tcW w:w="3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(13,816)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(42,658)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(37,046)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1</w:t>
            </w:r>
          </w:p>
        </w:tc>
      </w:tr>
      <w:tr>
        <w:trPr>
          <w:trHeight w:val="27"/>
        </w:trPr>
        <w:tc>
          <w:tcPr>
            <w:tcW w:w="3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(14,055)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(54,374)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(46,405)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3</w:t>
            </w:r>
          </w:p>
        </w:tc>
      </w:tr>
      <w:tr>
        <w:trPr>
          <w:trHeight w:val="27"/>
        </w:trPr>
        <w:tc>
          <w:tcPr>
            <w:tcW w:w="3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(12,887)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(14,750)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(52,105)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(44,238)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generate revenue primarily from sales of our products and services. Our product revenue consists of sales of instruments and consumables. Consumable revenues are largely driven by the size of our installed base of instruments and the annual level of pull-through per instrument. Service revenue is linked to the sales and installed base of our instruments as our service revenue consists of post-warranty service contracts, preventive maintenance plans, instrument parts, installation and training.</w:t>
      </w:r>
    </w:p>
    <w:p>
      <w:pPr>
        <w:spacing w:after="0" w:line="18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sell our instruments to leading academic research institutions, translational research and medicine centers, cancer centers, clinical research laboratories, and biopharmaceutical, biotechnology, and plant and animal research companies. No single customer represented more than 10% of our total revenue for the three and nine months ended September 30, 2019, and 2018. Total revenue from our five largest customers represented 25% and 20% of our total revenue for the three months ended September 30, 2019, and 2018, respectively. Total revenue from our five largest customers represented 20% and 17% of our total revenue for the nine months ended September 30, 2019, and 2018,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color w:val="auto"/>
        </w:rPr>
        <w:t>The following table presents our revenue by source for the three and nine months ended September 30, 2019, and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Year- Over-</w:t>
            </w: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9"/>
          </w:tcPr>
          <w:p>
            <w:pPr>
              <w:ind w:left="520"/>
              <w:spacing w:after="0"/>
              <w:rPr>
                <w:sz w:val="20"/>
                <w:szCs w:val="20"/>
                <w:color w:val="auto"/>
              </w:rPr>
            </w:pPr>
            <w:r>
              <w:rPr>
                <w:rFonts w:ascii="Arial" w:cs="Arial" w:eastAsia="Arial" w:hAnsi="Arial"/>
                <w:sz w:val="14"/>
                <w:szCs w:val="14"/>
                <w:b w:val="1"/>
                <w:bCs w:val="1"/>
                <w:color w:val="auto"/>
                <w:w w:val="97"/>
              </w:rPr>
              <w:t>Nine Months Ended September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Year- Over-</w:t>
            </w:r>
          </w:p>
        </w:tc>
        <w:tc>
          <w:tcPr>
            <w:tcW w:w="0" w:type="dxa"/>
            <w:vAlign w:val="bottom"/>
          </w:tcPr>
          <w:p>
            <w:pPr>
              <w:spacing w:after="0"/>
              <w:rPr>
                <w:sz w:val="1"/>
                <w:szCs w:val="1"/>
                <w:color w:val="auto"/>
              </w:rPr>
            </w:pPr>
          </w:p>
        </w:tc>
      </w:tr>
      <w:tr>
        <w:trPr>
          <w:trHeight w:val="72"/>
        </w:trPr>
        <w:tc>
          <w:tcPr>
            <w:tcW w:w="2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Year Change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Year Change</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2000" w:type="dxa"/>
            <w:vAlign w:val="bottom"/>
          </w:tcPr>
          <w:p>
            <w:pPr>
              <w:ind w:left="40"/>
              <w:spacing w:after="0"/>
              <w:rPr>
                <w:sz w:val="20"/>
                <w:szCs w:val="20"/>
                <w:color w:val="auto"/>
              </w:rPr>
            </w:pPr>
            <w:r>
              <w:rPr>
                <w:rFonts w:ascii="Arial" w:cs="Arial" w:eastAsia="Arial" w:hAnsi="Arial"/>
                <w:sz w:val="18"/>
                <w:szCs w:val="18"/>
                <w:color w:val="auto"/>
              </w:rPr>
              <w:t>Consumables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10,352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34,528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34,665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66,496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200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15,875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14,143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revenue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0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28,963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84,803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80,639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presents our total revenue by geographic area of our customers and as a percentage of total revenue for the three and nine months ended September 30,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Year-Over-Year</w:t>
            </w: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9"/>
          </w:tcPr>
          <w:p>
            <w:pPr>
              <w:ind w:left="520"/>
              <w:spacing w:after="0"/>
              <w:rPr>
                <w:sz w:val="20"/>
                <w:szCs w:val="20"/>
                <w:color w:val="auto"/>
              </w:rPr>
            </w:pPr>
            <w:r>
              <w:rPr>
                <w:rFonts w:ascii="Arial" w:cs="Arial" w:eastAsia="Arial" w:hAnsi="Arial"/>
                <w:sz w:val="14"/>
                <w:szCs w:val="14"/>
                <w:b w:val="1"/>
                <w:bCs w:val="1"/>
                <w:color w:val="auto"/>
                <w:w w:val="97"/>
              </w:rPr>
              <w:t>Nine Months Ended September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72"/>
        </w:trPr>
        <w:tc>
          <w:tcPr>
            <w:tcW w:w="1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7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1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35,203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1760" w:type="dxa"/>
            <w:vAlign w:val="bottom"/>
          </w:tcPr>
          <w:p>
            <w:pPr>
              <w:ind w:left="4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9,092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8,783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28,465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26,365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21,135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57"/>
        </w:trPr>
        <w:tc>
          <w:tcPr>
            <w:tcW w:w="176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26,496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28,963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84,803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80,639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Americas revenue includes revenue generated in the United States of $10.5 million and $13.2 million for the three months ended September 30, 2019, and 2018, respectively. The Americas revenue includes revenues generated in the United States of $32.9 million and $35.4 million for the nine months ended September 30, 2019 and 2018, respectively.</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171"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Total revenue decreased by $2.5 million, or 9%, for the three months ended September 30, 2019 compared to the three months ended September 30, 2018. The decrease was attributable to a $3.6 million, or 15%, decrease in product revenue, partially offset by a $0.9 million, or 19%, increase in service revenue and $0.2 million of grant revenue.</w:t>
      </w:r>
    </w:p>
    <w:p>
      <w:pPr>
        <w:spacing w:after="0" w:line="12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Revenue in the Americas decreased 19% for the three months ended September 30, 2019, compared to the three months ended September 30, 2018. The decrease in the Americas was primarily due to lower sales of mass cytometry instruments. Revenues grew 4% in EMEA driven by higher consumables and service revenues, partially offset by lower instrument revenues. Unfavorable foreign exchange rates negatively impacted EMEA revenues by 2%. The 4% decrease in Asia-Pacific revenue was driven by reduced consumable revenue, partially offset by higher service revenue. On a company-wide basis, foreign exchange had a minimal net impact on revenues for the third quarter of 2019, compared to the same period in the prior year.</w:t>
      </w:r>
    </w:p>
    <w:p>
      <w:pPr>
        <w:spacing w:after="0" w:line="10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Total revenue increased by $4.2 million, or 5% for the nine months ended September 30, 2019 compared to the nine months ended September 30, 2018. The year-on-year increase is attributable to increases in mass cytometry instrument and consumables sales, partially offset by lower microfluidics revenue. In the Americas, lower product sales were partially offset by higher service and grant revenue. In EMEA, consumables and mass cytometry instrument revenue grew, along with higher service revenue. This growth was partially offset by lower microfluidic instrument revenue. Unfavorable foreign exchange rates had a negative 3% impact on EMEA revenue. The 22% increase in Asia-Pacific revenues is due to increases in mass cytometry instruments, consumables and service revenue, partially offset by lower microfluidics sales. On a company-wide basis, weaker foreign exchange rates negatively impacted revenues by 1% for the nine months ended September 30, 2019, compared to the same period in the prior year.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30" w:name="page31"/>
    <w:bookmarkEnd w:id="30"/>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Product revenue decreased by $3.6 million, or 15%, for the three months ended September 30, 2019 compared to the three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2018. Instrument sales decreased by $4.7 million, or 34%, for the three months ended September 30, 2019 compared to the three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The decrease in instrument sales was driven by lower unit sales of mass cytometry instruments. Consumables revenue increased by $1.2 million,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11%, across our product categories for the three months ended September 30, 2019 compared to the three months ended September 30, 2018.</w:t>
      </w:r>
    </w:p>
    <w:p>
      <w:pPr>
        <w:spacing w:after="0" w:line="16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Product revenue increased by $2.2 million, or 3% for the nine months ended September 30, 2019 compared to the prior year period. Higher revenues from mass cytometry instruments and consumables was partially offset by lower microfluidics consumables sales.</w:t>
      </w:r>
    </w:p>
    <w:p>
      <w:pPr>
        <w:spacing w:after="0" w:line="116"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We expect the average selling prices and volumes of our products to fluctuate over time based on market conditions, product mix, and currency fluctuations. We cannot provide assurance concerning future revenue growth, if any.</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Service revenue increased by $0.9 million, or 19%, for the three months ended September 30, 2019 compared to the three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2018. Service revenue increased by $1.7 million, or 12%, for the nine months ended September 30, 2019 compared to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Increases in service revenues for both the quarter and year-to-date periods reflect higher revenues from service plans and preventive maintenance.</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table presents our costs of product and service revenue, gross profit and gross margin for the three and nine months ended September 30,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6"/>
                <w:szCs w:val="16"/>
                <w:color w:val="auto"/>
              </w:rPr>
            </w:pPr>
          </w:p>
        </w:tc>
        <w:tc>
          <w:tcPr>
            <w:tcW w:w="1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Year-Over-Year</w:t>
            </w:r>
          </w:p>
        </w:tc>
        <w:tc>
          <w:tcPr>
            <w:tcW w:w="2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Nine Months Ended September 30,</w:t>
            </w:r>
          </w:p>
        </w:tc>
        <w:tc>
          <w:tcPr>
            <w:tcW w:w="120" w:type="dxa"/>
            <w:vAlign w:val="bottom"/>
          </w:tcPr>
          <w:p>
            <w:pPr>
              <w:spacing w:after="0"/>
              <w:rPr>
                <w:sz w:val="16"/>
                <w:szCs w:val="16"/>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72"/>
        </w:trPr>
        <w:tc>
          <w:tcPr>
            <w:tcW w:w="3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10,520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11,635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33,009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33,017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28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1,506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5,403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4,784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12,458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13,141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38,412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37,801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14,038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15,822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46,391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42,838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1760" w:type="dxa"/>
            <w:vAlign w:val="bottom"/>
            <w:gridSpan w:val="2"/>
          </w:tcPr>
          <w:p>
            <w:pPr>
              <w:ind w:left="560"/>
              <w:spacing w:after="0"/>
              <w:rPr>
                <w:sz w:val="20"/>
                <w:szCs w:val="20"/>
                <w:color w:val="auto"/>
              </w:rPr>
            </w:pPr>
            <w:r>
              <w:rPr>
                <w:rFonts w:ascii="Arial" w:cs="Arial" w:eastAsia="Arial" w:hAnsi="Arial"/>
                <w:sz w:val="18"/>
                <w:szCs w:val="18"/>
                <w:color w:val="auto"/>
              </w:rPr>
              <w:t>(1.6)   ppts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rPr>
              <w:t>1.6   ppts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Our cost of product revenue and related product margin may fluctuate depending on the capacity utilization of our manufacturing facilities in response to market conditions and the demand for our products.</w:t>
      </w:r>
    </w:p>
    <w:p>
      <w:pPr>
        <w:spacing w:after="0" w:line="134"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Cost of service revenue includes direct labor hours, overhead, and instrument parts. Our cost of service revenue and related service margin may fluctuate depending on the variability in material and labor costs of servicing instruments.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Gross margin decreased by 1.6 percentage points for the three months ended September 30, 2019, compared to the three months ended September 30,</w:t>
      </w:r>
    </w:p>
    <w:p>
      <w:pPr>
        <w:spacing w:after="0" w:line="46"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2018. Lower plant utilization, lower service margins and an inventory reserve for low volume microfluidic instruments were partially offset by a more favorable product mix.</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the nine months ended September 30, 2019, gross margin increased by 1.6 percentage points compared to the nine months ended September 30,</w:t>
      </w:r>
    </w:p>
    <w:p>
      <w:pPr>
        <w:spacing w:after="0" w:line="46"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2018. Higher capacity utilization, as well as the impact of spreading fixed depreciation and amortization over a higher revenue base, contributed to the improvement in gross margin, partially offset by higher inventory reserves.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1" w:name="page32"/>
    <w:bookmarkEnd w:id="31"/>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expenses for the three and nine months ended September 30, 2019, and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4"/>
            <w:vMerge w:val="restart"/>
          </w:tcPr>
          <w:p>
            <w:pPr>
              <w:jc w:val="right"/>
              <w:ind w:right="34"/>
              <w:spacing w:after="0"/>
              <w:rPr>
                <w:sz w:val="20"/>
                <w:szCs w:val="20"/>
                <w:color w:val="auto"/>
              </w:rPr>
            </w:pPr>
            <w:r>
              <w:rPr>
                <w:rFonts w:ascii="Arial" w:cs="Arial" w:eastAsia="Arial" w:hAnsi="Arial"/>
                <w:sz w:val="14"/>
                <w:szCs w:val="14"/>
                <w:b w:val="1"/>
                <w:bCs w:val="1"/>
                <w:color w:val="auto"/>
                <w:w w:val="92"/>
              </w:rPr>
              <w:t>Three Months Ended September 30,</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14"/>
              <w:spacing w:after="0"/>
              <w:rPr>
                <w:sz w:val="20"/>
                <w:szCs w:val="20"/>
                <w:color w:val="auto"/>
              </w:rPr>
            </w:pPr>
            <w:r>
              <w:rPr>
                <w:rFonts w:ascii="Arial" w:cs="Arial" w:eastAsia="Arial" w:hAnsi="Arial"/>
                <w:sz w:val="14"/>
                <w:szCs w:val="14"/>
                <w:b w:val="1"/>
                <w:bCs w:val="1"/>
                <w:color w:val="auto"/>
                <w:w w:val="92"/>
              </w:rPr>
              <w:t>Nine Months Ended September</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Year-Over-Year</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72"/>
        </w:trPr>
        <w:tc>
          <w:tcPr>
            <w:tcW w:w="4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7,430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23,362</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22,072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20,729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20,020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65,687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57,812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27,854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27,450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89,049</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79,884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Research and development expense consists primarily of compensation-related costs, product development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Research and development expense decreased by $0.3 million, or 4%, for the three months ended September 30, 2019 compared to the three months ended September 30, 2018, largely due to $0.7 million of lower employee compensation accruals. In 2018, we were accruing bonuses under a retention bonus program that ended in early 2019. The absence of this program accounted for the majority of the decrease of bonus accruals for research and development compared to the third quarter of 2018. Laboratory supplies and equipment costs associated with product development also fell by $0.4 million. These decreases were partially offset by higher headcount-related costs and a $0.2 million increase in stock-based compensation.</w:t>
      </w:r>
    </w:p>
    <w:p>
      <w:pPr>
        <w:spacing w:after="0" w:line="11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Research and development expense increased by $1.3 million, or 6%, for the nine months ended September 30, 2019, compared to the same period a year ago. Increases include approximately $1.6 million of increased headcount costs, $0.2 million of increased stock-based compensation and $0.6 million of laboratory supplies and equipment costs. These cost increases were partially offset by $1.1 million of lower employee compensation accruals, primarily due to the absence of a retention bonus program as discussed in the previous paragraph.</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7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6"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Selling, general and administrative expense increased $0.7 million, or 4%, for the three months ended September 30, 2019, compared to the three months ended September 30, 2018. Headcount-related costs contributed $1.4 million to the increase in expense for the quarter, reflecting a 10% increase in average headcount. Stock-based compensation increased $0.5 million from the year ago period, reflecting additions to the senior executive team since this time last year. These cost increases were partially offset by $1.5 million in lower employee compensation accruals. The lower accruals reflect lower variable compensation and the lack of retention bonuses recorded in the year ago period. The remaining increase in selling, general, and administrative costs is due to a variety of smaller items.</w:t>
      </w:r>
    </w:p>
    <w:p>
      <w:pPr>
        <w:spacing w:after="0" w:line="13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Selling, general and administrative expense increased $7.9 million, or 14%, for the nine months ended September 30, 2019 compared to the nine months ended September 30, 2018. Compensation-related costs contributed $4.2 million of the increase, reflecting a 10% increase in headcount, including several senior executives. Stock-based compensation increased $2.2 million, primarily due to the impact of an executive retirement and additions to the senior executive team. Business development costs increased $1.6 million, along with a $1.0 million increase in advertising and promotional costs. We also incurred $1.0 million of severance and other costs associated with transferring certain operations from South San Francisco to Markham, Ontario. These cost increases were partially offset by $1.6 million in lower employee compensation accruals, which reflect the lack of retention bonuses recorded in the year ago period and lower accruals for variable compensation. The remaining increase in selling, general, and administrative costs is due to a variety of smaller items.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2" w:name="page33"/>
    <w:bookmarkEnd w:id="32"/>
    <w:p>
      <w:pPr>
        <w:ind w:left="260"/>
        <w:spacing w:after="0"/>
        <w:rPr>
          <w:sz w:val="20"/>
          <w:szCs w:val="20"/>
          <w:color w:val="auto"/>
        </w:rPr>
      </w:pPr>
      <w:r>
        <w:rPr>
          <w:rFonts w:ascii="Arial" w:cs="Arial" w:eastAsia="Arial" w:hAnsi="Arial"/>
          <w:sz w:val="18"/>
          <w:szCs w:val="18"/>
          <w:b w:val="1"/>
          <w:bCs w:val="1"/>
          <w:i w:val="1"/>
          <w:iCs w:val="1"/>
          <w:color w:val="auto"/>
        </w:rPr>
        <w:t>Interest Expense, Loss on Extinguishment of Debt, and Other Income, Net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these items for the three and nine months ended September 30, 2019, and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September 30,</w:t>
            </w:r>
          </w:p>
        </w:tc>
        <w:tc>
          <w:tcPr>
            <w:tcW w:w="120" w:type="dxa"/>
            <w:vAlign w:val="bottom"/>
          </w:tcPr>
          <w:p>
            <w:pPr>
              <w:spacing w:after="0"/>
              <w:rPr>
                <w:sz w:val="16"/>
                <w:szCs w:val="1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Year-Over-Year</w:t>
            </w: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16"/>
                <w:szCs w:val="16"/>
                <w:color w:val="auto"/>
              </w:rPr>
            </w:pPr>
          </w:p>
        </w:tc>
        <w:tc>
          <w:tcPr>
            <w:tcW w:w="11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72"/>
        </w:trPr>
        <w:tc>
          <w:tcPr>
            <w:tcW w:w="4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9,824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ind w:right="16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11,716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9,359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In February 2014, we issued $201.3 million aggregate principal amount of our 2.75% 2014 Notes due 2034 (2014 Notes). In March 2018, we entered into privately negotiated transactions with certain holders of our 2014 Notes to exchange $150.0 million in aggregate principal amount of the 2014 Notes for $150.0 million in aggregate principal amount of our new 2.75% Exchange Convertible Senior Notes due 2034. As the 2018 Notes were convertible, at our election, into cash, shares of our common stock, or a combination of cash and shares of our common stock, we accounted for the 2018 Notes under the cash conversion guidance in ASC 470. Because of this conversion option, along with a redemption premium, the net effective interest rate for the 2018 Notes is higher than the 2014 Notes. The effective interest rate on the 2014 Notes and the 2018 Notes is approximately 3.0% and 12.3%, respectively.</w:t>
      </w:r>
    </w:p>
    <w:p>
      <w:pPr>
        <w:spacing w:after="0" w:line="11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the first quarter of 2019, we received notices from holders of the 2018 Notes electing to voluntarily convert approximately $138.1 million in aggregate principal amount of the 2018 Notes. In February 2019, we notified the Trustee of our intention to exercise our Issuer’s Conversion Option with respect to the remaining approximately $11.9 million in aggregate principal amount of 2018 Notes. In total, $150.0 million of the 2018 Notes were converted into approximately 19.5 million shares of our common stock and the bonds retired. In accordance with ASC 470, we recognized a loss of $9.0 million on the conversion of the debt, representing the difference between the fair value of the bonds converted and the carrying value of the bonds at the time of conversion.</w:t>
      </w:r>
    </w:p>
    <w:p>
      <w:pPr>
        <w:spacing w:after="0" w:line="139"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Following the retirement of the 2018 Notes in the first quarter of 2019, only $51.25 million of principal of the 2014 Notes remained outstanding. Interest expense fell for the three and nine months ended September 30, 2019, compared to the three and nine months ended September 30, 2018 due to the retirement of the 2018 Notes in the first quarter of 2019.</w:t>
      </w:r>
    </w:p>
    <w:p>
      <w:pPr>
        <w:spacing w:after="0" w:line="127"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Other income primarily consists of interest income and gains or losses on foreign exchange. Other income for the third quarter of 2019 includes $304 thousand of interest income, partially offset by $99 thousand of foreign exchange losses. By comparison, other income for the third quarter of 2018 includes $120 thousand of interest income and $4 thousand of foreign exchange losses. Other income for the nine months ended September 30, 2019 includes $1,074 thousand of interest income partially offset by $179 thousand of foreign exchange losses. Other income for the nine months ended September 30, 2018 includes $395 thousand of interest income and $55 thousand of foreign exchange gain. Higher interest income in the 2019 periods compared to the year ago periods is attributable to higher cash and investment balances; the increase in foreign exchange losses is due to the impact of a stronger U.S. dollar.</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71" w:lineRule="exact"/>
        <w:rPr>
          <w:sz w:val="20"/>
          <w:szCs w:val="20"/>
          <w:color w:val="auto"/>
        </w:rPr>
      </w:pPr>
    </w:p>
    <w:p>
      <w:pPr>
        <w:ind w:right="520" w:firstLine="405"/>
        <w:spacing w:after="0" w:line="312" w:lineRule="auto"/>
        <w:rPr>
          <w:sz w:val="20"/>
          <w:szCs w:val="20"/>
          <w:color w:val="auto"/>
        </w:rPr>
      </w:pPr>
      <w:r>
        <w:rPr>
          <w:rFonts w:ascii="Arial" w:cs="Arial" w:eastAsia="Arial" w:hAnsi="Arial"/>
          <w:sz w:val="16"/>
          <w:szCs w:val="16"/>
          <w:color w:val="auto"/>
        </w:rPr>
        <w:t>Our tax provision is generally driven by three components: (1) tax provision from our foreign operations, (2) tax benefits from the deduction of amortization of acquisition-related intangible assets, and (3) discrete items, such as changes to recording or releasing valuation allowances or return-to-provision true-ups. Depending on the relative value of these components, we can have either a tax benefit or expense for any given period.</w:t>
      </w:r>
    </w:p>
    <w:p>
      <w:pPr>
        <w:spacing w:after="0" w:line="93"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We recorded a tax benefit of $1.2 million and $2.3 million for the three and nine months ended September 30, 2019, respectively. We recorded a tax benefit of $0.8 million and $2.2 million for the three and nine months ended September 30, 2018, respectively. The benefit for all periods was primarily attributable to the tax benefit from the amortization of our acquisition-related deferred tax liability, partially offset by a provision from our foreign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3" w:name="page34"/>
    <w:bookmarkEnd w:id="33"/>
    <w:p>
      <w:pPr>
        <w:ind w:right="80" w:firstLine="405"/>
        <w:spacing w:after="0" w:line="255" w:lineRule="auto"/>
        <w:rPr>
          <w:sz w:val="20"/>
          <w:szCs w:val="20"/>
          <w:color w:val="auto"/>
        </w:rPr>
      </w:pPr>
      <w:r>
        <w:rPr>
          <w:rFonts w:ascii="Arial" w:cs="Arial" w:eastAsia="Arial" w:hAnsi="Arial"/>
          <w:sz w:val="18"/>
          <w:szCs w:val="18"/>
          <w:color w:val="auto"/>
        </w:rPr>
        <w:t>In the future we may release valuation allowances and recognize deferred tax assets in certain of our foreign subsidiaries depending on the achievement of future profitability in the relevant jurisdictions. Any release of valuation allowances could have the effect of decreasing the income tax provision in the period the valuation allowance is released. We continue to monitor the likelihood that we will be able to recover our deferred tax assets, including those for which a valuation allowance is recorded. There can be no assurance that we will generate profits in the future periods enabling us to fully realize our deferred tax assets. The timing of recording a valuation allowance or the reversal of such valuation allowance is subject to objective and subjective factors that cannot be readily predicted in advance.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As of September 30, 2019, our principal sources of liquidity consisted of $25.9 million of cash and cash equivalents and $36.9 million of short-term investments as well as $2.1 million of restricted cash and $9.0 million of availability under our Revolving Credit Facility. The following table presents our cash flow summary for each period presented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(38,750)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4,738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foreign exchange fluctuations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(22,227)</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1"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We derive cash flows from operations primarily from cash collected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w:t>
      </w:r>
    </w:p>
    <w:p>
      <w:pPr>
        <w:spacing w:after="0" w:line="9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Net cash used in operating activities for the nine months ended September 30, 2019, was $29.7 million and consisted of a net loss of $52.1 million, adjusted for non-cash items of $31.2 million. Non-cash items included a loss on extinguishment of debt of $9.0 million, amortization of developed technology of $8.4 million, stock-based compensation expense of $8.3 million, amortization of debt discounts, premium and issuance costs of $2.1 million and depreciation and amortization of $3.5 million. The net change in assets and liabilities included a decrease in current and non-current other liabilities of $10.5 million, an increase in inventories of$2.3 million, and an increase in prepaid expenses and other current assets of $1.7 million, partially offset by a decrease in accounts receivable of $3.2 million, an increase in deferred revenue of $1.6 million, an increase in accounts payable of $0.6 million, and a decrease in other non-current assets of $0.3 million.</w:t>
      </w:r>
    </w:p>
    <w:p>
      <w:pPr>
        <w:spacing w:after="0" w:line="135"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Net cash used in operating activities for the nine months ended September 30, 2018, was $24.6 million, and consisted of a net loss of $44.2 million, adjusted for non-cash items of $24.3 million. Non-cash items included stock-based compensation expense of $6.1 million, amortization of debt discounts, premium and issuance costs of $5.7 million, amortization of developed technology of $8.4 million, and depreciation and amortization of $4.1 million. The net change in assets and liabilities included increases in accounts receivable of $3.3 million and decreases in other non-current liabilities of $6.8 million, partially offset by increases in accounts payable of $2.1 million, deferred revenue of $2.1 million, and current liabilities of $2.0 million.</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71" w:lineRule="exact"/>
        <w:rPr>
          <w:sz w:val="20"/>
          <w:szCs w:val="20"/>
          <w:color w:val="auto"/>
        </w:rPr>
      </w:pPr>
    </w:p>
    <w:p>
      <w:pPr>
        <w:ind w:right="920" w:firstLine="405"/>
        <w:spacing w:after="0" w:line="308" w:lineRule="auto"/>
        <w:rPr>
          <w:sz w:val="20"/>
          <w:szCs w:val="20"/>
          <w:color w:val="auto"/>
        </w:rPr>
      </w:pPr>
      <w:r>
        <w:rPr>
          <w:rFonts w:ascii="Arial" w:cs="Arial" w:eastAsia="Arial" w:hAnsi="Arial"/>
          <w:sz w:val="17"/>
          <w:szCs w:val="17"/>
          <w:color w:val="auto"/>
        </w:rPr>
        <w:t>Our primary investing activities consist of purchases, sales, and maturities of our short-term investments and to a much lesser extent, capital expenditures for manufacturing, laboratory, computer equipment and software to support our infrastructure and work force.</w:t>
      </w:r>
    </w:p>
    <w:p>
      <w:pPr>
        <w:spacing w:after="0" w:line="9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Net cash used in investing activities was $38.8 million during the nine months ended September 30, 2019 and consisted of purchases of investments of $52.7 million and capital expenditures of $2.0 million, partially offset by $16.0 million of proceeds from maturing investments. Net cash provided by investing activities for nine months ended September 30, 2018 was $4.7 million and consisted of net redemptions of investments of $5.1 million, partially offset by capital expenditures of $0.4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4" w:name="page35"/>
    <w:bookmarkEnd w:id="34"/>
    <w:p>
      <w:pPr>
        <w:ind w:left="26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7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Net cash provided by financing activities was $1.0 million during the nine months ended September 30, 2019. Net cash provided by financing activities primarily consisted of $1.0 million from the exercise of stock options and $0.6 of proceeds from our ESPP program, partially offset by $0.6 million for income taxes related to net share settlement of equity awards. Net cash used in financing activities was $2.3 million for the nine months ended September 30, 2018 and consisted of $2.8 million of debt issuance costs, partially offset by net proceeds from employee equity programs.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71"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As discussed above, in the first quarter of 2019, we received notices from holders of the 2018 Notes electing to voluntarily convert approximately $138.1 million in aggregate principal amount of the 2018 Notes. In February 2019, we notified the Trustee of our intention to exercise our Issuer’s Conversion Option with respect to the remaining approximately $11.9 million in aggregate principal amount of 2018 Notes. In total, $150.0 million of the 2018 Notes were converted into approximately 19.5 million shares of our common stock and the bonds retired.</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currently have outstanding $51.3 million in aggregate principal amount of our 2014 Notes as of September 30, 2019. The 2014 Notes will mature on February 1, 2034, unless earlier converted, redeemed, or repurchased in accordance with the terms of the 2014 Notes. Holders of the 2014 Notes may require us to repurchase all or a portion of their 2014 Notes on each of February 6, 2021, February 6, 2024, and February 6, 2029 at a repurchase price in cash equal to 100% of the principal amount of the Notes plus accrued and unpaid interest. If we undergo a fundamental change, as defined, holders of the 2014 Notes may require us to repurchase the 2014 Notes in whole or in part for cash at a repurchase price equal to 100% of the principal amount of the 2014 Notes plus accrued and unpaid interest.</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have a Revolving Credit Facility with Silicon Valley Bank, which matures on August 2, 2020. Amounts drawn under the Revolving Credit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Facility will be used for working capital and general corporate purposes. As of September 30, 2019, total availability under the Revolving Credit Facility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 million. We currently have no outstanding debt under the Revolving Credit Facility, and we are in compliance with all the terms and conditions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agreement governing the Revolving Credit Facility. See Note 6 to the condensed consolidated financial statements included in this Form 10-Q for more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Revolving Credit Facility.</w:t>
      </w:r>
    </w:p>
    <w:p>
      <w:pPr>
        <w:spacing w:after="0" w:line="157"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We believe our existing cash, cash equivalents, and short-term investments will be sufficient to meet our working capital and capital expenditure needs at least through December 31, 2020. However, we may experience lower than expected cash generated from sales of our products and services or greater than expected capital expenditures, cost of revenue, or operating expenses, and we may need to raise additional capital to fund our operations, further our research and development activities, or acquire or invest in a business.</w:t>
      </w:r>
    </w:p>
    <w:p>
      <w:pPr>
        <w:spacing w:after="0" w:line="133"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940" w:firstLine="405"/>
        <w:spacing w:after="0" w:line="277" w:lineRule="auto"/>
        <w:rPr>
          <w:sz w:val="20"/>
          <w:szCs w:val="20"/>
          <w:color w:val="auto"/>
        </w:rPr>
      </w:pPr>
      <w:r>
        <w:rPr>
          <w:rFonts w:ascii="Arial" w:cs="Arial" w:eastAsia="Arial" w:hAnsi="Arial"/>
          <w:sz w:val="18"/>
          <w:szCs w:val="18"/>
          <w:color w:val="auto"/>
        </w:rPr>
        <w:t>As of September 30, 2019, we did not have any off-balance sheet arrangements as defined in Item 303(a)(4) of the Securities and Exchange Commission's Regulation S-K.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Our operating lease obligations include a lease for our current headquarters and leases for manufacturing, laboratory, warehousing and office space for our foreign subsidiaries. In the first quarter of 2019, we entered into a lease for a new headquarters in California which is expected to commence in the first quarter of 2020. Please see Note 7 to the financial statements for a discussion of our lease obligations.</w:t>
      </w:r>
    </w:p>
    <w:p>
      <w:pPr>
        <w:spacing w:after="0" w:line="12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Other than as disclosed above, there have been no material changes during the nine months ended September 30, 2019 to our contractual obligations disclosed in our “Management’s Discussion and Analysis of Financial Condition and Results of Operations” included in our annual report on Form 10-K for the year ended December 31, 2018.</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746"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nine months ended September 30, 2019 and 2018, our gains and losses related to changes in foreign exchange rates was less than $0.1 million.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1" w:lineRule="exact"/>
        <w:rPr>
          <w:sz w:val="20"/>
          <w:szCs w:val="20"/>
          <w:color w:val="auto"/>
        </w:rPr>
      </w:pPr>
    </w:p>
    <w:p>
      <w:pPr>
        <w:ind w:right="280" w:firstLine="432"/>
        <w:spacing w:after="0" w:line="276" w:lineRule="auto"/>
        <w:rPr>
          <w:sz w:val="20"/>
          <w:szCs w:val="20"/>
          <w:color w:val="auto"/>
        </w:rPr>
      </w:pPr>
      <w:r>
        <w:rPr>
          <w:rFonts w:ascii="Arial" w:cs="Arial" w:eastAsia="Arial" w:hAnsi="Arial"/>
          <w:sz w:val="17"/>
          <w:szCs w:val="17"/>
          <w:color w:val="auto"/>
        </w:rPr>
        <w:t>We had cash, cash equivalents and short-term investments of $62.8 million at September 30, 2019. These amounts were held primarily in cash on deposit with banks, treasury bills and money market funds which are short-term. Cash and cash equivalents and investments are held for working capital purposes. Due to the short-term nature of these investments, we believe that we do not have any material exposure to changes in the fair value of our investment portfolio due to changes in interest rates. Declines in interest rates, however, will reduce future investment income. If overall interest rates had decreased by 10% during the periods presented, our interest income would not have been materially affected.</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September 30,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2019, our Chief Executive Officer and Chief Financial Officer concluded that, as of such date, our disclosure controls and procedures were effective at the reasonable assurance level.</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2019 that have materially affected, or are reasonably likely to materially affect, our internal control over financial reporting.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850" w:right="279" w:bottom="1440" w:gutter="0" w:footer="0" w:header="0"/>
        </w:sectPr>
      </w:pPr>
    </w:p>
    <w:bookmarkStart w:id="36" w:name="page37"/>
    <w:bookmarkEnd w:id="36"/>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240" w:top="746" w:right="47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i w:val="1"/>
          <w:iCs w:val="1"/>
          <w:color w:val="auto"/>
        </w:rPr>
        <w:t>Set forth below are the risks that we believe are material to our investors. Our risk factors disclosed in Part I, Item 1A, of our annual report on Form 10-K for the year ended December 31, 2018 provide additional disclosure and are incorporated herein by reference.</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79"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88"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For example, our revenue declined year-over-year in 2016 compared to 2015, and in 2017 compared to 2016. In 2018, we returned to revenue growth, but we may not be able to achieve similar revenue growth in future periods. We are also increasingly dependent on our mass cytometry business, which is very capital intensive. Variability in our quarterly or annual results of operations, mix of product revenue, including any decline in our mass cytometry revenue, or variability in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1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580"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175"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have incurred significant losses in each fiscal year since our inception, including net losses of $59.0 million, $60.5 million, and $76.0 million during the years 2018, 2017, and 2016, respectively. As of September 30, 2019, we had an accumulated deficit of $611.0 million. These losses have resulted principally from costs incurred in our research and development programs, and from our manufacturing costs and selling, general, and administrative expenses. To date, we have funded our operations primarily through equity offerings, the issuance of debt instruments, and from sales of our products.</w:t>
      </w:r>
    </w:p>
    <w:p>
      <w:pPr>
        <w:spacing w:after="0" w:line="100"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Until we are able to generate additional revenue to support our level of operating expenses, we will continue to incur operating and net losses and negative cash flow from operations. We believe that our continued investment in research and development, sales, and marketing is essential to our long-term competitive position and future revenue growth and, as a result, we may incur operating losses for the foreseeable future and may never achieve profitability.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life science markets are highly competitive and subject to rapid technological change, and we may not be able to successfully compete.</w:t>
      </w:r>
    </w:p>
    <w:p>
      <w:pPr>
        <w:spacing w:after="0" w:line="187"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10X Genomics, Inc., Affymetrix, Inc. (now part of Thermo Fisher Scientific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(acquisition by Bio-Rad Laboratories, Inc. pending), Roche Diagnostics Corporation, Sony Corporation, Thermo Fisher Scientific Inc., WaferGen Bio-systems, Inc., Cytek Biosciences, Inc., Akoya Biosciences, Inc., Innova Biosciences Ltd., QIAGEN N.V., 1CellBio, Inc., Berkeley Lights, Inc., and Mission Bio, Inc. have products that compete in certain segments of the market in which we sell our products. In addition, we have experienced increased competition in the single-cell genomics market, including new product releases from 10X Genomics, Inc. and WaferGen Bio-systems, Inc., as well as the acquisition of Cellular Research by Becton Dickinson and Company and an announced exclusive partnership between Illumina, Inc. and Bio-Rad Laboratories, Inc. In addition, due to the release of our Hyperion imaging mass cytometry system, we now are exposed to competition from companies offering imaging-based systems, specialized reagents and/or services including Carl Zeiss Inc., Leica Biosystems, Nikon Corporation, Olympus America Inc., Roche Diagnostics Corporation, PerkinElmer, Inc., Agilent Technologies, Inc., IonPath Inc., Zellwerk GmbH, Bruker Corporation, Shimadzu Corporation, NanoString Technologies, Inc., and Neogenomics (Multiomyx).</w:t>
      </w:r>
    </w:p>
    <w:p>
      <w:pPr>
        <w:spacing w:after="0" w:line="33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21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1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application of our technologies to high-throughput genomics, single-cell genomics and, particularly, mass cytometry applications are in many cases emerging market opportunities. We believe these opportunities will take several years to develop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850" w:right="259" w:bottom="1440" w:gutter="0" w:footer="0" w:header="0"/>
        </w:sectPr>
      </w:pPr>
    </w:p>
    <w:bookmarkStart w:id="39" w:name="page40"/>
    <w:bookmarkEnd w:id="39"/>
    <w:p>
      <w:pPr>
        <w:ind w:right="40"/>
        <w:spacing w:after="0" w:line="273" w:lineRule="auto"/>
        <w:rPr>
          <w:sz w:val="20"/>
          <w:szCs w:val="20"/>
          <w:color w:val="auto"/>
        </w:rPr>
      </w:pPr>
      <w:r>
        <w:rPr>
          <w:rFonts w:ascii="Arial" w:cs="Arial" w:eastAsia="Arial" w:hAnsi="Arial"/>
          <w:sz w:val="17"/>
          <w:szCs w:val="17"/>
          <w:color w:val="auto"/>
        </w:rPr>
        <w:t>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17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1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potential growth of our revenue or increase our losses.</w:t>
      </w:r>
    </w:p>
    <w:p>
      <w:pPr>
        <w:spacing w:after="0" w:line="198"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0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Additionally, all of our integrated fluidic circuits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39"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1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6" w:right="239" w:bottom="1440" w:gutter="0" w:footer="0" w:header="0"/>
        </w:sectPr>
      </w:pPr>
    </w:p>
    <w:bookmarkStart w:id="40" w:name="page41"/>
    <w:bookmarkEnd w:id="40"/>
    <w:p>
      <w:pPr>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12"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23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12"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11"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171" w:lineRule="exact"/>
        <w:rPr>
          <w:sz w:val="20"/>
          <w:szCs w:val="20"/>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certain of our systems are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50" w:right="259" w:bottom="1440" w:gutter="0" w:footer="0" w:header="0"/>
        </w:sectPr>
      </w:pPr>
    </w:p>
    <w:bookmarkStart w:id="41" w:name="page42"/>
    <w:bookmarkEnd w:id="41"/>
    <w:p>
      <w:pPr>
        <w:ind w:left="4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75"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Our business depends on research and development spending levels of our customers, a reduction in which could limit our ability to sell our products and adversely affect our business.</w:t>
      </w:r>
    </w:p>
    <w:p>
      <w:pPr>
        <w:spacing w:after="0" w:line="112"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agricultural biotechnology (Ag-Bio) companies, and contract research organizations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IFCs, assays, and reagents. These reductions and delays may result from factors that are not within our control, such as:</w:t>
      </w:r>
    </w:p>
    <w:p>
      <w:pPr>
        <w:spacing w:after="0" w:line="119" w:lineRule="exact"/>
        <w:rPr>
          <w:sz w:val="20"/>
          <w:szCs w:val="20"/>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220"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88"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manufacture our genomics analytical and preparatory instruments and IFCs for commercial sale at our facility in Singapore and our mass cytometry instruments for commercial sale at our facility in Canada. Our assays and reagents for commercial sale have been manufactured at our headquarters in the United States, however, we are consolidating our North American production activities into our Canada facility as part of our on-going efforts related to operational excellence and improving efficiencies.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46" w:right="259" w:bottom="1440" w:gutter="0" w:footer="0" w:header="0"/>
        </w:sectPr>
      </w:pPr>
    </w:p>
    <w:bookmarkStart w:id="42" w:name="page43"/>
    <w:bookmarkEnd w:id="42"/>
    <w:p>
      <w:pPr>
        <w:ind w:right="40"/>
        <w:spacing w:after="0" w:line="277" w:lineRule="auto"/>
        <w:rPr>
          <w:sz w:val="20"/>
          <w:szCs w:val="20"/>
          <w:color w:val="auto"/>
        </w:rPr>
      </w:pPr>
      <w:r>
        <w:rPr>
          <w:rFonts w:ascii="Arial" w:cs="Arial" w:eastAsia="Arial" w:hAnsi="Arial"/>
          <w:sz w:val="18"/>
          <w:szCs w:val="18"/>
          <w:color w:val="auto"/>
        </w:rPr>
        <w:t>be available to us on acceptable terms, or at all. If our manufacturing capabilities are impaired, we may not be able to manufacture and ship our products in a timely manner, which would adversely impact our business.</w:t>
      </w:r>
    </w:p>
    <w:p>
      <w:pPr>
        <w:spacing w:after="0" w:line="22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11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During the years 2018, 2017, and 2016, approximately 57%, 55%, and 49%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133" w:lineRule="exact"/>
        <w:rPr>
          <w:sz w:val="20"/>
          <w:szCs w:val="20"/>
          <w:color w:val="auto"/>
        </w:rPr>
      </w:pPr>
    </w:p>
    <w:p>
      <w:pPr>
        <w:ind w:left="820" w:hanging="326"/>
        <w:spacing w:after="0" w:line="302"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required compliance with existing and changing foreign regulatory requirements and laws that are or may be applicable to our business in the future, such as the European Union’s General Data Protection Regulation and other data privacy requirements, labor and employment regulations, anticompetition regulations, the U.K. Bribery Act of 2010 and other anticorruption laws, and the RoHS and WEEE directives, which regulate the use of certain hazardous substances in, and require the collection, reuse, and recycling of waste from, products we manufacture;</w:t>
      </w:r>
    </w:p>
    <w:p>
      <w:pPr>
        <w:spacing w:after="0" w:line="100" w:lineRule="exact"/>
        <w:rPr>
          <w:rFonts w:ascii="Arial" w:cs="Arial" w:eastAsia="Arial" w:hAnsi="Arial"/>
          <w:sz w:val="16"/>
          <w:szCs w:val="16"/>
          <w:color w:val="auto"/>
        </w:rPr>
      </w:pPr>
    </w:p>
    <w:p>
      <w:pPr>
        <w:ind w:left="820" w:right="36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71" w:lineRule="exact"/>
        <w:rPr>
          <w:rFonts w:ascii="Arial" w:cs="Arial" w:eastAsia="Arial" w:hAnsi="Arial"/>
          <w:sz w:val="18"/>
          <w:szCs w:val="18"/>
          <w:color w:val="auto"/>
        </w:rPr>
      </w:pPr>
    </w:p>
    <w:p>
      <w:pPr>
        <w:ind w:left="820" w:right="220" w:hanging="326"/>
        <w:spacing w:after="0" w:line="312"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2016 advisory referendum approving the separation of the United Kingdom from the European Union (Brexit);</w:t>
      </w:r>
    </w:p>
    <w:p>
      <w:pPr>
        <w:spacing w:after="0" w:line="92" w:lineRule="exact"/>
        <w:rPr>
          <w:rFonts w:ascii="Arial" w:cs="Arial" w:eastAsia="Arial" w:hAnsi="Arial"/>
          <w:sz w:val="16"/>
          <w:szCs w:val="16"/>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fluctuations in the exchange rate of the U.S. Dollar and foreign currencies.</w:t>
      </w:r>
    </w:p>
    <w:p>
      <w:pPr>
        <w:spacing w:after="0" w:line="175"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746" w:right="319" w:bottom="1440" w:gutter="0" w:footer="0" w:header="0"/>
        </w:sectPr>
      </w:pPr>
    </w:p>
    <w:bookmarkStart w:id="43" w:name="page44"/>
    <w:bookmarkEnd w:id="43"/>
    <w:p>
      <w:pPr>
        <w:ind w:right="220"/>
        <w:spacing w:after="0" w:line="282" w:lineRule="auto"/>
        <w:rPr>
          <w:sz w:val="20"/>
          <w:szCs w:val="20"/>
          <w:color w:val="auto"/>
        </w:rPr>
      </w:pPr>
      <w:r>
        <w:rPr>
          <w:rFonts w:ascii="Arial" w:cs="Arial" w:eastAsia="Arial" w:hAnsi="Arial"/>
          <w:sz w:val="18"/>
          <w:szCs w:val="18"/>
          <w:b w:val="1"/>
          <w:bCs w:val="1"/>
          <w:color w:val="auto"/>
        </w:rPr>
        <w:t>Any disruption or delay in the shipping or off-loading of our products, whether domestically or internationally, may have an adverse effect on our financial condition and results of operations.</w:t>
      </w:r>
    </w:p>
    <w:p>
      <w:pPr>
        <w:spacing w:after="0" w:line="112"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22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1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33" w:lineRule="exact"/>
        <w:rPr>
          <w:sz w:val="20"/>
          <w:szCs w:val="20"/>
          <w:color w:val="auto"/>
        </w:rPr>
      </w:pPr>
    </w:p>
    <w:p>
      <w:pPr>
        <w:ind w:left="760" w:right="340" w:hanging="320"/>
        <w:spacing w:after="0" w:line="26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27" w:lineRule="exact"/>
        <w:rPr>
          <w:rFonts w:ascii="Arial" w:cs="Arial" w:eastAsia="Arial" w:hAnsi="Arial"/>
          <w:sz w:val="18"/>
          <w:szCs w:val="18"/>
          <w:color w:val="auto"/>
        </w:rPr>
      </w:pPr>
    </w:p>
    <w:p>
      <w:pPr>
        <w:ind w:left="760" w:right="32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Hyperion/Helios systems and certain metal isotopes used with the Hyperion/Helios systems are purchased from sole source suppliers.</w:t>
      </w:r>
    </w:p>
    <w:p>
      <w:pPr>
        <w:spacing w:after="0" w:line="116" w:lineRule="exact"/>
        <w:rPr>
          <w:rFonts w:ascii="Arial" w:cs="Arial" w:eastAsia="Arial" w:hAnsi="Arial"/>
          <w:sz w:val="18"/>
          <w:szCs w:val="18"/>
          <w:color w:val="auto"/>
        </w:rPr>
      </w:pPr>
    </w:p>
    <w:p>
      <w:pPr>
        <w:ind w:left="760" w:right="54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1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16" w:lineRule="exact"/>
        <w:rPr>
          <w:sz w:val="20"/>
          <w:szCs w:val="20"/>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17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customer base is primarily composed of academic research institutions, translational research and medicine centers, cancer centers, clinical research laboratories, biopharmaceutical, biotechnology, and Ag-Bio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239"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66"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success depends on our ability to develop new products and applications for our technology in existing and new markets, while improving the performance and cost-effectiveness of our systems. New technologies, techniques, or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851" w:right="259" w:bottom="1440" w:gutter="0" w:footer="0" w:header="0"/>
        </w:sectPr>
      </w:pPr>
    </w:p>
    <w:bookmarkStart w:id="44" w:name="page45"/>
    <w:bookmarkEnd w:id="44"/>
    <w:p>
      <w:pPr>
        <w:ind w:right="40"/>
        <w:spacing w:after="0" w:line="268" w:lineRule="auto"/>
        <w:rPr>
          <w:sz w:val="20"/>
          <w:szCs w:val="20"/>
          <w:color w:val="auto"/>
        </w:rPr>
      </w:pPr>
      <w:r>
        <w:rPr>
          <w:rFonts w:ascii="Arial" w:cs="Arial" w:eastAsia="Arial" w:hAnsi="Arial"/>
          <w:sz w:val="17"/>
          <w:szCs w:val="17"/>
          <w:color w:val="auto"/>
        </w:rPr>
        <w:t>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238"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6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success depends largely on the skills, experience, and performance of key members of our management team and key scientific and technical support personnel. The loss of the services of any key member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24"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Additionally, to expand our research and product development efforts, we need to retain and recruit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22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112"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133"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182" w:lineRule="exact"/>
        <w:rPr>
          <w:rFonts w:ascii="Arial" w:cs="Arial" w:eastAsia="Arial" w:hAnsi="Arial"/>
          <w:sz w:val="17"/>
          <w:szCs w:val="17"/>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5" w:name="page46"/>
    <w:bookmarkEnd w:id="45"/>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171"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9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Security breaches, loss of data, cyberattacks, and other information technology failures could disrupt our operations, damage our reputation, and adversely affect our business, operations, and financial results.</w:t>
      </w:r>
    </w:p>
    <w:p>
      <w:pPr>
        <w:spacing w:after="0" w:line="112"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We are dependent upon our data and information technology systems for the effective operation of our business and for the secure maintenance and storage of confidential data relating to our business and third-party businesses. Our information technology systems may be damaged, disrupted or shut down due to attacks by experienced programmers or hackers who may be able to penetrate our security controls and deploy computer viruses, cyberattacks, phishing schemes, or other malicious software programs, or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Any such compromise of our information technology systems could result in the unauthorized publication of our confidential business or proprietary information and unauthorized release of customer, supplier or employee data,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breaches, cyberattacks and other related breaches.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31"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We have implemented security controls to protect our information technology infrastructure but, despite our efforts, we are not fully insulated from technology disruptions that could adversely impact us. For example, in early March 2019, we experienced a ransomware attack that infiltrated and encrypted certain of our information technology systems, including systems containing critical business data. Immediately following the attack, actions were taken to recover the compromised systems and we believe we were able to restore their operation without significant loss of business data. Based on the nature of the attack and its impact on our systems, we do not believe confidential data was lost or disclosed, but we are continuing to monitor the situation. If confidential data is later determined to have been released in the course of this event, it is possible that we could be the subject of actions by governmental authorities or claims from persons alleging they suffered damages from such a release. As of the date of this filing, we estimate the costs associated with the intrusion and remediation to be approximately $0.1 million, net of insurance proceeds received. Although we believe we have now contained the disruption, we anticipate additional work and expense in the future as we continue to respond to the attack and further enhance our security processes and initiatives.</w:t>
      </w:r>
    </w:p>
    <w:p>
      <w:pPr>
        <w:spacing w:after="0" w:line="11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addition to risks affecting our own systems, we could also be negatively impacted by a data breach or cyber incident happening to a third party’s network and affecting us. Third parties with which we conduct business have access to certain portions of our sensitive data, including information pertaining to our customers and employees. In the event that these third parties do not adequately safeguard our data, security breaches could result and negatively impact our business, operations, and financial results.</w:t>
      </w:r>
    </w:p>
    <w:p>
      <w:pPr>
        <w:spacing w:after="0" w:line="237"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8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Since 2017, we have been implementing efficiency and cost-savings initiatives intended to stabilize our business operations and return to growth. These efficiency initiatives have included targeted workforce reductions, optimizing our facilities, and reducing excess space. Further actions such as these may be required on an ongoing basis to optimize our organization. For example, we may need to decrease or defer capital expenditures and development activities or implement further operating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6" w:name="page47"/>
    <w:bookmarkEnd w:id="46"/>
    <w:p>
      <w:pPr>
        <w:ind w:right="20"/>
        <w:spacing w:after="0" w:line="293" w:lineRule="auto"/>
        <w:rPr>
          <w:sz w:val="20"/>
          <w:szCs w:val="20"/>
          <w:color w:val="auto"/>
        </w:rPr>
      </w:pPr>
      <w:r>
        <w:rPr>
          <w:rFonts w:ascii="Arial" w:cs="Arial" w:eastAsia="Arial" w:hAnsi="Arial"/>
          <w:sz w:val="16"/>
          <w:szCs w:val="16"/>
          <w:color w:val="auto"/>
        </w:rPr>
        <w:t>expense reduction measures. The implementation of these efficiency and cost-savings initiatives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grow our business and become profitable may not be successful.</w:t>
      </w:r>
    </w:p>
    <w:p>
      <w:pPr>
        <w:spacing w:after="0" w:line="215"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88"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Our products, our Biomark, EP1, and Helios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2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polymerase chain reaction (qPCR) technology.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23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If we seek to be regulated as a medical device manufacturer by the U.S. Food and Drug Administration and foreign regulatory authorities, and seek approval and/or clearance for our products, the regulatory approval process would take significant time and expense and could fail to result in FDA clearance or approval for the intended uses we believe are commercially attractive. If our products were successfully approved and/or cleared, we would be subject to ongoing and extensive regulatory requirements, which would increase our costs and divert resources away from other projects. If we obtained FDA clearance or approval and we failed to comply with these requirements, our business and financial condition could be adversely impacted.</w:t>
      </w:r>
    </w:p>
    <w:p>
      <w:pPr>
        <w:spacing w:after="0" w:line="13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products are currently labeled, promoted and sold to academic research institutions, translational research and medicine centers, cancer centers, clinical research laboratories, contract research organizations, and biopharmaceutical, biotechnology, and Ag-Bio companies “for research use only” (RUO), and are not designed, or intended to be used, for clinical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04" w:lineRule="exact"/>
        <w:rPr>
          <w:sz w:val="20"/>
          <w:szCs w:val="20"/>
          <w:color w:val="auto"/>
        </w:rPr>
      </w:pPr>
    </w:p>
    <w:p>
      <w:pPr>
        <w:jc w:val="both"/>
        <w:ind w:right="100" w:firstLine="432"/>
        <w:spacing w:after="0" w:line="257"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or QSRs, we would be subject to ongoing FDA “general controls,” which include compliance with FDA regulations for labeling, inspections by the FDA, complaint evaluation, corrections and removals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reporting, promotional restrictions, reporting adverse events or malfunctions for our products, and general prohibitions against misbranding and adulteration.</w:t>
      </w:r>
    </w:p>
    <w:p>
      <w:pPr>
        <w:spacing w:after="0" w:line="194"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25"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addition, we could decide to seek similar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would need to comply with the Medical Device Directive 93/42 EEC and/or the In Vitro Diagnostics Directive 98/79/EC, which are required to market medical devices in the European Union. These directives are being replaced by Medical Device Regulation 2017/745 and In Vitro Diagnostic Regulation 2017/746, with official entry into force in May 26, 2017 and date of applications of May 26,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33"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2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As products that are currently labeled, promoted and intended “for research use only”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sales, marketing and promotional efforts as being inconsistent with research use only products. For example, our customers may independently elect to use our research use only labeled products in their own laboratory developed tests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746" w:right="259" w:bottom="1440" w:gutter="0" w:footer="0" w:header="0"/>
        </w:sectPr>
      </w:pPr>
    </w:p>
    <w:bookmarkStart w:id="48" w:name="page49"/>
    <w:bookmarkEnd w:id="48"/>
    <w:p>
      <w:pPr>
        <w:ind w:firstLine="432"/>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If the FDA modifies its approach to our products labeled and intended as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as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215" w:lineRule="exact"/>
        <w:rPr>
          <w:sz w:val="20"/>
          <w:szCs w:val="20"/>
          <w:color w:val="auto"/>
        </w:rPr>
      </w:pPr>
    </w:p>
    <w:p>
      <w:pPr>
        <w:ind w:right="72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66"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2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23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12"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746" w:right="259" w:bottom="1440" w:gutter="0" w:footer="0" w:header="0"/>
        </w:sectPr>
      </w:pPr>
    </w:p>
    <w:bookmarkStart w:id="49" w:name="page50"/>
    <w:bookmarkEnd w:id="49"/>
    <w:p>
      <w:pPr>
        <w:ind w:right="520"/>
        <w:spacing w:after="0" w:line="277" w:lineRule="auto"/>
        <w:rPr>
          <w:sz w:val="20"/>
          <w:szCs w:val="20"/>
          <w:color w:val="auto"/>
        </w:rPr>
      </w:pPr>
      <w:r>
        <w:rPr>
          <w:rFonts w:ascii="Arial" w:cs="Arial" w:eastAsia="Arial" w:hAnsi="Arial"/>
          <w:sz w:val="18"/>
          <w:szCs w:val="18"/>
          <w:color w:val="auto"/>
        </w:rPr>
        <w:t>price of our stock could decline and we could be subject to sanctions or investigations by the Nasdaq Global Select Market (Nasdaq), the SEC, or other regulatory authorities, which would require additional financial and management resources.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198"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As of December 31, 2018, we had approximately $165.9 million of goodwill and net intangible assets, including approximately $104.1 million of goodwill and $61.8 million of net intangible assets. These assets represent a significant portion of the assets recorded on our consolidated balance sheet and relate primarily to our acquisition of DVS Sciences, Inc., or DVS, in February 2014. In addition, if in the future we acquire additional businesses, technologies, or other intangible assets, a substantial portion of the value of such assets may be recorded as goodwill or intangible assets.</w:t>
      </w:r>
    </w:p>
    <w:p>
      <w:pPr>
        <w:spacing w:after="0" w:line="10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22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12"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We believe that our existing cash and cash equivalents and availability under the Revolving Credit Facility will be sufficient to meet our anticipated cash requirements through at least December 31, 2020. We have continued to experience losses and, if that trend continues, we may need to seek additional sources of financing. In addition, we may need to raise substantial additional capital for various purposes, including:</w:t>
      </w:r>
    </w:p>
    <w:p>
      <w:pPr>
        <w:spacing w:after="0" w:line="57" w:lineRule="exact"/>
        <w:rPr>
          <w:sz w:val="20"/>
          <w:szCs w:val="20"/>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63"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63"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63"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171" w:lineRule="exact"/>
        <w:rPr>
          <w:sz w:val="20"/>
          <w:szCs w:val="20"/>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cash demands (e.g., due to interest or principal payments or payouts under existing cash compensation plans);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variability in sales and timing of related cash collections;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recent efficiency and cost-savings initiatives;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63" w:lineRule="exact"/>
        <w:rPr>
          <w:rFonts w:ascii="Arial" w:cs="Arial" w:eastAsia="Arial" w:hAnsi="Arial"/>
          <w:sz w:val="18"/>
          <w:szCs w:val="18"/>
          <w:color w:val="auto"/>
        </w:rPr>
      </w:pPr>
    </w:p>
    <w:p>
      <w:pPr>
        <w:ind w:left="760" w:right="420" w:hanging="320"/>
        <w:spacing w:after="0" w:line="277"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6" w:right="239" w:bottom="1440" w:gutter="0" w:footer="0" w:header="0"/>
        </w:sectPr>
      </w:pPr>
    </w:p>
    <w:bookmarkStart w:id="50" w:name="page51"/>
    <w:bookmarkEnd w:id="50"/>
    <w:p>
      <w:pPr>
        <w:ind w:firstLine="405"/>
        <w:spacing w:after="0" w:line="269" w:lineRule="auto"/>
        <w:rPr>
          <w:sz w:val="20"/>
          <w:szCs w:val="20"/>
          <w:color w:val="auto"/>
        </w:rPr>
      </w:pPr>
      <w:r>
        <w:rPr>
          <w:rFonts w:ascii="Arial" w:cs="Arial" w:eastAsia="Arial" w:hAnsi="Arial"/>
          <w:sz w:val="17"/>
          <w:szCs w:val="17"/>
          <w:color w:val="auto"/>
        </w:rPr>
        <w:t>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If we raise additional funds by issuing equity securities, our stockholders may experience dilution. Debt financing in addition to the Revolving Credit Facility,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pacing w:after="0" w:line="23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fail to comply with the covenants and other obligations under our credit facility, the lenders may be able to accelerate amounts owed under the facilities and may foreclose upon the assets securing our obligations.</w:t>
      </w:r>
    </w:p>
    <w:p>
      <w:pPr>
        <w:spacing w:after="0" w:line="112"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 August 2018, we entered into the Revolving Credit Facility, which provides for secured revolving loans in an aggregate amount of up to $15.0 million. The Revolving Credit Facility is secured by substantially all of our assets, other than intellectual property. The Revolving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If we fail to comply with the covenants and our other obligations under the Revolving Credit Facility, the lenders would be able to accelerate the required repayment of amounts due under the Revolving Credit Facility and, if they are not repaid, could foreclose upon the assets securing our obligations under the Revolving Credit Facility.</w:t>
      </w:r>
    </w:p>
    <w:p>
      <w:pPr>
        <w:spacing w:after="0" w:line="22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12" w:lineRule="exact"/>
        <w:rPr>
          <w:sz w:val="20"/>
          <w:szCs w:val="20"/>
          <w:color w:val="auto"/>
        </w:rPr>
      </w:pPr>
    </w:p>
    <w:p>
      <w:pPr>
        <w:ind w:right="60" w:firstLine="432"/>
        <w:spacing w:after="0" w:line="285" w:lineRule="auto"/>
        <w:rPr>
          <w:sz w:val="20"/>
          <w:szCs w:val="20"/>
          <w:color w:val="auto"/>
        </w:rPr>
      </w:pPr>
      <w:r>
        <w:rPr>
          <w:rFonts w:ascii="Arial" w:cs="Arial" w:eastAsia="Arial" w:hAnsi="Arial"/>
          <w:sz w:val="16"/>
          <w:szCs w:val="16"/>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restructured our European intercompany transactions, which increased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Legislation commonly referred to as the 2017 Tax Cuts and Jobs Act was enacted in the United States on December 22, 2017 and introduced a number of changes to U.S. federal income tax, the consequences to us of which have not yet been fully determined and which could have material impact on the value of our deferred tax assets, could result in significant one-time charges in the current or future taxable years, and could increase our future U.S. tax expense. Payment of additional amounts as a result of changes in applicable tax law or upon final adjudication of any disputes could have a material impact on our results of operations and financial position.</w:t>
      </w:r>
    </w:p>
    <w:p>
      <w:pPr>
        <w:spacing w:after="0" w:line="22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112"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Section 382 of the Internal Revenue Code of 1986, as amended, referred to as the “Code,” imposes an annual limitation on the amount of taxable income that may be offset if a corporation experiences an “ownership change” as defined in Section 382 of the Code. An ownership change occurs when a company’s “five-percent shareholders” (as defined in Section 382 of the Code)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746" w:right="259" w:bottom="1440" w:gutter="0" w:footer="0" w:header="0"/>
        </w:sectPr>
      </w:pPr>
    </w:p>
    <w:bookmarkStart w:id="51" w:name="page52"/>
    <w:bookmarkEnd w:id="51"/>
    <w:p>
      <w:pPr>
        <w:ind w:right="400"/>
        <w:spacing w:after="0" w:line="308" w:lineRule="auto"/>
        <w:rPr>
          <w:sz w:val="20"/>
          <w:szCs w:val="20"/>
          <w:color w:val="auto"/>
        </w:rPr>
      </w:pPr>
      <w:r>
        <w:rPr>
          <w:rFonts w:ascii="Arial" w:cs="Arial" w:eastAsia="Arial" w:hAnsi="Arial"/>
          <w:sz w:val="17"/>
          <w:szCs w:val="17"/>
          <w:color w:val="auto"/>
        </w:rPr>
        <w:t>collectively increase their ownership in the company by more than 50 percentage points (by value) over a rolling three-year period. Additionally, various states have similar limitations on the use of state net operating losses, referred to as our NOLs, following an ownership change.</w:t>
      </w:r>
    </w:p>
    <w:p>
      <w:pPr>
        <w:spacing w:after="0" w:line="93"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If we experience an ownership change, our ability to use our NOLs, any loss or deduction attributable to a “net unrealized built-in loss” and other tax attributes, which we refer to as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134" w:lineRule="exact"/>
        <w:rPr>
          <w:sz w:val="20"/>
          <w:szCs w:val="20"/>
          <w:color w:val="auto"/>
        </w:rPr>
      </w:pPr>
    </w:p>
    <w:p>
      <w:pPr>
        <w:ind w:right="20" w:firstLine="432"/>
        <w:spacing w:after="0" w:line="284" w:lineRule="auto"/>
        <w:rPr>
          <w:sz w:val="20"/>
          <w:szCs w:val="20"/>
          <w:color w:val="auto"/>
        </w:rPr>
      </w:pPr>
      <w:r>
        <w:rPr>
          <w:rFonts w:ascii="Arial" w:cs="Arial" w:eastAsia="Arial" w:hAnsi="Arial"/>
          <w:sz w:val="16"/>
          <w:szCs w:val="16"/>
          <w:color w:val="auto"/>
        </w:rPr>
        <w:t>We believe that these tax benefits are a valuable asset for us. However, legislation commonly known as the 2017 Tax Cuts and Jobs Act includes a decrease in the U.S. federal corporate income tax rate from 35% to 21%, and our tax benefits were revalued at the newly enacted rate. We do not expect this to have a material impact on our financial statements because we currently maintain a full valuation allowance on our U.S. deferred tax assets; however, this reduction in the U.S. federal corporate income tax rate results in a corresponding reduction in the value of our tax benefits. On November 21, 2016, our board of directors approved a tax benefit preservation plan, or Tax Benefit Preservation Plan, in an effort to protect our tax benefits during the effective period of the tax benefit preservation plan. Our board of directors elected to let the Tax Benefit Preservation Plan expire in August 2017 based on its determination, in consultation with our management and tax advisors, that our NOLs were not at material risk of limitation based on an ownership change pursuant to Section</w:t>
      </w:r>
    </w:p>
    <w:p>
      <w:pPr>
        <w:spacing w:after="0" w:line="3" w:lineRule="exact"/>
        <w:rPr>
          <w:sz w:val="20"/>
          <w:szCs w:val="20"/>
          <w:color w:val="auto"/>
        </w:rPr>
      </w:pPr>
    </w:p>
    <w:p>
      <w:pPr>
        <w:ind w:right="240" w:firstLine="8"/>
        <w:spacing w:after="0" w:line="255"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board of directors will continue to monitor our NOLs, however, and could elect to adopt a similar plan if it believes a potential risk exists that our NOLs could be limited. Any future tax benefit preservation plan could make it more difficult for a third party to acquire, or could discourage a third party from acquiring, us or a large block of our common stock.</w:t>
      </w:r>
    </w:p>
    <w:p>
      <w:pPr>
        <w:spacing w:after="0" w:line="24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1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In addition, certain geopolitical events, including the prolonged shutdown of the United States government and the ongoing negotiation of the United Kingdom’s withdrawal from the European Union,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23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12"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continue to develop and substantially expand our direct sales force and to increase the scope of our marketing efforts.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 Competition for such employees is intense. In addition, we have experienced significant changes in our sales organization in recent quarters due to reorganizations and changes in leadership. We may not be able to attract and retain personnel or be able to build an efficient and effective sales and marketing force, which would negatively impact sales of our products and reduce our revenue and profitability.</w:t>
      </w:r>
    </w:p>
    <w:p>
      <w:pPr>
        <w:spacing w:after="0" w:line="13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6" w:right="23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successful, our technologies and products may not gain market acceptance, which would materially and adversely impact our business operations.</w:t>
      </w:r>
    </w:p>
    <w:p>
      <w:pPr>
        <w:spacing w:after="0" w:line="28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seek to implement a company-wide enterprise resource planning (ERP) system, such implementation could adversely affect our business and results of operations or the effectiveness of internal control over financial reporting.</w:t>
      </w:r>
    </w:p>
    <w:p>
      <w:pPr>
        <w:spacing w:after="0" w:line="11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19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referred to as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34"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 xml:space="preserve">For example, the U.S.-based Financial Accounting Standards Board (FASB) is currently working together with the International Accounting Standards Board, referred to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supersedes nearly all existing U.S. GAAP revenue recognition guidance. The new guidance was effective for our fiscal year 2018. We adopted ASU 2014-09 in the first quarter of 2018 using the modified retrospective method. Under the modified retrospective method, periods prior to the adoption of ASU 2014-09 are not restated and the cumulative effect of initially applying the new standard is reflected in the opening balance of retained earnings as of January 1, 2018. To date, the adoption has not had a material impact on our consolidated financial statements. Additional disclosures are required for significant differences between the reported results under the new standard and those that would have been reported under the legacy standard, which required us to make certain changes to our business processes and controls to support revenue recognition and disclosure under the new standard.</w:t>
      </w:r>
    </w:p>
    <w:p>
      <w:pPr>
        <w:spacing w:after="0" w:line="121" w:lineRule="exact"/>
        <w:rPr>
          <w:sz w:val="20"/>
          <w:szCs w:val="20"/>
          <w:color w:val="auto"/>
        </w:rPr>
      </w:pPr>
    </w:p>
    <w:p>
      <w:pPr>
        <w:jc w:val="both"/>
        <w:ind w:right="120" w:firstLine="432"/>
        <w:spacing w:after="0" w:line="257" w:lineRule="auto"/>
        <w:rPr>
          <w:sz w:val="20"/>
          <w:szCs w:val="20"/>
          <w:color w:val="auto"/>
        </w:rPr>
      </w:pPr>
      <w:r>
        <w:rPr>
          <w:rFonts w:ascii="Arial" w:cs="Arial" w:eastAsia="Arial" w:hAnsi="Arial"/>
          <w:sz w:val="18"/>
          <w:szCs w:val="18"/>
          <w:color w:val="auto"/>
        </w:rPr>
        <w:t xml:space="preserve">The FASB also issued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core principle is that lessees should recognize the assets and liabilities arising from leases on the balance sheet. Under the new standard, lessees will be required to recognize lease assets and liabilities for all leases, with certain exceptions, on their balance sheets. We adopted ASU 2016-02 as of January 1, 2019. The adoption of this standard had a material impact on our consolidated financial statements. We continue to identify the appropriate changes to our business processes, systems, and controls to support the new lease standard and the required disclosures under the new standard.</w:t>
      </w:r>
    </w:p>
    <w:p>
      <w:pPr>
        <w:spacing w:after="0" w:line="134"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It is not clear if or when these and other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have a significant amount of outstanding indebtedness, and our financial condition and results of operations could be adversely affected if we do not efficiently manage our liabilities.</w:t>
      </w:r>
    </w:p>
    <w:p>
      <w:pPr>
        <w:spacing w:after="0" w:line="112" w:lineRule="exact"/>
        <w:rPr>
          <w:sz w:val="20"/>
          <w:szCs w:val="20"/>
          <w:color w:val="auto"/>
        </w:rPr>
      </w:pPr>
    </w:p>
    <w:p>
      <w:pPr>
        <w:ind w:right="160" w:firstLine="392"/>
        <w:spacing w:after="0" w:line="277" w:lineRule="auto"/>
        <w:rPr>
          <w:sz w:val="20"/>
          <w:szCs w:val="20"/>
          <w:color w:val="auto"/>
        </w:rPr>
      </w:pPr>
      <w:r>
        <w:rPr>
          <w:rFonts w:ascii="Arial" w:cs="Arial" w:eastAsia="Arial" w:hAnsi="Arial"/>
          <w:sz w:val="18"/>
          <w:szCs w:val="18"/>
          <w:color w:val="auto"/>
        </w:rPr>
        <w:t>We have significant outstanding convertible debt, and may be required to repay, refinance or restructure a portion of such debt before 2021. As of June 30, 2019, we had outstanding $51.3 million aggregate principal amount of our 2014 Notes. The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46" w:right="239" w:bottom="1440" w:gutter="0" w:footer="0" w:header="0"/>
        </w:sectPr>
      </w:pPr>
    </w:p>
    <w:bookmarkStart w:id="53" w:name="page54"/>
    <w:bookmarkEnd w:id="53"/>
    <w:p>
      <w:pPr>
        <w:spacing w:after="0" w:line="255" w:lineRule="auto"/>
        <w:rPr>
          <w:sz w:val="20"/>
          <w:szCs w:val="20"/>
          <w:color w:val="auto"/>
        </w:rPr>
      </w:pPr>
      <w:r>
        <w:rPr>
          <w:rFonts w:ascii="Arial" w:cs="Arial" w:eastAsia="Arial" w:hAnsi="Arial"/>
          <w:sz w:val="18"/>
          <w:szCs w:val="18"/>
          <w:color w:val="auto"/>
        </w:rPr>
        <w:t>Notes will mature on February 1, 2034, unless earlier converted, redeemed, or repurchased in accordance with the terms of the 2014 Notes. Holders of the 2014 Notes may require us to repurchase all or a portion of their 2014 Notes on each of February 6, 2021, February 6, 2024, and February 6, 2029 at a repurchase price in cash equal to 100% of the principal amount of the Notes plus accrued and unpaid interest. If we undergo a fundamental change, as defined in the terms of each of the applicable series of Notes, holders of the 2014 Notes may require us to repurchase the 2014 Notes in whole or in part for cash at a repurchase price equal to 100% of the principal amount of the 2014 Notes plus accrued and unpaid interest. If we refinance the debt owed under the 2014 Notes, we may issue additional convertible notes or other debt, which could include additional company obligations and represent more dilution to existing stockholders and noteholders.</w:t>
      </w:r>
    </w:p>
    <w:p>
      <w:pPr>
        <w:spacing w:after="0" w:line="1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This significant amount of debt has important risks to us and our investors, including:</w:t>
      </w:r>
    </w:p>
    <w:p>
      <w:pPr>
        <w:spacing w:after="0" w:line="171" w:lineRule="exact"/>
        <w:rPr>
          <w:sz w:val="20"/>
          <w:szCs w:val="20"/>
          <w:color w:val="auto"/>
        </w:rPr>
      </w:pPr>
    </w:p>
    <w:p>
      <w:pPr>
        <w:ind w:left="1040" w:hanging="316"/>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 portion of our cash flow from operations to make interest payments on this debt;</w:t>
      </w:r>
    </w:p>
    <w:p>
      <w:pPr>
        <w:spacing w:after="0" w:line="171" w:lineRule="exact"/>
        <w:rPr>
          <w:rFonts w:ascii="Arial" w:cs="Arial" w:eastAsia="Arial" w:hAnsi="Arial"/>
          <w:sz w:val="18"/>
          <w:szCs w:val="18"/>
          <w:color w:val="auto"/>
        </w:rPr>
      </w:pPr>
    </w:p>
    <w:p>
      <w:pPr>
        <w:ind w:left="1040" w:hanging="316"/>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71" w:lineRule="exact"/>
        <w:rPr>
          <w:rFonts w:ascii="Arial" w:cs="Arial" w:eastAsia="Arial" w:hAnsi="Arial"/>
          <w:sz w:val="18"/>
          <w:szCs w:val="18"/>
          <w:color w:val="auto"/>
        </w:rPr>
      </w:pPr>
    </w:p>
    <w:p>
      <w:pPr>
        <w:ind w:left="1040" w:hanging="316"/>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our business;</w:t>
      </w:r>
    </w:p>
    <w:p>
      <w:pPr>
        <w:spacing w:after="0" w:line="171" w:lineRule="exact"/>
        <w:rPr>
          <w:rFonts w:ascii="Arial" w:cs="Arial" w:eastAsia="Arial" w:hAnsi="Arial"/>
          <w:sz w:val="18"/>
          <w:szCs w:val="18"/>
          <w:color w:val="auto"/>
        </w:rPr>
      </w:pPr>
    </w:p>
    <w:p>
      <w:pPr>
        <w:ind w:left="1040" w:hanging="316"/>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and</w:t>
      </w:r>
    </w:p>
    <w:p>
      <w:pPr>
        <w:spacing w:after="0" w:line="171" w:lineRule="exact"/>
        <w:rPr>
          <w:rFonts w:ascii="Arial" w:cs="Arial" w:eastAsia="Arial" w:hAnsi="Arial"/>
          <w:sz w:val="18"/>
          <w:szCs w:val="18"/>
          <w:color w:val="auto"/>
        </w:rPr>
      </w:pPr>
    </w:p>
    <w:p>
      <w:pPr>
        <w:ind w:left="1040" w:hanging="316"/>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ability to borrow additional funds as needed or take advantage of business opportunities as they arise.</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17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2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19" w:lineRule="exact"/>
        <w:rPr>
          <w:sz w:val="20"/>
          <w:szCs w:val="20"/>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746" w:right="259" w:bottom="1440" w:gutter="0" w:footer="0" w:header="0"/>
        </w:sectPr>
      </w:pPr>
    </w:p>
    <w:bookmarkStart w:id="54" w:name="page55"/>
    <w:bookmarkEnd w:id="54"/>
    <w:p>
      <w:pPr>
        <w:ind w:right="16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22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26"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24"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4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229"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Fisher Scientific Inc. (Thermo) alleging, among other claims, misappropriation of proprietary information 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5" w:name="page56"/>
    <w:bookmarkEnd w:id="55"/>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1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 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43"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1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15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50" w:right="239" w:bottom="1440" w:gutter="0" w:footer="0" w:header="0"/>
        </w:sectPr>
      </w:pPr>
    </w:p>
    <w:bookmarkStart w:id="56" w:name="page57"/>
    <w:bookmarkEnd w:id="56"/>
    <w:p>
      <w:pPr>
        <w:ind w:right="100"/>
        <w:spacing w:after="0" w:line="291" w:lineRule="auto"/>
        <w:rPr>
          <w:sz w:val="20"/>
          <w:szCs w:val="20"/>
          <w:color w:val="auto"/>
        </w:rPr>
      </w:pPr>
      <w:r>
        <w:rPr>
          <w:rFonts w:ascii="Arial" w:cs="Arial" w:eastAsia="Arial" w:hAnsi="Arial"/>
          <w:sz w:val="16"/>
          <w:szCs w:val="16"/>
          <w:color w:val="auto"/>
        </w:rPr>
        <w:t>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187"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46"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documents listed in the Exhibit List, which follows below, are incorporated by reference or are filed with this quarterly report on Form 10-Q, in each case as indicated therein (numbered in accordance with Item 601 of Regulation S-K).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LIST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From</w:t>
            </w:r>
          </w:p>
        </w:tc>
        <w:tc>
          <w:tcPr>
            <w:tcW w:w="11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900" w:type="dxa"/>
            <w:vAlign w:val="bottom"/>
            <w:gridSpan w:val="6"/>
            <w:vMerge w:val="restart"/>
          </w:tcPr>
          <w:p>
            <w:pPr>
              <w:ind w:left="258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Exhibit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900" w:type="dxa"/>
            <w:vAlign w:val="bottom"/>
            <w:tcBorders>
              <w:bottom w:val="single" w:sz="8" w:color="auto"/>
            </w:tcBorders>
            <w:gridSpan w:val="6"/>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445"/>
        </w:trPr>
        <w:tc>
          <w:tcPr>
            <w:tcW w:w="112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7"/>
          </w:tcPr>
          <w:p>
            <w:pPr>
              <w:spacing w:after="0"/>
              <w:rPr>
                <w:rFonts w:ascii="Arial" w:cs="Arial" w:eastAsia="Arial" w:hAnsi="Arial"/>
                <w:sz w:val="18"/>
                <w:szCs w:val="18"/>
                <w:color w:val="0000FF"/>
                <w:w w:val="97"/>
              </w:rPr>
            </w:pPr>
            <w:hyperlink w:anchor="page60">
              <w:r>
                <w:rPr>
                  <w:rFonts w:ascii="Arial" w:cs="Arial" w:eastAsia="Arial" w:hAnsi="Arial"/>
                  <w:sz w:val="18"/>
                  <w:szCs w:val="18"/>
                  <w:color w:val="0000FF"/>
                  <w:w w:val="97"/>
                </w:rPr>
                <w:t>Tenth Amendment to Lease Agreement between ARE-San Francisco No. 17,</w:t>
              </w:r>
            </w:hyperlink>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60">
              <w:r>
                <w:rPr>
                  <w:rFonts w:ascii="Arial" w:cs="Arial" w:eastAsia="Arial" w:hAnsi="Arial"/>
                  <w:sz w:val="18"/>
                  <w:szCs w:val="18"/>
                  <w:color w:val="0000FF"/>
                </w:rPr>
                <w:t>LLC and Fluidigm Corporation, dated August 14, 2019</w:t>
              </w:r>
              <w:r>
                <w:rPr>
                  <w:rFonts w:ascii="Arial" w:cs="Arial" w:eastAsia="Arial" w:hAnsi="Arial"/>
                  <w:sz w:val="18"/>
                  <w:szCs w:val="18"/>
                  <w:color w:val="000000"/>
                </w:rPr>
                <w:t>.</w:t>
              </w:r>
            </w:hyperlink>
          </w:p>
        </w:tc>
        <w:tc>
          <w:tcPr>
            <w:tcW w:w="500" w:type="dxa"/>
            <w:vAlign w:val="bottom"/>
            <w:gridSpan w:val="2"/>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7"/>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Certification Pursuant to 18 U.S.C. Section 1350, as Adopted Pursuant to</w:t>
              </w:r>
            </w:hyperlink>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7"/>
          </w:tcPr>
          <w:p>
            <w:pPr>
              <w:spacing w:after="0" w:line="196" w:lineRule="exact"/>
              <w:rPr>
                <w:rFonts w:ascii="Arial" w:cs="Arial" w:eastAsia="Arial" w:hAnsi="Arial"/>
                <w:sz w:val="18"/>
                <w:szCs w:val="18"/>
                <w:color w:val="0000FF"/>
              </w:rPr>
            </w:pPr>
            <w:hyperlink w:anchor="page66">
              <w:r>
                <w:rPr>
                  <w:rFonts w:ascii="Arial" w:cs="Arial" w:eastAsia="Arial" w:hAnsi="Arial"/>
                  <w:sz w:val="18"/>
                  <w:szCs w:val="18"/>
                  <w:color w:val="0000FF"/>
                </w:rPr>
                <w:t>Section 302 of the Sarbanes-Oxley Act of 2002 of Chief Executive Officer</w:t>
              </w:r>
            </w:hyperlink>
            <w:r>
              <w:rPr>
                <w:rFonts w:ascii="Arial" w:cs="Arial" w:eastAsia="Arial" w:hAnsi="Arial"/>
                <w:sz w:val="18"/>
                <w:szCs w:val="18"/>
                <w:color w:val="000000"/>
              </w:rPr>
              <w:t>.</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top w:val="single" w:sz="8" w:color="0000FF"/>
            </w:tcBorders>
            <w:gridSpan w:val="4"/>
          </w:tcPr>
          <w:p>
            <w:pP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Certification Pursuant to 18 U.S.C. Section 1350, as Adopted Pursuant to</w:t>
              </w:r>
            </w:hyperlink>
          </w:p>
        </w:tc>
        <w:tc>
          <w:tcPr>
            <w:tcW w:w="660" w:type="dxa"/>
            <w:vAlign w:val="bottom"/>
            <w:gridSpan w:val="3"/>
          </w:tcPr>
          <w:p>
            <w:pPr>
              <w:spacing w:after="0"/>
              <w:rPr>
                <w:sz w:val="24"/>
                <w:szCs w:val="2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7"/>
          </w:tcPr>
          <w:p>
            <w:pPr>
              <w:spacing w:after="0" w:line="196" w:lineRule="exact"/>
              <w:rPr>
                <w:rFonts w:ascii="Arial" w:cs="Arial" w:eastAsia="Arial" w:hAnsi="Arial"/>
                <w:sz w:val="18"/>
                <w:szCs w:val="18"/>
                <w:color w:val="0000FF"/>
              </w:rPr>
            </w:pPr>
            <w:hyperlink w:anchor="page67">
              <w:r>
                <w:rPr>
                  <w:rFonts w:ascii="Arial" w:cs="Arial" w:eastAsia="Arial" w:hAnsi="Arial"/>
                  <w:sz w:val="18"/>
                  <w:szCs w:val="18"/>
                  <w:color w:val="0000FF"/>
                </w:rPr>
                <w:t>Section 302 of the Sarbanes-Oxley Act of 2002 of Chief Financial Officer</w:t>
              </w:r>
            </w:hyperlink>
            <w:r>
              <w:rPr>
                <w:rFonts w:ascii="Arial" w:cs="Arial" w:eastAsia="Arial" w:hAnsi="Arial"/>
                <w:sz w:val="18"/>
                <w:szCs w:val="18"/>
                <w:color w:val="000000"/>
              </w:rPr>
              <w:t>.</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20" w:type="dxa"/>
            <w:vAlign w:val="bottom"/>
          </w:tcPr>
          <w:p>
            <w:pPr>
              <w:ind w:left="40"/>
              <w:spacing w:after="0"/>
              <w:rPr>
                <w:sz w:val="20"/>
                <w:szCs w:val="20"/>
                <w:color w:val="auto"/>
              </w:rPr>
            </w:pPr>
            <w:r>
              <w:rPr>
                <w:rFonts w:ascii="Arial" w:cs="Arial" w:eastAsia="Arial" w:hAnsi="Arial"/>
                <w:sz w:val="18"/>
                <w:szCs w:val="18"/>
                <w:color w:val="auto"/>
              </w:rPr>
              <w:t>32.1</w:t>
            </w: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Borders>
              <w:top w:val="single" w:sz="8" w:color="0000FF"/>
            </w:tcBorders>
            <w:gridSpan w:val="3"/>
          </w:tcPr>
          <w:p>
            <w:pPr>
              <w:spacing w:after="0"/>
              <w:rPr>
                <w:rFonts w:ascii="Arial" w:cs="Arial" w:eastAsia="Arial" w:hAnsi="Arial"/>
                <w:sz w:val="18"/>
                <w:szCs w:val="18"/>
                <w:color w:val="0000FF"/>
                <w:w w:val="91"/>
              </w:rPr>
            </w:pPr>
            <w:hyperlink w:anchor="page68">
              <w:r>
                <w:rPr>
                  <w:rFonts w:ascii="Arial" w:cs="Arial" w:eastAsia="Arial" w:hAnsi="Arial"/>
                  <w:sz w:val="18"/>
                  <w:szCs w:val="18"/>
                  <w:color w:val="0000FF"/>
                  <w:w w:val="91"/>
                </w:rPr>
                <w:t>Certification Pursuant to 18 U.S.C. Section 1350, as Adopted Pursuant to</w:t>
              </w:r>
            </w:hyperlink>
          </w:p>
        </w:tc>
        <w:tc>
          <w:tcPr>
            <w:tcW w:w="700" w:type="dxa"/>
            <w:vAlign w:val="bottom"/>
            <w:gridSpan w:val="4"/>
          </w:tcPr>
          <w:p>
            <w:pPr>
              <w:spacing w:after="0"/>
              <w:rPr>
                <w:sz w:val="24"/>
                <w:szCs w:val="2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Furnished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2"/>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7"/>
          </w:tcPr>
          <w:p>
            <w:pPr>
              <w:spacing w:after="0" w:line="196" w:lineRule="exact"/>
              <w:rPr>
                <w:rFonts w:ascii="Arial" w:cs="Arial" w:eastAsia="Arial" w:hAnsi="Arial"/>
                <w:sz w:val="18"/>
                <w:szCs w:val="18"/>
                <w:color w:val="0000FF"/>
              </w:rPr>
            </w:pPr>
            <w:hyperlink w:anchor="page68">
              <w:r>
                <w:rPr>
                  <w:rFonts w:ascii="Arial" w:cs="Arial" w:eastAsia="Arial" w:hAnsi="Arial"/>
                  <w:sz w:val="18"/>
                  <w:szCs w:val="18"/>
                  <w:color w:val="0000FF"/>
                </w:rPr>
                <w:t>Section 906 of the Sarbanes-Oxley Act of 2002 of Chief Executive Officer</w:t>
              </w:r>
            </w:hyperlink>
            <w:r>
              <w:rPr>
                <w:rFonts w:ascii="Arial" w:cs="Arial" w:eastAsia="Arial" w:hAnsi="Arial"/>
                <w:sz w:val="18"/>
                <w:szCs w:val="18"/>
                <w:color w:val="000000"/>
              </w:rPr>
              <w:t>.</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20" w:type="dxa"/>
            <w:vAlign w:val="bottom"/>
          </w:tcPr>
          <w:p>
            <w:pPr>
              <w:ind w:left="40"/>
              <w:spacing w:after="0"/>
              <w:rPr>
                <w:sz w:val="20"/>
                <w:szCs w:val="20"/>
                <w:color w:val="auto"/>
              </w:rPr>
            </w:pPr>
            <w:r>
              <w:rPr>
                <w:rFonts w:ascii="Arial" w:cs="Arial" w:eastAsia="Arial" w:hAnsi="Arial"/>
                <w:sz w:val="18"/>
                <w:szCs w:val="18"/>
                <w:color w:val="auto"/>
              </w:rPr>
              <w:t>32.2</w:t>
            </w: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top w:val="single" w:sz="8" w:color="0000FF"/>
            </w:tcBorders>
            <w:gridSpan w:val="4"/>
          </w:tcPr>
          <w:p>
            <w:pP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Certification Pursuant to 18 U.S.C. Section 1350, as Adopted Pursuant to</w:t>
              </w:r>
            </w:hyperlink>
          </w:p>
        </w:tc>
        <w:tc>
          <w:tcPr>
            <w:tcW w:w="660" w:type="dxa"/>
            <w:vAlign w:val="bottom"/>
            <w:gridSpan w:val="3"/>
          </w:tcPr>
          <w:p>
            <w:pPr>
              <w:spacing w:after="0"/>
              <w:rPr>
                <w:sz w:val="24"/>
                <w:szCs w:val="2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Furnished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2"/>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7"/>
          </w:tcPr>
          <w:p>
            <w:pPr>
              <w:spacing w:after="0" w:line="196" w:lineRule="exact"/>
              <w:rPr>
                <w:rFonts w:ascii="Arial" w:cs="Arial" w:eastAsia="Arial" w:hAnsi="Arial"/>
                <w:sz w:val="18"/>
                <w:szCs w:val="18"/>
                <w:color w:val="0000FF"/>
              </w:rPr>
            </w:pPr>
            <w:hyperlink w:anchor="page69">
              <w:r>
                <w:rPr>
                  <w:rFonts w:ascii="Arial" w:cs="Arial" w:eastAsia="Arial" w:hAnsi="Arial"/>
                  <w:sz w:val="18"/>
                  <w:szCs w:val="18"/>
                  <w:color w:val="0000FF"/>
                </w:rPr>
                <w:t>Section 906 of the Sarbanes-Oxley Act of 2002 of Chief Financial Officer</w:t>
              </w:r>
            </w:hyperlink>
            <w:r>
              <w:rPr>
                <w:rFonts w:ascii="Arial" w:cs="Arial" w:eastAsia="Arial" w:hAnsi="Arial"/>
                <w:sz w:val="18"/>
                <w:szCs w:val="18"/>
                <w:color w:val="000000"/>
              </w:rPr>
              <w:t>.</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53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0"/>
              </w:rPr>
              <w:t>XBRL Instance Document - the instance document does not appear in the</w:t>
            </w:r>
          </w:p>
        </w:tc>
        <w:tc>
          <w:tcPr>
            <w:tcW w:w="700" w:type="dxa"/>
            <w:vAlign w:val="bottom"/>
            <w:gridSpan w:val="4"/>
          </w:tcPr>
          <w:p>
            <w:pPr>
              <w:spacing w:after="0"/>
              <w:rPr>
                <w:sz w:val="24"/>
                <w:szCs w:val="2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7"/>
          </w:tcPr>
          <w:p>
            <w:pPr>
              <w:spacing w:after="0"/>
              <w:rPr>
                <w:sz w:val="20"/>
                <w:szCs w:val="20"/>
                <w:color w:val="auto"/>
              </w:rPr>
            </w:pPr>
            <w:r>
              <w:rPr>
                <w:rFonts w:ascii="Arial" w:cs="Arial" w:eastAsia="Arial" w:hAnsi="Arial"/>
                <w:sz w:val="18"/>
                <w:szCs w:val="18"/>
                <w:color w:val="auto"/>
              </w:rPr>
              <w:t>Interactive Data File because its XBRL tags are embedded within the Inline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40" w:type="dxa"/>
            <w:vAlign w:val="bottom"/>
            <w:gridSpan w:val="7"/>
          </w:tcPr>
          <w:p>
            <w:pPr>
              <w:spacing w:after="0"/>
              <w:rPr>
                <w:sz w:val="20"/>
                <w:szCs w:val="20"/>
                <w:color w:val="auto"/>
              </w:rPr>
            </w:pPr>
            <w:r>
              <w:rPr>
                <w:rFonts w:ascii="Arial" w:cs="Arial" w:eastAsia="Arial" w:hAnsi="Arial"/>
                <w:sz w:val="18"/>
                <w:szCs w:val="18"/>
                <w:color w:val="auto"/>
              </w:rPr>
              <w:t>XBRL document.</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604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604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604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604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604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00" w:right="200" w:hanging="465"/>
        <w:spacing w:after="0" w:line="324"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51" w:right="239" w:bottom="1440" w:gutter="0" w:footer="0" w:header="0"/>
        </w:sectPr>
      </w:pPr>
    </w:p>
    <w:bookmarkStart w:id="58" w:name="page59"/>
    <w:bookmarkEnd w:id="58"/>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November 7, 2019</w:t>
      </w:r>
    </w:p>
    <w:p>
      <w:pPr>
        <w:spacing w:after="0" w:line="6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November 7, 2019</w:t>
      </w:r>
    </w:p>
    <w:p>
      <w:pPr>
        <w:spacing w:after="0" w:line="6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720"/>
          </w:cols>
          <w:pgMar w:left="240" w:top="580" w:right="9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TENTH AMENDMENT TO LEASE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THIS TENTH AMENDMENT TO LEASE (this “</w:t>
      </w:r>
      <w:r>
        <w:rPr>
          <w:rFonts w:ascii="Arial" w:cs="Arial" w:eastAsia="Arial" w:hAnsi="Arial"/>
          <w:sz w:val="18"/>
          <w:szCs w:val="18"/>
          <w:b w:val="1"/>
          <w:bCs w:val="1"/>
          <w:color w:val="auto"/>
        </w:rPr>
        <w:t>Tenth Amendment</w:t>
      </w:r>
      <w:r>
        <w:rPr>
          <w:rFonts w:ascii="Arial" w:cs="Arial" w:eastAsia="Arial" w:hAnsi="Arial"/>
          <w:sz w:val="18"/>
          <w:szCs w:val="18"/>
          <w:color w:val="auto"/>
        </w:rPr>
        <w:t xml:space="preserve">”) is made as of August 14, 2019, by and between </w:t>
      </w:r>
      <w:r>
        <w:rPr>
          <w:rFonts w:ascii="Arial" w:cs="Arial" w:eastAsia="Arial" w:hAnsi="Arial"/>
          <w:sz w:val="18"/>
          <w:szCs w:val="18"/>
          <w:b w:val="1"/>
          <w:bCs w:val="1"/>
          <w:color w:val="auto"/>
        </w:rPr>
        <w:t>ARE-SAN</w:t>
      </w:r>
      <w:r>
        <w:rPr>
          <w:rFonts w:ascii="Arial" w:cs="Arial" w:eastAsia="Arial" w:hAnsi="Arial"/>
          <w:sz w:val="18"/>
          <w:szCs w:val="18"/>
          <w:color w:val="auto"/>
        </w:rPr>
        <w:t xml:space="preserve"> </w:t>
      </w:r>
      <w:r>
        <w:rPr>
          <w:rFonts w:ascii="Arial" w:cs="Arial" w:eastAsia="Arial" w:hAnsi="Arial"/>
          <w:sz w:val="18"/>
          <w:szCs w:val="18"/>
          <w:b w:val="1"/>
          <w:bCs w:val="1"/>
          <w:color w:val="auto"/>
        </w:rPr>
        <w:t>FRANCISCO NO. 17,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FLUIDIGM CORPORATION</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47" w:lineRule="exact"/>
        <w:rPr>
          <w:sz w:val="20"/>
          <w:szCs w:val="20"/>
          <w:color w:val="auto"/>
        </w:rPr>
      </w:pPr>
    </w:p>
    <w:p>
      <w:pPr>
        <w:jc w:val="both"/>
        <w:ind w:firstLine="656"/>
        <w:spacing w:after="0" w:line="251" w:lineRule="auto"/>
        <w:tabs>
          <w:tab w:leader="none" w:pos="1118"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Landlord and Tenant are now parties to that certain Lease Agreement dated as of September 14, 2010, as amended by that certain First Amendment to Lease dated as of September 22, 2010, as further amended by that certain letter agreement dated August 2, 2012, as further amended by that certain Second Amendment to Lease dated as of April 9, 2013, as further amended by that certain Third Amendment to Lease dated as of June 25, 2013, as further amended by that certain Fourth Amendment to Lease dated as of June 4, 2014, as further amended by that certain Fifth Amendment to Lease dated as of September 15, 2014, as further amended by that certain Sixth Amendment to Lease dated as of December 8, 2015, as further amended by that certain Seventh Amendment to Lease dated as of March 23, 2017, as further amended by that certain Eighth Amendment to Lease dated August 2, 2017, and as further amended by that certain Ninth Amendment dated as of May 31, 2018 (as amended,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Tenant leases certain premises consisting of approximately 74,137 rentable square feet (“</w:t>
      </w:r>
      <w:r>
        <w:rPr>
          <w:rFonts w:ascii="Arial" w:cs="Arial" w:eastAsia="Arial" w:hAnsi="Arial"/>
          <w:sz w:val="18"/>
          <w:szCs w:val="18"/>
          <w:b w:val="1"/>
          <w:bCs w:val="1"/>
          <w:color w:val="auto"/>
        </w:rPr>
        <w:t>Premises</w:t>
      </w:r>
      <w:r>
        <w:rPr>
          <w:rFonts w:ascii="Arial" w:cs="Arial" w:eastAsia="Arial" w:hAnsi="Arial"/>
          <w:sz w:val="18"/>
          <w:szCs w:val="18"/>
          <w:color w:val="auto"/>
        </w:rPr>
        <w:t>”) in a building located at 7000 Shoreline Court, South San Francisco, California. The Premises are more particularly described in the Lease. Capitalized terms used herein without definition shall have the meanings defined for such terms in the Lease.</w:t>
      </w:r>
    </w:p>
    <w:p>
      <w:pPr>
        <w:spacing w:after="0" w:line="211" w:lineRule="exact"/>
        <w:rPr>
          <w:rFonts w:ascii="Arial" w:cs="Arial" w:eastAsia="Arial" w:hAnsi="Arial"/>
          <w:sz w:val="18"/>
          <w:szCs w:val="18"/>
          <w:b w:val="1"/>
          <w:bCs w:val="1"/>
          <w:color w:val="auto"/>
        </w:rPr>
      </w:pPr>
    </w:p>
    <w:p>
      <w:pPr>
        <w:ind w:left="1040" w:hanging="384"/>
        <w:spacing w:after="0"/>
        <w:tabs>
          <w:tab w:leader="none" w:pos="10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Lease is scheduled to expire on April 30, 2020.</w:t>
      </w:r>
    </w:p>
    <w:p>
      <w:pPr>
        <w:spacing w:after="0" w:line="225" w:lineRule="exact"/>
        <w:rPr>
          <w:rFonts w:ascii="Arial" w:cs="Arial" w:eastAsia="Arial" w:hAnsi="Arial"/>
          <w:sz w:val="18"/>
          <w:szCs w:val="18"/>
          <w:b w:val="1"/>
          <w:bCs w:val="1"/>
          <w:color w:val="auto"/>
        </w:rPr>
      </w:pPr>
    </w:p>
    <w:p>
      <w:pPr>
        <w:jc w:val="both"/>
        <w:ind w:firstLine="656"/>
        <w:spacing w:after="0" w:line="253" w:lineRule="auto"/>
        <w:tabs>
          <w:tab w:leader="none" w:pos="1042"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 xml:space="preserve">Landlord and Tenant desire, subject to the terms and conditions set forth below, to amend the Lease to, reflect (i) the surrender of a portion of the Premises consisting of approximately 5,569 rentable square feet on the first floor of the west wing of the Building, as shown on </w:t>
      </w:r>
      <w:r>
        <w:rPr>
          <w:rFonts w:ascii="Arial" w:cs="Arial" w:eastAsia="Arial" w:hAnsi="Arial"/>
          <w:sz w:val="18"/>
          <w:szCs w:val="18"/>
          <w:b w:val="1"/>
          <w:bCs w:val="1"/>
          <w:color w:val="auto"/>
        </w:rPr>
        <w:t xml:space="preserve">Exhibit A </w:t>
      </w:r>
      <w:r>
        <w:rPr>
          <w:rFonts w:ascii="Arial" w:cs="Arial" w:eastAsia="Arial" w:hAnsi="Arial"/>
          <w:sz w:val="18"/>
          <w:szCs w:val="18"/>
          <w:color w:val="auto"/>
        </w:rPr>
        <w:t>attached hereto (the “</w:t>
      </w:r>
      <w:r>
        <w:rPr>
          <w:rFonts w:ascii="Arial" w:cs="Arial" w:eastAsia="Arial" w:hAnsi="Arial"/>
          <w:sz w:val="18"/>
          <w:szCs w:val="18"/>
          <w:b w:val="1"/>
          <w:bCs w:val="1"/>
          <w:color w:val="auto"/>
        </w:rPr>
        <w:t>Tenth Amendment Surrender Premises</w:t>
      </w:r>
      <w:r>
        <w:rPr>
          <w:rFonts w:ascii="Arial" w:cs="Arial" w:eastAsia="Arial" w:hAnsi="Arial"/>
          <w:sz w:val="18"/>
          <w:szCs w:val="18"/>
          <w:color w:val="auto"/>
        </w:rPr>
        <w:t>”) as of the date that is 1 business day after mutual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this Tenth Amendment by the parties (the “</w:t>
      </w:r>
      <w:r>
        <w:rPr>
          <w:rFonts w:ascii="Arial" w:cs="Arial" w:eastAsia="Arial" w:hAnsi="Arial"/>
          <w:sz w:val="18"/>
          <w:szCs w:val="18"/>
          <w:b w:val="1"/>
          <w:bCs w:val="1"/>
          <w:color w:val="auto"/>
        </w:rPr>
        <w:t>Surrender Date</w:t>
      </w:r>
      <w:r>
        <w:rPr>
          <w:rFonts w:ascii="Arial" w:cs="Arial" w:eastAsia="Arial" w:hAnsi="Arial"/>
          <w:sz w:val="18"/>
          <w:szCs w:val="18"/>
          <w:color w:val="auto"/>
        </w:rPr>
        <w:t>”), and (ii) accelerate the expiration date of the Term of the Lease with respect to the remaining Premises to March 31, 2020 (the “</w:t>
      </w:r>
      <w:r>
        <w:rPr>
          <w:rFonts w:ascii="Arial" w:cs="Arial" w:eastAsia="Arial" w:hAnsi="Arial"/>
          <w:sz w:val="18"/>
          <w:szCs w:val="18"/>
          <w:b w:val="1"/>
          <w:bCs w:val="1"/>
          <w:color w:val="auto"/>
        </w:rPr>
        <w:t>Early Termination Date</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which are incorporated herein by this reference, the mutual promises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contained herein, and for other good and valuable consideration, the receipt and sufficiency of which are hereby acknowledged, Landlord and Tenant hereby agree as follows:</w:t>
      </w:r>
    </w:p>
    <w:p>
      <w:pPr>
        <w:spacing w:after="0" w:line="168" w:lineRule="exact"/>
        <w:rPr>
          <w:sz w:val="20"/>
          <w:szCs w:val="20"/>
          <w:color w:val="auto"/>
        </w:rPr>
      </w:pPr>
    </w:p>
    <w:p>
      <w:pPr>
        <w:jc w:val="both"/>
        <w:ind w:left="660" w:hanging="652"/>
        <w:spacing w:after="0" w:line="254"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Surrender of Tenth Amendment Surrender Premises</w:t>
      </w:r>
      <w:r>
        <w:rPr>
          <w:rFonts w:ascii="Arial" w:cs="Arial" w:eastAsia="Arial" w:hAnsi="Arial"/>
          <w:sz w:val="18"/>
          <w:szCs w:val="18"/>
          <w:color w:val="auto"/>
        </w:rPr>
        <w:t>. The Lease with respect to the Tenth Amendment Surrender Premises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as provided for in the Lease on the Surrender Date. Tenant shall voluntarily surrender the Tenth Amendment Surrender Premises on such date in accordance with all surrender requirements contained in the Lease and in the condition in which Tenant is required to surrender the Premises as of the expiration of the Lease. Notwithstanding anything to the contrary contained herein or in the Lease, Tenant shall not be required to remove any permanent Alterations or improvements existing in the Tenth Amendment Surrender Premises as of the date of this Tenth Amendment on or before the Surrender Date. From and after the Surrender Date, Tenant shall have no further rights of any kind with respect to the Tenth Amendment Surrender Premises. Notwithstanding the foregoing, those provisions of the Lease which, by their terms, survive the termination of the Lease shall survive the surrender of the Tenth Amendment Surrender Premises and termination of the Lease with respect to the Tenth Amendment Surrender Premises as provided for herein. Nothing herein shall excuse Landlord or Tenant from its obligations under the Lease with respect to the Tenth Amendment Surrender Premises prior to the Surrender Date.</w:t>
      </w:r>
    </w:p>
    <w:p>
      <w:pPr>
        <w:spacing w:after="0" w:line="200" w:lineRule="exact"/>
        <w:rPr>
          <w:sz w:val="20"/>
          <w:szCs w:val="20"/>
          <w:color w:val="auto"/>
        </w:rPr>
      </w:pP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color w:val="auto"/>
        </w:rPr>
        <w:t>732957920.2</w:t>
      </w:r>
      <w:r>
        <w:rPr>
          <w:sz w:val="20"/>
          <w:szCs w:val="20"/>
          <w:color w:val="auto"/>
        </w:rPr>
        <w:tab/>
      </w:r>
      <w:r>
        <w:rPr>
          <w:rFonts w:ascii="Arial" w:cs="Arial" w:eastAsia="Arial" w:hAnsi="Arial"/>
          <w:sz w:val="17"/>
          <w:szCs w:val="17"/>
          <w:color w:val="auto"/>
        </w:rPr>
        <w:t>1</w:t>
      </w:r>
    </w:p>
    <w:p>
      <w:pPr>
        <w:sectPr>
          <w:pgSz w:w="11900" w:h="16838" w:orient="portrait"/>
          <w:cols w:equalWidth="0" w:num="1">
            <w:col w:w="11420"/>
          </w:cols>
          <w:pgMar w:left="240" w:top="576" w:right="239" w:bottom="1440" w:gutter="0" w:footer="0" w:header="0"/>
        </w:sectPr>
      </w:pPr>
    </w:p>
    <w:bookmarkStart w:id="60" w:name="page61"/>
    <w:bookmarkEnd w:id="60"/>
    <w:p>
      <w:pPr>
        <w:ind w:left="660" w:hanging="652"/>
        <w:spacing w:after="0" w:line="287"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 of Premises</w:t>
      </w:r>
      <w:r>
        <w:rPr>
          <w:rFonts w:ascii="Arial" w:cs="Arial" w:eastAsia="Arial" w:hAnsi="Arial"/>
          <w:sz w:val="18"/>
          <w:szCs w:val="18"/>
          <w:color w:val="auto"/>
        </w:rPr>
        <w:t>. Commencing on August 1, 2019, the defined terms “</w:t>
      </w:r>
      <w:r>
        <w:rPr>
          <w:rFonts w:ascii="Arial" w:cs="Arial" w:eastAsia="Arial" w:hAnsi="Arial"/>
          <w:sz w:val="18"/>
          <w:szCs w:val="18"/>
          <w:b w:val="1"/>
          <w:bCs w:val="1"/>
          <w:color w:val="auto"/>
        </w:rPr>
        <w:t>Premises</w:t>
      </w:r>
      <w:r>
        <w:rPr>
          <w:rFonts w:ascii="Arial" w:cs="Arial" w:eastAsia="Arial" w:hAnsi="Arial"/>
          <w:sz w:val="18"/>
          <w:szCs w:val="18"/>
          <w:color w:val="auto"/>
        </w:rPr>
        <w:t>” and “</w:t>
      </w:r>
      <w:r>
        <w:rPr>
          <w:rFonts w:ascii="Arial" w:cs="Arial" w:eastAsia="Arial" w:hAnsi="Arial"/>
          <w:sz w:val="18"/>
          <w:szCs w:val="18"/>
          <w:b w:val="1"/>
          <w:bCs w:val="1"/>
          <w:color w:val="auto"/>
        </w:rPr>
        <w:t>Rentable Area of Premises</w:t>
      </w:r>
      <w:r>
        <w:rPr>
          <w:rFonts w:ascii="Arial" w:cs="Arial" w:eastAsia="Arial" w:hAnsi="Arial"/>
          <w:sz w:val="18"/>
          <w:szCs w:val="18"/>
          <w:color w:val="auto"/>
        </w:rPr>
        <w:t>” on Page 1</w:t>
      </w:r>
      <w:r>
        <w:rPr>
          <w:rFonts w:ascii="Arial" w:cs="Arial" w:eastAsia="Arial" w:hAnsi="Arial"/>
          <w:sz w:val="18"/>
          <w:szCs w:val="18"/>
          <w:b w:val="1"/>
          <w:bCs w:val="1"/>
          <w:color w:val="auto"/>
        </w:rPr>
        <w:t xml:space="preserve"> </w:t>
      </w:r>
      <w:r>
        <w:rPr>
          <w:rFonts w:ascii="Arial" w:cs="Arial" w:eastAsia="Arial" w:hAnsi="Arial"/>
          <w:sz w:val="18"/>
          <w:szCs w:val="18"/>
          <w:color w:val="auto"/>
        </w:rPr>
        <w:t>and Page 2 of the Lease, respectively, are deleted in their entirety and replaced with the following:</w:t>
      </w:r>
    </w:p>
    <w:p>
      <w:pPr>
        <w:spacing w:after="0" w:line="153"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That portion of the Project, containing approximately 68,568 rentable square feet (“</w:t>
      </w:r>
      <w:r>
        <w:rPr>
          <w:rFonts w:ascii="Arial" w:cs="Arial" w:eastAsia="Arial" w:hAnsi="Arial"/>
          <w:sz w:val="18"/>
          <w:szCs w:val="18"/>
          <w:b w:val="1"/>
          <w:bCs w:val="1"/>
          <w:color w:val="auto"/>
        </w:rPr>
        <w:t>RSF</w:t>
      </w:r>
      <w:r>
        <w:rPr>
          <w:rFonts w:ascii="Arial" w:cs="Arial" w:eastAsia="Arial" w:hAnsi="Arial"/>
          <w:sz w:val="18"/>
          <w:szCs w:val="18"/>
          <w:color w:val="auto"/>
        </w:rPr>
        <w:t>”), consisting of (i) approximately 29,228 rentable square feet (the “</w:t>
      </w:r>
      <w:r>
        <w:rPr>
          <w:rFonts w:ascii="Arial" w:cs="Arial" w:eastAsia="Arial" w:hAnsi="Arial"/>
          <w:sz w:val="18"/>
          <w:szCs w:val="18"/>
          <w:b w:val="1"/>
          <w:bCs w:val="1"/>
          <w:color w:val="auto"/>
        </w:rPr>
        <w:t>Original Premises</w:t>
      </w:r>
      <w:r>
        <w:rPr>
          <w:rFonts w:ascii="Arial" w:cs="Arial" w:eastAsia="Arial" w:hAnsi="Arial"/>
          <w:sz w:val="18"/>
          <w:szCs w:val="18"/>
          <w:color w:val="auto"/>
        </w:rPr>
        <w:t>”), (ii) approximately 19,177 rentable square feet (“</w:t>
      </w:r>
      <w:r>
        <w:rPr>
          <w:rFonts w:ascii="Arial" w:cs="Arial" w:eastAsia="Arial" w:hAnsi="Arial"/>
          <w:sz w:val="18"/>
          <w:szCs w:val="18"/>
          <w:b w:val="1"/>
          <w:bCs w:val="1"/>
          <w:color w:val="auto"/>
        </w:rPr>
        <w:t>Expansion</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w:t>
      </w:r>
      <w:r>
        <w:rPr>
          <w:rFonts w:ascii="Arial" w:cs="Arial" w:eastAsia="Arial" w:hAnsi="Arial"/>
          <w:sz w:val="18"/>
          <w:szCs w:val="18"/>
          <w:color w:val="auto"/>
        </w:rPr>
        <w:t>”), (iii) approximately 6,048 rentable square feet (“</w:t>
      </w:r>
      <w:r>
        <w:rPr>
          <w:rFonts w:ascii="Arial" w:cs="Arial" w:eastAsia="Arial" w:hAnsi="Arial"/>
          <w:sz w:val="18"/>
          <w:szCs w:val="18"/>
          <w:b w:val="1"/>
          <w:bCs w:val="1"/>
          <w:color w:val="auto"/>
        </w:rPr>
        <w:t>Second Expansion Premises</w:t>
      </w:r>
      <w:r>
        <w:rPr>
          <w:rFonts w:ascii="Arial" w:cs="Arial" w:eastAsia="Arial" w:hAnsi="Arial"/>
          <w:sz w:val="18"/>
          <w:szCs w:val="18"/>
          <w:color w:val="auto"/>
        </w:rPr>
        <w:t>”), (iv) approximately 3,334 rentable square</w:t>
      </w:r>
      <w:r>
        <w:rPr>
          <w:rFonts w:ascii="Arial" w:cs="Arial" w:eastAsia="Arial" w:hAnsi="Arial"/>
          <w:sz w:val="18"/>
          <w:szCs w:val="18"/>
          <w:b w:val="1"/>
          <w:bCs w:val="1"/>
          <w:color w:val="auto"/>
        </w:rPr>
        <w:t xml:space="preserve"> </w:t>
      </w:r>
      <w:r>
        <w:rPr>
          <w:rFonts w:ascii="Arial" w:cs="Arial" w:eastAsia="Arial" w:hAnsi="Arial"/>
          <w:sz w:val="18"/>
          <w:szCs w:val="18"/>
          <w:color w:val="auto"/>
        </w:rPr>
        <w:t>feet (“</w:t>
      </w:r>
      <w:r>
        <w:rPr>
          <w:rFonts w:ascii="Arial" w:cs="Arial" w:eastAsia="Arial" w:hAnsi="Arial"/>
          <w:sz w:val="18"/>
          <w:szCs w:val="18"/>
          <w:b w:val="1"/>
          <w:bCs w:val="1"/>
          <w:color w:val="auto"/>
        </w:rPr>
        <w:t>Third Expansion Premises</w:t>
      </w:r>
      <w:r>
        <w:rPr>
          <w:rFonts w:ascii="Arial" w:cs="Arial" w:eastAsia="Arial" w:hAnsi="Arial"/>
          <w:sz w:val="18"/>
          <w:szCs w:val="18"/>
          <w:color w:val="auto"/>
        </w:rPr>
        <w:t>”), and (v) approximately 10,781 rentable square feet (“</w:t>
      </w:r>
      <w:r>
        <w:rPr>
          <w:rFonts w:ascii="Arial" w:cs="Arial" w:eastAsia="Arial" w:hAnsi="Arial"/>
          <w:sz w:val="18"/>
          <w:szCs w:val="18"/>
          <w:b w:val="1"/>
          <w:bCs w:val="1"/>
          <w:color w:val="auto"/>
        </w:rPr>
        <w:t>Fourth Expansion Premises</w:t>
      </w:r>
      <w:r>
        <w:rPr>
          <w:rFonts w:ascii="Arial" w:cs="Arial" w:eastAsia="Arial" w:hAnsi="Arial"/>
          <w:sz w:val="18"/>
          <w:szCs w:val="18"/>
          <w:color w:val="auto"/>
        </w:rPr>
        <w:t xml:space="preserve">”), all as determined by Landlord, as shown on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Rentable Area of Premises</w:t>
      </w:r>
      <w:r>
        <w:rPr>
          <w:rFonts w:ascii="Arial" w:cs="Arial" w:eastAsia="Arial" w:hAnsi="Arial"/>
          <w:sz w:val="18"/>
          <w:szCs w:val="18"/>
          <w:color w:val="auto"/>
        </w:rPr>
        <w:t>: 68,568 RSF”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Commencing on August 1, 2019,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of the Lease shall be amended to delete the Surrender Premises.</w:t>
      </w:r>
    </w:p>
    <w:p>
      <w:pPr>
        <w:spacing w:after="0" w:line="225" w:lineRule="exact"/>
        <w:rPr>
          <w:sz w:val="20"/>
          <w:szCs w:val="20"/>
          <w:color w:val="auto"/>
        </w:rPr>
      </w:pPr>
    </w:p>
    <w:p>
      <w:pPr>
        <w:jc w:val="both"/>
        <w:ind w:left="660" w:hanging="652"/>
        <w:spacing w:after="0" w:line="269"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Tenant shall continue to pay Base Rent for the entire Premises (including the Tenth Amendment Surrender Premises)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under the Lease through the Surrender Date. Commencing on August 1, 2019, Tenant shall no longer be required to pay Base Rent with respect to the Tenth Amendment Surrender Premises.</w:t>
      </w:r>
    </w:p>
    <w:p>
      <w:pPr>
        <w:spacing w:after="0" w:line="168" w:lineRule="exact"/>
        <w:rPr>
          <w:rFonts w:ascii="Arial" w:cs="Arial" w:eastAsia="Arial" w:hAnsi="Arial"/>
          <w:sz w:val="18"/>
          <w:szCs w:val="18"/>
          <w:b w:val="1"/>
          <w:bCs w:val="1"/>
          <w:color w:val="auto"/>
        </w:rPr>
      </w:pPr>
    </w:p>
    <w:p>
      <w:pPr>
        <w:jc w:val="both"/>
        <w:ind w:left="660" w:hanging="652"/>
        <w:spacing w:after="0" w:line="262"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Tenant’s Share of Operating Expenses</w:t>
      </w:r>
      <w:r>
        <w:rPr>
          <w:rFonts w:ascii="Arial" w:cs="Arial" w:eastAsia="Arial" w:hAnsi="Arial"/>
          <w:sz w:val="18"/>
          <w:szCs w:val="18"/>
          <w:color w:val="auto"/>
        </w:rPr>
        <w:t>. Commencing on August 1, 2019, Tenant’s Share of Operating Expenses payable by Tenant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Lease shall be decreased by an amount equal to 4.08% and Tenant shall no longer be required to pay Operating Expenses with respect to the Tenth Amendment Surrender Premises, and commencing on August 1, 2019, the total Tenant’s Share of Operating Expenses which shall be payable by Tenant under the Lease shall be equal to 50.27%.</w:t>
      </w:r>
    </w:p>
    <w:p>
      <w:pPr>
        <w:spacing w:after="0" w:line="176" w:lineRule="exact"/>
        <w:rPr>
          <w:rFonts w:ascii="Arial" w:cs="Arial" w:eastAsia="Arial" w:hAnsi="Arial"/>
          <w:sz w:val="18"/>
          <w:szCs w:val="18"/>
          <w:b w:val="1"/>
          <w:bCs w:val="1"/>
          <w:color w:val="auto"/>
        </w:rPr>
      </w:pPr>
    </w:p>
    <w:p>
      <w:pPr>
        <w:jc w:val="both"/>
        <w:ind w:left="660" w:hanging="652"/>
        <w:spacing w:after="0" w:line="250"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Surrender of Remaining Premises</w:t>
      </w:r>
      <w:r>
        <w:rPr>
          <w:rFonts w:ascii="Arial" w:cs="Arial" w:eastAsia="Arial" w:hAnsi="Arial"/>
          <w:sz w:val="18"/>
          <w:szCs w:val="18"/>
          <w:color w:val="auto"/>
        </w:rPr>
        <w:t>. The Lease with respect to the remaining Premises shall terminate as provided for in the Lease on</w:t>
      </w:r>
      <w:r>
        <w:rPr>
          <w:rFonts w:ascii="Arial" w:cs="Arial" w:eastAsia="Arial" w:hAnsi="Arial"/>
          <w:sz w:val="18"/>
          <w:szCs w:val="18"/>
          <w:b w:val="1"/>
          <w:bCs w:val="1"/>
          <w:color w:val="auto"/>
        </w:rPr>
        <w:t xml:space="preserve"> </w:t>
      </w:r>
      <w:r>
        <w:rPr>
          <w:rFonts w:ascii="Arial" w:cs="Arial" w:eastAsia="Arial" w:hAnsi="Arial"/>
          <w:sz w:val="18"/>
          <w:szCs w:val="18"/>
          <w:color w:val="auto"/>
        </w:rPr>
        <w:t>the Early Termination Date. Tenant shall voluntarily surrender the remaining Premises on such date in accordance with all surrender requirements contained in the Lease and in the condition in which Tenant is required to surrender the Premises as of the expiration of the Lease. Notwithstanding the foregoing or anything to the contrary contained in the Lease, (a) Tenant may remove the UPS unit from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floor of the Premises and the lab storage cabinets from the 3</w:t>
      </w:r>
      <w:r>
        <w:rPr>
          <w:rFonts w:ascii="Arial" w:cs="Arial" w:eastAsia="Arial" w:hAnsi="Arial"/>
          <w:sz w:val="21"/>
          <w:szCs w:val="21"/>
          <w:color w:val="auto"/>
          <w:vertAlign w:val="superscript"/>
        </w:rPr>
        <w:t>rd</w:t>
      </w:r>
      <w:r>
        <w:rPr>
          <w:rFonts w:ascii="Arial" w:cs="Arial" w:eastAsia="Arial" w:hAnsi="Arial"/>
          <w:sz w:val="18"/>
          <w:szCs w:val="18"/>
          <w:color w:val="auto"/>
        </w:rPr>
        <w:t xml:space="preserve"> floor laboratory portion of the Premises on or before the Early Termination Date, and (b) Tenant shall not be required to remove any permanent Alterations or improvements existing in the remaining Premises as of the date of this Tenth Amendment on or before the Early Termination Date. From and after the Early Termination Date, Tenant shall have no further rights of any kind with respect to the Premises. Notwithstanding the foregoing, those provisions of the Lease which, by their terms, survive the termination of the Lease shall survive the surrender of the remaining Premises and termination of the Lease as provided for herein. Nothing herein shall excuse Landlord or Tenant from its obligations under the Lease with respect to the remaining Premises prior to the Early Termination Date.</w:t>
      </w:r>
    </w:p>
    <w:p>
      <w:pPr>
        <w:spacing w:after="0" w:line="185" w:lineRule="exact"/>
        <w:rPr>
          <w:rFonts w:ascii="Arial" w:cs="Arial" w:eastAsia="Arial" w:hAnsi="Arial"/>
          <w:sz w:val="18"/>
          <w:szCs w:val="18"/>
          <w:b w:val="1"/>
          <w:bCs w:val="1"/>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660" w:hanging="652"/>
        <w:spacing w:after="0" w:line="257"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Landlord and Tenant each represents and warrants that it has not dealt with any broker, agent or other person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the transaction reflected in this Tenth Amendment, other than Savills Studley. Landlord and Tenant each hereby agrees to indemnify and hold the other harmless from and against any claims by any Broker claiming a commission or other form of compensation by virtue of having dealt with Tenant or Landlord, as applicable, with regard to this leasing transaction. Tenant hereby acknowledges that Landlord shall not be obligated to pay either Savills Studley any commission or other form of compensation due to this Tenth</w:t>
      </w:r>
    </w:p>
    <w:p>
      <w:pPr>
        <w:spacing w:after="0" w:line="200" w:lineRule="exact"/>
        <w:rPr>
          <w:sz w:val="20"/>
          <w:szCs w:val="20"/>
          <w:color w:val="auto"/>
        </w:rPr>
      </w:pP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color w:val="auto"/>
        </w:rPr>
        <w:t>732957920.2</w:t>
      </w:r>
      <w:r>
        <w:rPr>
          <w:sz w:val="20"/>
          <w:szCs w:val="20"/>
          <w:color w:val="auto"/>
        </w:rPr>
        <w:tab/>
      </w:r>
      <w:r>
        <w:rPr>
          <w:rFonts w:ascii="Arial" w:cs="Arial" w:eastAsia="Arial" w:hAnsi="Arial"/>
          <w:sz w:val="17"/>
          <w:szCs w:val="17"/>
          <w:color w:val="auto"/>
        </w:rPr>
        <w:t>2</w:t>
      </w:r>
    </w:p>
    <w:p>
      <w:pPr>
        <w:sectPr>
          <w:pgSz w:w="11900" w:h="16838" w:orient="portrait"/>
          <w:cols w:equalWidth="0" w:num="1">
            <w:col w:w="11420"/>
          </w:cols>
          <w:pgMar w:left="240" w:top="576" w:right="239" w:bottom="1440" w:gutter="0" w:footer="0" w:header="0"/>
        </w:sectPr>
      </w:pPr>
    </w:p>
    <w:bookmarkStart w:id="61" w:name="page62"/>
    <w:bookmarkEnd w:id="61"/>
    <w:p>
      <w:pPr>
        <w:ind w:left="660"/>
        <w:spacing w:after="0" w:line="309" w:lineRule="auto"/>
        <w:rPr>
          <w:sz w:val="20"/>
          <w:szCs w:val="20"/>
          <w:color w:val="auto"/>
        </w:rPr>
      </w:pPr>
      <w:r>
        <w:rPr>
          <w:rFonts w:ascii="Arial" w:cs="Arial" w:eastAsia="Arial" w:hAnsi="Arial"/>
          <w:sz w:val="18"/>
          <w:szCs w:val="18"/>
          <w:color w:val="auto"/>
        </w:rPr>
        <w:t>Amendment and Tenant shall indemnify, defend and hold Landlord harmless from either Savills Studley demanding a commission or other form of compensation as a result of this Tenth Amendment.</w:t>
      </w:r>
    </w:p>
    <w:p>
      <w:pPr>
        <w:spacing w:after="0" w:line="147" w:lineRule="exact"/>
        <w:rPr>
          <w:sz w:val="20"/>
          <w:szCs w:val="20"/>
          <w:color w:val="auto"/>
        </w:rPr>
      </w:pPr>
    </w:p>
    <w:p>
      <w:pPr>
        <w:jc w:val="both"/>
        <w:ind w:left="660" w:hanging="652"/>
        <w:spacing w:after="0" w:line="251"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California Accessibility Disclosure</w:t>
      </w:r>
      <w:r>
        <w:rPr>
          <w:rFonts w:ascii="Arial" w:cs="Arial" w:eastAsia="Arial" w:hAnsi="Arial"/>
          <w:sz w:val="18"/>
          <w:szCs w:val="18"/>
          <w:color w:val="auto"/>
        </w:rPr>
        <w:t>. For purposes of Section 1938(a) of the California Civil Code, Landlord hereby discloses to</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and Tenant hereby acknowledges, that the Project has not undergone inspection by a Certified Access Specialist (CASp). In addition, the following notice is hereby provided pursuant to Section 1938(e) of the California Civil Code: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and in connection with such notice: (i) Tenant, having read such notice and understanding Tenant’s right to request and obtain a CASp inspection, hereby elects not to obtain such CASp inspection and forever waives its rights to obtain a CASp inspection with respect to the Premises, Building and/or Project to the extent permitted by Legal Requirements; and (ii) if the waiver set forth in clause (i) hereinabove is not enforceable pursuant to Legal Requirements, then Landlord and Tenant hereby agree as follows (which constitute the mutual agreement of the parties as to the matters described in the last sentence of the foregoing notice): (A) Tenant shall have the one-time right to request for and obtain a CASp inspection, which request must be made, if at all, in a written notice delivered by Tenant to Landlord; (B) any CASp inspection timely requested by Tenant shall be conducted (1) at a time mutually agreed to by Landlord and Tenant, (2) in a professional manner by a CASp designated by Landlord and without any testing that would damage the Premises, Building or Project in any way, and (3) at Tenant’s sole cost and expense, including, without limitation, Tenant’s payment of the fee for such CASp inspection, the fee for any reports prepared by the CASp in connection with such CASp inspection (collectively, the “</w:t>
      </w:r>
      <w:r>
        <w:rPr>
          <w:rFonts w:ascii="Arial" w:cs="Arial" w:eastAsia="Arial" w:hAnsi="Arial"/>
          <w:sz w:val="18"/>
          <w:szCs w:val="18"/>
          <w:b w:val="1"/>
          <w:bCs w:val="1"/>
          <w:color w:val="auto"/>
        </w:rPr>
        <w:t>CASp Reports</w:t>
      </w:r>
      <w:r>
        <w:rPr>
          <w:rFonts w:ascii="Arial" w:cs="Arial" w:eastAsia="Arial" w:hAnsi="Arial"/>
          <w:sz w:val="18"/>
          <w:szCs w:val="18"/>
          <w:color w:val="auto"/>
        </w:rPr>
        <w:t>”) and all other costs and expenses in connection therewith; (C) the CASp Reports shall be delivered by the CASp simultaneously to Landlord and Tenant; (D) Tenant, at its sole cost and expense, shall be responsible for making any improvements, alterations, modifications and/or repairs to or within the Premises to correct violations of construction-related accessibility standards including, without limitation, any violations disclosed by such CASp inspection; and (E) if such CASp inspection identifies any improvements, alterations, modifications and/or repairs necessary to correct violations of construction-related accessibility standards relating to those items of the Building and Project located outside the Premises that are Landlord’s obligation to repair as set forth in the Lease, then Landlord shall perform such improvements, alterations, modifications and/or repairs as and to the extent required by Legal Requirements to correct such violations, and Tenant shall reimburse Landlord for the cost of such improvements, alterations, modifications and/or repairs within 10 business days after Tenant’s receipt of an invoice therefor from Landlord.</w:t>
      </w:r>
    </w:p>
    <w:p>
      <w:pPr>
        <w:spacing w:after="0" w:line="205" w:lineRule="exact"/>
        <w:rPr>
          <w:rFonts w:ascii="Arial" w:cs="Arial" w:eastAsia="Arial" w:hAnsi="Arial"/>
          <w:sz w:val="18"/>
          <w:szCs w:val="18"/>
          <w:b w:val="1"/>
          <w:bCs w:val="1"/>
          <w:color w:val="auto"/>
        </w:rPr>
      </w:pPr>
    </w:p>
    <w:p>
      <w:pPr>
        <w:jc w:val="both"/>
        <w:ind w:left="660" w:hanging="652"/>
        <w:spacing w:after="0" w:line="256"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Tenant is currently (a) in compliance with and shall at all times during the Term of the Lease remain in compliance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the Lease be listed on, the Specially Designated Nationals and 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200" w:lineRule="exact"/>
        <w:rPr>
          <w:sz w:val="20"/>
          <w:szCs w:val="20"/>
          <w:color w:val="auto"/>
        </w:rPr>
      </w:pP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color w:val="auto"/>
        </w:rPr>
        <w:t>732957920.2</w:t>
      </w:r>
      <w:r>
        <w:rPr>
          <w:sz w:val="20"/>
          <w:szCs w:val="20"/>
          <w:color w:val="auto"/>
        </w:rPr>
        <w:tab/>
      </w:r>
      <w:r>
        <w:rPr>
          <w:rFonts w:ascii="Arial" w:cs="Arial" w:eastAsia="Arial" w:hAnsi="Arial"/>
          <w:sz w:val="17"/>
          <w:szCs w:val="17"/>
          <w:color w:val="auto"/>
        </w:rPr>
        <w:t>3</w:t>
      </w:r>
    </w:p>
    <w:p>
      <w:pPr>
        <w:sectPr>
          <w:pgSz w:w="11900" w:h="16838" w:orient="portrait"/>
          <w:cols w:equalWidth="0" w:num="1">
            <w:col w:w="11420"/>
          </w:cols>
          <w:pgMar w:left="240" w:top="625" w:right="239" w:bottom="1440" w:gutter="0" w:footer="0" w:header="0"/>
        </w:sectPr>
      </w:pPr>
    </w:p>
    <w:bookmarkStart w:id="62" w:name="page63"/>
    <w:bookmarkEnd w:id="62"/>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47" w:lineRule="exact"/>
        <w:rPr>
          <w:rFonts w:ascii="Arial" w:cs="Arial" w:eastAsia="Arial" w:hAnsi="Arial"/>
          <w:sz w:val="18"/>
          <w:szCs w:val="18"/>
          <w:b w:val="1"/>
          <w:bCs w:val="1"/>
          <w:color w:val="auto"/>
        </w:rPr>
      </w:pPr>
    </w:p>
    <w:p>
      <w:pPr>
        <w:jc w:val="both"/>
        <w:ind w:left="660" w:hanging="4"/>
        <w:spacing w:after="0" w:line="256" w:lineRule="auto"/>
        <w:tabs>
          <w:tab w:leader="none" w:pos="1031" w:val="left"/>
        </w:tabs>
        <w:numPr>
          <w:ilvl w:val="1"/>
          <w:numId w:val="26"/>
        </w:numPr>
        <w:rPr>
          <w:rFonts w:ascii="Arial" w:cs="Arial" w:eastAsia="Arial" w:hAnsi="Arial"/>
          <w:sz w:val="18"/>
          <w:szCs w:val="18"/>
          <w:b w:val="1"/>
          <w:bCs w:val="1"/>
          <w:color w:val="auto"/>
        </w:rPr>
      </w:pPr>
      <w:r>
        <w:rPr>
          <w:rFonts w:ascii="Arial" w:cs="Arial" w:eastAsia="Arial" w:hAnsi="Arial"/>
          <w:sz w:val="18"/>
          <w:szCs w:val="18"/>
          <w:color w:val="auto"/>
        </w:rPr>
        <w:t>This Tenth Amendment is the entire agreement between the parties with respect to the subject matter hereof and supersedes all prior and contemporaneous oral and written agreements and discussions. This Tenth Amendment may be amended only by an agreement in writing, signed by the parties hereto.</w:t>
      </w:r>
    </w:p>
    <w:p>
      <w:pPr>
        <w:spacing w:after="0" w:line="201" w:lineRule="exact"/>
        <w:rPr>
          <w:rFonts w:ascii="Arial" w:cs="Arial" w:eastAsia="Arial" w:hAnsi="Arial"/>
          <w:sz w:val="18"/>
          <w:szCs w:val="18"/>
          <w:b w:val="1"/>
          <w:bCs w:val="1"/>
          <w:color w:val="auto"/>
        </w:rPr>
      </w:pPr>
    </w:p>
    <w:p>
      <w:pPr>
        <w:ind w:left="1000" w:hanging="344"/>
        <w:spacing w:after="0"/>
        <w:tabs>
          <w:tab w:leader="none" w:pos="1000" w:val="left"/>
        </w:tabs>
        <w:numPr>
          <w:ilvl w:val="1"/>
          <w:numId w:val="26"/>
        </w:numPr>
        <w:rPr>
          <w:rFonts w:ascii="Arial" w:cs="Arial" w:eastAsia="Arial" w:hAnsi="Arial"/>
          <w:sz w:val="17"/>
          <w:szCs w:val="17"/>
          <w:b w:val="1"/>
          <w:bCs w:val="1"/>
          <w:color w:val="auto"/>
        </w:rPr>
      </w:pPr>
      <w:r>
        <w:rPr>
          <w:rFonts w:ascii="Arial" w:cs="Arial" w:eastAsia="Arial" w:hAnsi="Arial"/>
          <w:sz w:val="17"/>
          <w:szCs w:val="17"/>
          <w:color w:val="auto"/>
        </w:rPr>
        <w:t>This Tenth Amendment is binding upon and shall inure to the benefit of the parties hereto, their respective successors and assigns.</w:t>
      </w:r>
    </w:p>
    <w:p>
      <w:pPr>
        <w:spacing w:after="0" w:line="236" w:lineRule="exact"/>
        <w:rPr>
          <w:rFonts w:ascii="Arial" w:cs="Arial" w:eastAsia="Arial" w:hAnsi="Arial"/>
          <w:sz w:val="17"/>
          <w:szCs w:val="17"/>
          <w:b w:val="1"/>
          <w:bCs w:val="1"/>
          <w:color w:val="auto"/>
        </w:rPr>
      </w:pPr>
    </w:p>
    <w:p>
      <w:pPr>
        <w:jc w:val="both"/>
        <w:ind w:left="660" w:hanging="4"/>
        <w:spacing w:after="0" w:line="252" w:lineRule="auto"/>
        <w:tabs>
          <w:tab w:leader="none" w:pos="1044" w:val="left"/>
        </w:tabs>
        <w:numPr>
          <w:ilvl w:val="1"/>
          <w:numId w:val="26"/>
        </w:numPr>
        <w:rPr>
          <w:rFonts w:ascii="Arial" w:cs="Arial" w:eastAsia="Arial" w:hAnsi="Arial"/>
          <w:sz w:val="18"/>
          <w:szCs w:val="18"/>
          <w:b w:val="1"/>
          <w:bCs w:val="1"/>
          <w:color w:val="auto"/>
        </w:rPr>
      </w:pPr>
      <w:r>
        <w:rPr>
          <w:rFonts w:ascii="Arial" w:cs="Arial" w:eastAsia="Arial" w:hAnsi="Arial"/>
          <w:sz w:val="18"/>
          <w:szCs w:val="18"/>
          <w:color w:val="auto"/>
        </w:rPr>
        <w:t>This Tenth Amendment may be executed in two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Tenth Amendment and all matters related thereto, with such electronic signatures having the same legal effect as original signatures.</w:t>
      </w:r>
    </w:p>
    <w:p>
      <w:pPr>
        <w:spacing w:after="0" w:line="208" w:lineRule="exact"/>
        <w:rPr>
          <w:rFonts w:ascii="Arial" w:cs="Arial" w:eastAsia="Arial" w:hAnsi="Arial"/>
          <w:sz w:val="18"/>
          <w:szCs w:val="18"/>
          <w:b w:val="1"/>
          <w:bCs w:val="1"/>
          <w:color w:val="auto"/>
        </w:rPr>
      </w:pPr>
    </w:p>
    <w:p>
      <w:pPr>
        <w:jc w:val="both"/>
        <w:ind w:left="660" w:hanging="4"/>
        <w:spacing w:after="0" w:line="253" w:lineRule="auto"/>
        <w:tabs>
          <w:tab w:leader="none" w:pos="1041" w:val="left"/>
        </w:tabs>
        <w:numPr>
          <w:ilvl w:val="1"/>
          <w:numId w:val="26"/>
        </w:numPr>
        <w:rPr>
          <w:rFonts w:ascii="Arial" w:cs="Arial" w:eastAsia="Arial" w:hAnsi="Arial"/>
          <w:sz w:val="18"/>
          <w:szCs w:val="18"/>
          <w:b w:val="1"/>
          <w:bCs w:val="1"/>
          <w:color w:val="auto"/>
        </w:rPr>
      </w:pPr>
      <w:r>
        <w:rPr>
          <w:rFonts w:ascii="Arial" w:cs="Arial" w:eastAsia="Arial" w:hAnsi="Arial"/>
          <w:sz w:val="18"/>
          <w:szCs w:val="18"/>
          <w:color w:val="auto"/>
        </w:rPr>
        <w:t>Except as amended and/or modified by this Tenth Amendment, the Lease is hereby ratified and confirmed and all other terms of the Lease shall remain in full force and effect, unaltered and unchanged by this Tenth Amendment. In the event of any conflict between the provisions of this Tenth Amendment and the provisions of the Lease, the provisions of this Tenth Amendment shall prevail. Whether or not specifically amended by this Tenth Amendment, all of the terms and provisions of the Lease are hereby amended to the extent necessary to give effect to the purpose and intent of this Tenth Amendment.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are on the next page]</w:t>
      </w:r>
    </w:p>
    <w:p>
      <w:pPr>
        <w:spacing w:after="0" w:line="274"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color w:val="auto"/>
        </w:rPr>
        <w:t>732957920.2</w:t>
      </w:r>
      <w:r>
        <w:rPr>
          <w:sz w:val="20"/>
          <w:szCs w:val="20"/>
          <w:color w:val="auto"/>
        </w:rPr>
        <w:tab/>
      </w:r>
      <w:r>
        <w:rPr>
          <w:rFonts w:ascii="Arial" w:cs="Arial" w:eastAsia="Arial" w:hAnsi="Arial"/>
          <w:sz w:val="17"/>
          <w:szCs w:val="17"/>
          <w:color w:val="auto"/>
        </w:rPr>
        <w:t>4</w:t>
      </w:r>
    </w:p>
    <w:p>
      <w:pPr>
        <w:sectPr>
          <w:pgSz w:w="11900" w:h="16838" w:orient="portrait"/>
          <w:cols w:equalWidth="0" w:num="1">
            <w:col w:w="11420"/>
          </w:cols>
          <w:pgMar w:left="240" w:top="576"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Tenth Amendment as of the day and year first above written.</w:t>
      </w:r>
    </w:p>
    <w:p>
      <w:pPr>
        <w:spacing w:after="0" w:line="23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LANDLORD:</w:t>
        <w:tab/>
        <w:t>ARE-SAN FRANCISCO NO. 17, LLC</w:t>
      </w:r>
      <w:r>
        <w:rPr>
          <w:rFonts w:ascii="Arial" w:cs="Arial" w:eastAsia="Arial" w:hAnsi="Arial"/>
          <w:sz w:val="18"/>
          <w:szCs w:val="18"/>
          <w:color w:val="auto"/>
        </w:rPr>
        <w:t>,</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 Delaware limited liability company</w:t>
      </w:r>
    </w:p>
    <w:p>
      <w:pPr>
        <w:spacing w:after="0" w:line="225"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ALEXANDRIA REAL ESTATE EQUITIES, L.P.,</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6060" w:type="dxa"/>
            <w:vAlign w:val="bottom"/>
            <w:gridSpan w:val="8"/>
          </w:tcPr>
          <w:p>
            <w:pPr>
              <w:ind w:left="1760"/>
              <w:spacing w:after="0"/>
              <w:rPr>
                <w:sz w:val="20"/>
                <w:szCs w:val="20"/>
                <w:color w:val="auto"/>
              </w:rPr>
            </w:pPr>
            <w:r>
              <w:rPr>
                <w:rFonts w:ascii="Arial" w:cs="Arial" w:eastAsia="Arial" w:hAnsi="Arial"/>
                <w:sz w:val="18"/>
                <w:szCs w:val="18"/>
                <w:color w:val="auto"/>
              </w:rPr>
              <w:t>a Delaware limited partnership,</w:t>
            </w:r>
          </w:p>
        </w:tc>
      </w:tr>
      <w:tr>
        <w:trPr>
          <w:trHeight w:val="217"/>
        </w:trPr>
        <w:tc>
          <w:tcPr>
            <w:tcW w:w="2340" w:type="dxa"/>
            <w:vAlign w:val="bottom"/>
          </w:tcPr>
          <w:p>
            <w:pPr>
              <w:spacing w:after="0"/>
              <w:rPr>
                <w:sz w:val="18"/>
                <w:szCs w:val="18"/>
                <w:color w:val="auto"/>
              </w:rPr>
            </w:pPr>
          </w:p>
        </w:tc>
        <w:tc>
          <w:tcPr>
            <w:tcW w:w="6060" w:type="dxa"/>
            <w:vAlign w:val="bottom"/>
            <w:gridSpan w:val="8"/>
          </w:tcPr>
          <w:p>
            <w:pPr>
              <w:ind w:left="1760"/>
              <w:spacing w:after="0"/>
              <w:rPr>
                <w:sz w:val="20"/>
                <w:szCs w:val="20"/>
                <w:color w:val="auto"/>
              </w:rPr>
            </w:pPr>
            <w:r>
              <w:rPr>
                <w:rFonts w:ascii="Arial" w:cs="Arial" w:eastAsia="Arial" w:hAnsi="Arial"/>
                <w:sz w:val="18"/>
                <w:szCs w:val="18"/>
                <w:color w:val="auto"/>
              </w:rPr>
              <w:t>managing member</w:t>
            </w:r>
          </w:p>
        </w:tc>
      </w:tr>
      <w:tr>
        <w:trPr>
          <w:trHeight w:val="431"/>
        </w:trPr>
        <w:tc>
          <w:tcPr>
            <w:tcW w:w="2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240" w:type="dxa"/>
            <w:vAlign w:val="bottom"/>
            <w:gridSpan w:val="7"/>
          </w:tcPr>
          <w:p>
            <w:pPr>
              <w:ind w:left="380"/>
              <w:spacing w:after="0"/>
              <w:rPr>
                <w:sz w:val="20"/>
                <w:szCs w:val="20"/>
                <w:color w:val="auto"/>
              </w:rPr>
            </w:pPr>
            <w:r>
              <w:rPr>
                <w:rFonts w:ascii="Arial" w:cs="Arial" w:eastAsia="Arial" w:hAnsi="Arial"/>
                <w:sz w:val="18"/>
                <w:szCs w:val="18"/>
                <w:color w:val="auto"/>
              </w:rPr>
              <w:t>By:  ARE-QRS CORP., a Maryland corporation,</w:t>
            </w:r>
          </w:p>
        </w:tc>
      </w:tr>
      <w:tr>
        <w:trPr>
          <w:trHeight w:val="217"/>
        </w:trPr>
        <w:tc>
          <w:tcPr>
            <w:tcW w:w="2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40" w:type="dxa"/>
            <w:vAlign w:val="bottom"/>
            <w:gridSpan w:val="7"/>
          </w:tcPr>
          <w:p>
            <w:pPr>
              <w:ind w:left="580"/>
              <w:spacing w:after="0"/>
              <w:rPr>
                <w:sz w:val="20"/>
                <w:szCs w:val="20"/>
                <w:color w:val="auto"/>
              </w:rPr>
            </w:pPr>
            <w:r>
              <w:rPr>
                <w:rFonts w:ascii="Arial" w:cs="Arial" w:eastAsia="Arial" w:hAnsi="Arial"/>
                <w:sz w:val="18"/>
                <w:szCs w:val="18"/>
                <w:color w:val="auto"/>
              </w:rPr>
              <w:t>general partner</w:t>
            </w:r>
          </w:p>
        </w:tc>
      </w:tr>
      <w:tr>
        <w:trPr>
          <w:trHeight w:val="608"/>
        </w:trPr>
        <w:tc>
          <w:tcPr>
            <w:tcW w:w="2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240" w:type="dxa"/>
            <w:vAlign w:val="bottom"/>
            <w:gridSpan w:val="7"/>
          </w:tcPr>
          <w:p>
            <w:pPr>
              <w:ind w:left="920"/>
              <w:spacing w:after="0"/>
              <w:rPr>
                <w:sz w:val="20"/>
                <w:szCs w:val="20"/>
                <w:color w:val="auto"/>
              </w:rPr>
            </w:pPr>
            <w:r>
              <w:rPr>
                <w:rFonts w:ascii="Arial" w:cs="Arial" w:eastAsia="Arial" w:hAnsi="Arial"/>
                <w:sz w:val="18"/>
                <w:szCs w:val="18"/>
                <w:color w:val="auto"/>
              </w:rPr>
              <w:t>By: /s/ Allison Grochola</w:t>
            </w:r>
          </w:p>
        </w:tc>
      </w:tr>
      <w:tr>
        <w:trPr>
          <w:trHeight w:val="20"/>
        </w:trPr>
        <w:tc>
          <w:tcPr>
            <w:tcW w:w="2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240" w:type="dxa"/>
            <w:vAlign w:val="bottom"/>
            <w:gridSpan w:val="7"/>
          </w:tcPr>
          <w:p>
            <w:pPr>
              <w:ind w:left="920"/>
              <w:spacing w:after="0" w:line="196" w:lineRule="exact"/>
              <w:rPr>
                <w:sz w:val="20"/>
                <w:szCs w:val="20"/>
                <w:color w:val="auto"/>
              </w:rPr>
            </w:pPr>
            <w:r>
              <w:rPr>
                <w:rFonts w:ascii="Arial" w:cs="Arial" w:eastAsia="Arial" w:hAnsi="Arial"/>
                <w:sz w:val="18"/>
                <w:szCs w:val="18"/>
                <w:color w:val="auto"/>
              </w:rPr>
              <w:t>Its: Vice President RE Legal Affairs</w:t>
            </w:r>
          </w:p>
        </w:tc>
      </w:tr>
      <w:tr>
        <w:trPr>
          <w:trHeight w:val="20"/>
        </w:trPr>
        <w:tc>
          <w:tcPr>
            <w:tcW w:w="2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668"/>
        </w:trPr>
        <w:tc>
          <w:tcPr>
            <w:tcW w:w="2340" w:type="dxa"/>
            <w:vAlign w:val="bottom"/>
          </w:tcPr>
          <w:p>
            <w:pPr>
              <w:spacing w:after="0"/>
              <w:rPr>
                <w:sz w:val="20"/>
                <w:szCs w:val="20"/>
                <w:color w:val="auto"/>
              </w:rPr>
            </w:pPr>
            <w:r>
              <w:rPr>
                <w:rFonts w:ascii="Arial" w:cs="Arial" w:eastAsia="Arial" w:hAnsi="Arial"/>
                <w:sz w:val="18"/>
                <w:szCs w:val="18"/>
                <w:b w:val="1"/>
                <w:bCs w:val="1"/>
                <w:color w:val="auto"/>
              </w:rPr>
              <w:t>TENANT:</w:t>
            </w:r>
          </w:p>
        </w:tc>
        <w:tc>
          <w:tcPr>
            <w:tcW w:w="6060" w:type="dxa"/>
            <w:vAlign w:val="bottom"/>
            <w:gridSpan w:val="8"/>
          </w:tcPr>
          <w:p>
            <w:pPr>
              <w:ind w:left="1560"/>
              <w:spacing w:after="0"/>
              <w:rPr>
                <w:sz w:val="20"/>
                <w:szCs w:val="20"/>
                <w:color w:val="auto"/>
              </w:rPr>
            </w:pPr>
            <w:r>
              <w:rPr>
                <w:rFonts w:ascii="Arial" w:cs="Arial" w:eastAsia="Arial" w:hAnsi="Arial"/>
                <w:sz w:val="18"/>
                <w:szCs w:val="18"/>
                <w:b w:val="1"/>
                <w:bCs w:val="1"/>
                <w:color w:val="auto"/>
              </w:rPr>
              <w:t>FLUIDIGM CORPORATION</w:t>
            </w:r>
            <w:r>
              <w:rPr>
                <w:rFonts w:ascii="Arial" w:cs="Arial" w:eastAsia="Arial" w:hAnsi="Arial"/>
                <w:sz w:val="18"/>
                <w:szCs w:val="18"/>
                <w:color w:val="auto"/>
              </w:rPr>
              <w:t>,</w:t>
            </w:r>
          </w:p>
        </w:tc>
      </w:tr>
      <w:tr>
        <w:trPr>
          <w:trHeight w:val="217"/>
        </w:trPr>
        <w:tc>
          <w:tcPr>
            <w:tcW w:w="2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40" w:type="dxa"/>
            <w:vAlign w:val="bottom"/>
            <w:gridSpan w:val="7"/>
          </w:tcPr>
          <w:p>
            <w:pPr>
              <w:ind w:left="1040"/>
              <w:spacing w:after="0"/>
              <w:rPr>
                <w:sz w:val="20"/>
                <w:szCs w:val="20"/>
                <w:color w:val="auto"/>
              </w:rPr>
            </w:pPr>
            <w:r>
              <w:rPr>
                <w:rFonts w:ascii="Arial" w:cs="Arial" w:eastAsia="Arial" w:hAnsi="Arial"/>
                <w:sz w:val="18"/>
                <w:szCs w:val="18"/>
                <w:color w:val="auto"/>
              </w:rPr>
              <w:t>a Delaware corporation</w:t>
            </w:r>
          </w:p>
        </w:tc>
      </w:tr>
      <w:tr>
        <w:trPr>
          <w:trHeight w:val="608"/>
        </w:trPr>
        <w:tc>
          <w:tcPr>
            <w:tcW w:w="2340" w:type="dxa"/>
            <w:vAlign w:val="bottom"/>
          </w:tcPr>
          <w:p>
            <w:pPr>
              <w:spacing w:after="0"/>
              <w:rPr>
                <w:sz w:val="24"/>
                <w:szCs w:val="24"/>
                <w:color w:val="auto"/>
              </w:rPr>
            </w:pPr>
          </w:p>
        </w:tc>
        <w:tc>
          <w:tcPr>
            <w:tcW w:w="6060" w:type="dxa"/>
            <w:vAlign w:val="bottom"/>
            <w:gridSpan w:val="8"/>
          </w:tcPr>
          <w:p>
            <w:pPr>
              <w:ind w:left="1560"/>
              <w:spacing w:after="0"/>
              <w:rPr>
                <w:sz w:val="20"/>
                <w:szCs w:val="20"/>
                <w:color w:val="auto"/>
              </w:rPr>
            </w:pPr>
            <w:r>
              <w:rPr>
                <w:rFonts w:ascii="Arial" w:cs="Arial" w:eastAsia="Arial" w:hAnsi="Arial"/>
                <w:sz w:val="18"/>
                <w:szCs w:val="18"/>
                <w:color w:val="auto"/>
              </w:rPr>
              <w:t>By: /s/ Nicholas Khadder</w:t>
            </w:r>
          </w:p>
        </w:tc>
      </w:tr>
      <w:tr>
        <w:trPr>
          <w:trHeight w:val="20"/>
        </w:trPr>
        <w:tc>
          <w:tcPr>
            <w:tcW w:w="2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8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r>
      <w:tr>
        <w:trPr>
          <w:trHeight w:val="196"/>
        </w:trPr>
        <w:tc>
          <w:tcPr>
            <w:tcW w:w="2340" w:type="dxa"/>
            <w:vAlign w:val="bottom"/>
          </w:tcPr>
          <w:p>
            <w:pPr>
              <w:spacing w:after="0"/>
              <w:rPr>
                <w:sz w:val="17"/>
                <w:szCs w:val="17"/>
                <w:color w:val="auto"/>
              </w:rPr>
            </w:pPr>
          </w:p>
        </w:tc>
        <w:tc>
          <w:tcPr>
            <w:tcW w:w="6060" w:type="dxa"/>
            <w:vAlign w:val="bottom"/>
            <w:gridSpan w:val="8"/>
          </w:tcPr>
          <w:p>
            <w:pPr>
              <w:ind w:left="1560"/>
              <w:spacing w:after="0" w:line="196" w:lineRule="exact"/>
              <w:rPr>
                <w:sz w:val="20"/>
                <w:szCs w:val="20"/>
                <w:color w:val="auto"/>
              </w:rPr>
            </w:pPr>
            <w:r>
              <w:rPr>
                <w:rFonts w:ascii="Arial" w:cs="Arial" w:eastAsia="Arial" w:hAnsi="Arial"/>
                <w:sz w:val="18"/>
                <w:szCs w:val="18"/>
                <w:color w:val="auto"/>
              </w:rPr>
              <w:t>Its: General Counsel</w:t>
            </w:r>
          </w:p>
        </w:tc>
      </w:tr>
      <w:tr>
        <w:trPr>
          <w:trHeight w:val="20"/>
        </w:trPr>
        <w:tc>
          <w:tcPr>
            <w:tcW w:w="2340" w:type="dxa"/>
            <w:vAlign w:val="bottom"/>
          </w:tcPr>
          <w:p>
            <w:pPr>
              <w:spacing w:after="0" w:line="20" w:lineRule="exact"/>
              <w:rPr>
                <w:sz w:val="1"/>
                <w:szCs w:val="1"/>
                <w:color w:val="auto"/>
              </w:rPr>
            </w:pPr>
          </w:p>
        </w:tc>
        <w:tc>
          <w:tcPr>
            <w:tcW w:w="182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u w:val="single" w:color="auto"/>
          <w:color w:val="auto"/>
        </w:rPr>
        <w:t>Tenth Amendment Surrender Premises</w:t>
      </w:r>
    </w:p>
    <w:p>
      <w:pPr>
        <w:spacing w:after="0" w:line="200" w:lineRule="exact"/>
        <w:rPr>
          <w:sz w:val="20"/>
          <w:szCs w:val="20"/>
          <w:color w:val="auto"/>
        </w:rPr>
      </w:pPr>
    </w:p>
    <w:p>
      <w:pPr>
        <w:spacing w:after="0" w:line="290"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color w:val="auto"/>
        </w:rPr>
        <w:t>732957920.2</w:t>
      </w:r>
      <w:r>
        <w:rPr>
          <w:sz w:val="20"/>
          <w:szCs w:val="20"/>
          <w:color w:val="auto"/>
        </w:rPr>
        <w:tab/>
      </w:r>
      <w:r>
        <w:rPr>
          <w:rFonts w:ascii="Arial" w:cs="Arial" w:eastAsia="Arial" w:hAnsi="Arial"/>
          <w:sz w:val="17"/>
          <w:szCs w:val="17"/>
          <w:color w:val="auto"/>
        </w:rPr>
        <w:t>5</w:t>
      </w:r>
    </w:p>
    <w:p>
      <w:pPr>
        <w:sectPr>
          <w:pgSz w:w="11900" w:h="16838" w:orient="portrait"/>
          <w:cols w:equalWidth="0" w:num="1">
            <w:col w:w="10580"/>
          </w:cols>
          <w:pgMar w:left="240" w:top="792" w:right="107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1623695</wp:posOffset>
            </wp:positionH>
            <wp:positionV relativeFrom="page">
              <wp:posOffset>380365</wp:posOffset>
            </wp:positionV>
            <wp:extent cx="4322445" cy="7564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4322445" cy="756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color w:val="auto"/>
        </w:rPr>
        <w:t>732957920.2</w:t>
      </w:r>
    </w:p>
    <w:p>
      <w:pPr>
        <w:sectPr>
          <w:pgSz w:w="11900" w:h="16838" w:orient="portrait"/>
          <w:cols w:equalWidth="0" w:num="1">
            <w:col w:w="10219"/>
          </w:cols>
          <w:pgMar w:left="240" w:top="1440" w:right="1440"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20" w:hanging="328"/>
        <w:spacing w:after="0" w:line="308" w:lineRule="auto"/>
        <w:tabs>
          <w:tab w:leader="none" w:pos="5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Dated: November 7, 2019</w:t>
      </w:r>
    </w:p>
    <w:p>
      <w:pPr>
        <w:spacing w:after="0" w:line="63"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2573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20" w:hanging="328"/>
        <w:spacing w:after="0" w:line="308" w:lineRule="auto"/>
        <w:tabs>
          <w:tab w:leader="none" w:pos="5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Dated: November 7, 2019</w:t>
      </w:r>
    </w:p>
    <w:p>
      <w:pPr>
        <w:spacing w:after="0" w:line="63"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2573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PRESIDENT AND CHIEF EXECUTIVE OFFICER PURSUANT TO 18 U.S.C. § 1350, AS ADOPTED PURSUANT TO SECTION 906 OF THE SARBANES-OXLEY ACT OF 2002</w:t>
      </w:r>
    </w:p>
    <w:p>
      <w:pPr>
        <w:spacing w:after="0" w:line="126"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 Stephen Christopher Linthwaite, the president and chief executive officer of Fluidigm Corporation (the “Company”), certify for the purposes of 18 U.S.C. Section 1350, as adopted pursuant to Section 906 of the Sarbanes-Oxley Act of 2002, that, to the best of my knowledge,</w:t>
      </w:r>
    </w:p>
    <w:p>
      <w:pPr>
        <w:spacing w:after="0" w:line="11" w:lineRule="exact"/>
        <w:rPr>
          <w:sz w:val="20"/>
          <w:szCs w:val="20"/>
          <w:color w:val="auto"/>
        </w:rPr>
      </w:pPr>
    </w:p>
    <w:p>
      <w:pPr>
        <w:ind w:right="680" w:firstLine="886"/>
        <w:spacing w:after="0" w:line="277" w:lineRule="auto"/>
        <w:tabs>
          <w:tab w:leader="none" w:pos="10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September 30, 2019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40"/>
        <w:spacing w:after="0"/>
        <w:tabs>
          <w:tab w:leader="none" w:pos="5640" w:val="left"/>
          <w:tab w:leader="none" w:pos="606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680" w:firstLine="886"/>
        <w:spacing w:after="0" w:line="277" w:lineRule="auto"/>
        <w:tabs>
          <w:tab w:leader="none" w:pos="10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September 30, 2019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40"/>
        <w:spacing w:after="0"/>
        <w:tabs>
          <w:tab w:leader="none" w:pos="5640" w:val="left"/>
          <w:tab w:leader="none" w:pos="606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2"/>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6"/>
    </w:lvl>
  </w:abstractNum>
  <w:abstractNum w:abstractNumId="5">
    <w:nsid w:val="431BD7B7"/>
    <w:multiLevelType w:val="hybridMultilevel"/>
    <w:lvl w:ilvl="0">
      <w:lvlJc w:val="left"/>
      <w:lvlText w:val="%1."/>
      <w:numFmt w:val="decimal"/>
      <w:start w:val="9"/>
    </w:lvl>
  </w:abstractNum>
  <w:abstractNum w:abstractNumId="6">
    <w:nsid w:val="3F2DBA31"/>
    <w:multiLevelType w:val="hybridMultilevel"/>
    <w:lvl w:ilvl="0">
      <w:lvlJc w:val="left"/>
      <w:lvlText w:val="%1."/>
      <w:numFmt w:val="decimal"/>
      <w:start w:val="13"/>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lvl w:ilvl="1">
      <w:lvlJc w:val="left"/>
      <w:lvlText w:val="•"/>
      <w:numFmt w:val="bullet"/>
      <w:start w:val="1"/>
    </w:lvl>
  </w:abstractNum>
  <w:abstractNum w:abstractNumId="16">
    <w:nsid w:val="6763845E"/>
    <w:multiLevelType w:val="hybridMultilevel"/>
    <w:lvl w:ilvl="0">
      <w:lvlJc w:val="left"/>
      <w:lvlText w:val="%1."/>
      <w:numFmt w:val="decimal"/>
      <w:start w:val="382"/>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upperLetter"/>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2"/>
    </w:lvl>
  </w:abstractNum>
  <w:abstractNum w:abstractNumId="23">
    <w:nsid w:val="54E49EB4"/>
    <w:multiLevelType w:val="hybridMultilevel"/>
    <w:lvl w:ilvl="0">
      <w:lvlJc w:val="left"/>
      <w:lvlText w:val="%1."/>
      <w:numFmt w:val="decimal"/>
      <w:start w:val="3"/>
    </w:lvl>
  </w:abstractNum>
  <w:abstractNum w:abstractNumId="24">
    <w:nsid w:val="71F32454"/>
    <w:multiLevelType w:val="hybridMultilevel"/>
    <w:lvl w:ilvl="0">
      <w:lvlJc w:val="left"/>
      <w:lvlText w:val="%1."/>
      <w:numFmt w:val="decimal"/>
      <w:start w:val="8"/>
    </w:lvl>
  </w:abstractNum>
  <w:abstractNum w:abstractNumId="25">
    <w:nsid w:val="2CA88611"/>
    <w:multiLevelType w:val="hybridMultilevel"/>
    <w:lvl w:ilvl="0">
      <w:lvlJc w:val="left"/>
      <w:lvlText w:val="%1."/>
      <w:numFmt w:val="decimal"/>
      <w:start w:val="10"/>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lowerRoman"/>
      <w:start w:val="1"/>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2019-12-28T02:08:05Z</dcterms:created>
  <dcterms:modified xsi:type="dcterms:W3CDTF">2019-12-28T02:08:05Z</dcterms:modified>
</cp:coreProperties>
</file>