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2"/>
        <w:spacing w:after="0"/>
        <w:tabs>
          <w:tab w:leader="none" w:pos="2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9" w:lineRule="exact"/>
        <w:rPr>
          <w:rFonts w:ascii="MS PGothic" w:cs="MS PGothic" w:eastAsia="MS PGothic" w:hAnsi="MS PGothic"/>
          <w:sz w:val="19"/>
          <w:szCs w:val="19"/>
          <w:color w:val="auto"/>
        </w:rPr>
      </w:pPr>
    </w:p>
    <w:p>
      <w:pPr>
        <w:ind w:left="390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For the fiscal year ended December 31, 2019</w:t>
      </w:r>
    </w:p>
    <w:p>
      <w:pPr>
        <w:jc w:val="center"/>
        <w:ind w:right="-39"/>
        <w:spacing w:after="0" w:line="232" w:lineRule="auto"/>
        <w:rPr>
          <w:sz w:val="20"/>
          <w:szCs w:val="20"/>
          <w:color w:val="auto"/>
        </w:rPr>
      </w:pPr>
      <w:r>
        <w:rPr>
          <w:rFonts w:ascii="Arial" w:cs="Arial" w:eastAsia="Arial" w:hAnsi="Arial"/>
          <w:sz w:val="22"/>
          <w:szCs w:val="22"/>
          <w:b w:val="1"/>
          <w:bCs w:val="1"/>
          <w:color w:val="auto"/>
        </w:rPr>
        <w:t>or</w:t>
      </w:r>
    </w:p>
    <w:p>
      <w:pPr>
        <w:ind w:left="220" w:hanging="212"/>
        <w:spacing w:after="0" w:line="233" w:lineRule="auto"/>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001-34180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28" w:right="259" w:bottom="1440" w:gutter="0" w:footer="0" w:header="0"/>
        </w:sectPr>
      </w:pPr>
    </w:p>
    <w:p>
      <w:pPr>
        <w:spacing w:after="0" w:line="15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95" w:lineRule="exact"/>
        <w:rPr>
          <w:sz w:val="24"/>
          <w:szCs w:val="24"/>
          <w:color w:val="auto"/>
        </w:rPr>
      </w:pPr>
    </w:p>
    <w:p>
      <w:pPr>
        <w:sectPr>
          <w:pgSz w:w="11900" w:h="16838" w:orient="portrait"/>
          <w:cols w:equalWidth="0" w:num="2">
            <w:col w:w="7280" w:space="720"/>
            <w:col w:w="3400"/>
          </w:cols>
          <w:pgMar w:left="240" w:top="828" w:right="259"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580" w:space="720"/>
            <w:col w:w="4100"/>
          </w:cols>
          <w:pgMar w:left="240" w:top="828" w:right="259" w:bottom="1440" w:gutter="0" w:footer="0" w:header="0"/>
          <w:type w:val="continuous"/>
        </w:sectPr>
      </w:pPr>
    </w:p>
    <w:p>
      <w:pPr>
        <w:spacing w:after="0" w:line="92"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7000 Shoreline Ct, Ste 100</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South San Francisco,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94080</w:t>
      </w:r>
    </w:p>
    <w:p>
      <w:pPr>
        <w:spacing w:after="0" w:line="107" w:lineRule="exact"/>
        <w:rPr>
          <w:sz w:val="24"/>
          <w:szCs w:val="24"/>
          <w:color w:val="auto"/>
        </w:rPr>
      </w:pPr>
    </w:p>
    <w:p>
      <w:pPr>
        <w:sectPr>
          <w:pgSz w:w="11900" w:h="16838" w:orient="portrait"/>
          <w:cols w:equalWidth="0" w:num="4">
            <w:col w:w="2760" w:space="480"/>
            <w:col w:w="1640" w:space="260"/>
            <w:col w:w="2340" w:space="720"/>
            <w:col w:w="3200"/>
          </w:cols>
          <w:pgMar w:left="240" w:top="828" w:right="259" w:bottom="1440" w:gutter="0" w:footer="0" w:header="0"/>
          <w:type w:val="continuous"/>
        </w:sectPr>
      </w:pPr>
    </w:p>
    <w:p>
      <w:pPr>
        <w:ind w:left="18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03" w:lineRule="exact"/>
        <w:rPr>
          <w:sz w:val="24"/>
          <w:szCs w:val="24"/>
          <w:color w:val="auto"/>
        </w:rPr>
      </w:pPr>
    </w:p>
    <w:p>
      <w:pPr>
        <w:sectPr>
          <w:pgSz w:w="11900" w:h="16838" w:orient="portrait"/>
          <w:cols w:equalWidth="0" w:num="2">
            <w:col w:w="7400" w:space="720"/>
            <w:col w:w="3280"/>
          </w:cols>
          <w:pgMar w:left="240" w:top="828"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266-6000</w:t>
      </w:r>
    </w:p>
    <w:p>
      <w:pPr>
        <w:spacing w:after="0" w:line="44"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828" w:right="259" w:bottom="1440" w:gutter="0" w:footer="0" w:header="0"/>
          <w:type w:val="continuous"/>
        </w:sectPr>
      </w:pPr>
    </w:p>
    <w:p>
      <w:pPr>
        <w:spacing w:after="0" w:line="151" w:lineRule="exact"/>
        <w:rPr>
          <w:sz w:val="24"/>
          <w:szCs w:val="24"/>
          <w:color w:val="auto"/>
        </w:rPr>
      </w:pPr>
    </w:p>
    <w:p>
      <w:pPr>
        <w:ind w:left="170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340"/>
        <w:spacing w:after="0"/>
        <w:rPr>
          <w:sz w:val="20"/>
          <w:szCs w:val="20"/>
          <w:color w:val="auto"/>
        </w:rPr>
      </w:pPr>
      <w:r>
        <w:rPr>
          <w:rFonts w:ascii="Arial" w:cs="Arial" w:eastAsia="Arial" w:hAnsi="Arial"/>
          <w:sz w:val="12"/>
          <w:szCs w:val="12"/>
          <w:color w:val="auto"/>
        </w:rPr>
        <w:t>Name of each exchange on which registered</w:t>
      </w:r>
    </w:p>
    <w:p>
      <w:pPr>
        <w:spacing w:after="0" w:line="64" w:lineRule="exact"/>
        <w:rPr>
          <w:sz w:val="24"/>
          <w:szCs w:val="24"/>
          <w:color w:val="auto"/>
        </w:rPr>
      </w:pPr>
    </w:p>
    <w:p>
      <w:pPr>
        <w:sectPr>
          <w:pgSz w:w="11900" w:h="16838" w:orient="portrait"/>
          <w:cols w:equalWidth="0" w:num="3">
            <w:col w:w="4220" w:space="720"/>
            <w:col w:w="1860" w:space="720"/>
            <w:col w:w="3880"/>
          </w:cols>
          <w:pgMar w:left="240" w:top="828" w:right="25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89" w:lineRule="exact"/>
        <w:rPr>
          <w:sz w:val="24"/>
          <w:szCs w:val="24"/>
          <w:color w:val="auto"/>
        </w:rPr>
      </w:pPr>
    </w:p>
    <w:p>
      <w:pPr>
        <w:sectPr>
          <w:pgSz w:w="11900" w:h="16838" w:orient="portrait"/>
          <w:cols w:equalWidth="0" w:num="3">
            <w:col w:w="4500" w:space="720"/>
            <w:col w:w="1540" w:space="720"/>
            <w:col w:w="3920"/>
          </w:cols>
          <w:pgMar w:left="240" w:top="828"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ind w:left="4100"/>
        <w:spacing w:after="0" w:line="224" w:lineRule="auto"/>
        <w:rPr>
          <w:sz w:val="20"/>
          <w:szCs w:val="20"/>
          <w:color w:val="auto"/>
        </w:rPr>
      </w:pPr>
      <w:r>
        <w:rPr>
          <w:rFonts w:ascii="Arial" w:cs="Arial" w:eastAsia="Arial" w:hAnsi="Arial"/>
          <w:sz w:val="14"/>
          <w:szCs w:val="14"/>
          <w:color w:val="auto"/>
        </w:rPr>
        <w:t>_____________________________________________</w:t>
      </w: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00"/>
          </w:cols>
          <w:pgMar w:left="240" w:top="828" w:right="259" w:bottom="1440" w:gutter="0" w:footer="0" w:header="0"/>
          <w:type w:val="continuous"/>
        </w:sectPr>
      </w:pPr>
    </w:p>
    <w:p>
      <w:pPr>
        <w:spacing w:after="0" w:line="57" w:lineRule="exact"/>
        <w:rPr>
          <w:sz w:val="24"/>
          <w:szCs w:val="24"/>
          <w:color w:val="auto"/>
        </w:rPr>
      </w:pPr>
    </w:p>
    <w:p>
      <w:pPr>
        <w:ind w:left="340"/>
        <w:spacing w:after="0" w:line="207" w:lineRule="exact"/>
        <w:tabs>
          <w:tab w:leader="none" w:pos="982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15(d)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36" w:lineRule="exact"/>
        <w:rPr>
          <w:sz w:val="24"/>
          <w:szCs w:val="24"/>
          <w:color w:val="auto"/>
        </w:rPr>
      </w:pP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20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24"/>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p>
    <w:p>
      <w:pPr>
        <w:spacing w:after="0" w:line="100" w:lineRule="exact"/>
        <w:rPr>
          <w:sz w:val="24"/>
          <w:szCs w:val="24"/>
          <w:color w:val="auto"/>
        </w:rPr>
      </w:pPr>
    </w:p>
    <w:tbl>
      <w:tblPr>
        <w:tblLayout w:type="fixed"/>
        <w:tblInd w:w="132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6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tabs>
          <w:tab w:leader="none" w:pos="790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40" w:firstLine="324"/>
        <w:spacing w:after="0" w:line="259" w:lineRule="auto"/>
        <w:rPr>
          <w:sz w:val="20"/>
          <w:szCs w:val="20"/>
          <w:color w:val="auto"/>
        </w:rPr>
      </w:pPr>
      <w:r>
        <w:rPr>
          <w:rFonts w:ascii="Arial" w:cs="Arial" w:eastAsia="Arial" w:hAnsi="Arial"/>
          <w:sz w:val="18"/>
          <w:szCs w:val="18"/>
          <w:color w:val="auto"/>
        </w:rPr>
        <w:t>As of June 30, 2019, the aggregate market value of the voting and non-voting common equity held by non-affiliates of the registrant was approximately $846,923,899,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31, 2020, there were 70,445,622 shares of the registrant’s common stock outstanding.</w:t>
      </w:r>
    </w:p>
    <w:p>
      <w:pPr>
        <w:spacing w:after="0" w:line="11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Portions of the registrant’s Proxy Statement in connection with the registrant’s annual meeting of stockholders, scheduled to be held in June 2020, are incorporated by reference in Part III of this report. Except as expressly incorporated by reference, the registrant’s Proxy Statement shall not be deemed to be part of this report.</w:t>
      </w:r>
    </w:p>
    <w:p>
      <w:pPr>
        <w:sectPr>
          <w:pgSz w:w="11900" w:h="16838" w:orient="portrait"/>
          <w:cols w:equalWidth="0" w:num="1">
            <w:col w:w="11400"/>
          </w:cols>
          <w:pgMar w:left="240" w:top="828" w:right="25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Fiscal Year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80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8060" w:type="dxa"/>
            <w:vAlign w:val="bottom"/>
            <w:gridSpan w:val="2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gridSpan w:val="10"/>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UNRESOLVED STAFF COMMENTS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2820" w:type="dxa"/>
            <w:vAlign w:val="bottom"/>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PROPERTIES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80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80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MARKET FOR REGISTRANT’S COMMON EQUITY, RELATED STOCKHOLDER MATTERS AND</w:t>
              </w:r>
            </w:hyperlink>
          </w:p>
        </w:tc>
        <w:tc>
          <w:tcPr>
            <w:tcW w:w="46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gridSpan w:val="12"/>
          </w:tcPr>
          <w:p>
            <w:pPr>
              <w:spacing w:after="0" w:line="196" w:lineRule="exact"/>
              <w:rPr>
                <w:rFonts w:ascii="Arial" w:cs="Arial" w:eastAsia="Arial" w:hAnsi="Arial"/>
                <w:sz w:val="18"/>
                <w:szCs w:val="18"/>
                <w:color w:val="0000FF"/>
                <w:w w:val="93"/>
              </w:rPr>
            </w:pPr>
            <w:hyperlink w:anchor="page40">
              <w:r>
                <w:rPr>
                  <w:rFonts w:ascii="Arial" w:cs="Arial" w:eastAsia="Arial" w:hAnsi="Arial"/>
                  <w:sz w:val="18"/>
                  <w:szCs w:val="18"/>
                  <w:color w:val="0000FF"/>
                  <w:w w:val="93"/>
                </w:rPr>
                <w:t>ISSUER PURCHASES OF EQUITY SECURITIES</w:t>
              </w:r>
            </w:hyperlink>
          </w:p>
        </w:tc>
        <w:tc>
          <w:tcPr>
            <w:tcW w:w="4300" w:type="dxa"/>
            <w:vAlign w:val="bottom"/>
            <w:gridSpan w:val="11"/>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gridSpan w:val="7"/>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SELECTED FINANCIAL DATA</w:t>
              </w:r>
            </w:hyperlink>
          </w:p>
        </w:tc>
        <w:tc>
          <w:tcPr>
            <w:tcW w:w="1340" w:type="dxa"/>
            <w:vAlign w:val="bottom"/>
            <w:gridSpan w:val="5"/>
          </w:tcPr>
          <w:p>
            <w:pPr>
              <w:spacing w:after="0"/>
              <w:rPr>
                <w:sz w:val="21"/>
                <w:szCs w:val="21"/>
                <w:color w:val="auto"/>
              </w:rPr>
            </w:pPr>
          </w:p>
        </w:tc>
        <w:tc>
          <w:tcPr>
            <w:tcW w:w="4300" w:type="dxa"/>
            <w:vAlign w:val="bottom"/>
            <w:gridSpan w:val="11"/>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806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OPERATIONS</w:t>
              </w:r>
            </w:hyperlink>
          </w:p>
        </w:tc>
        <w:tc>
          <w:tcPr>
            <w:tcW w:w="6660" w:type="dxa"/>
            <w:vAlign w:val="bottom"/>
            <w:tcBorders>
              <w:top w:val="single" w:sz="8" w:color="0000EE"/>
            </w:tcBorders>
            <w:gridSpan w:val="19"/>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gridSpan w:val="17"/>
          </w:tcPr>
          <w:p>
            <w:pPr>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QUANTITATIVE AND QUALITATIVE DISCLOSURES ABOUT MARKET RISK</w:t>
              </w:r>
            </w:hyperlink>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gridSpan w:val="15"/>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8"/>
          </w:tcPr>
          <w:p>
            <w:pPr>
              <w:spacing w:after="0"/>
              <w:rPr>
                <w:rFonts w:ascii="Arial" w:cs="Arial" w:eastAsia="Arial" w:hAnsi="Arial"/>
                <w:sz w:val="18"/>
                <w:szCs w:val="18"/>
                <w:color w:val="0000FF"/>
                <w:w w:val="97"/>
              </w:rPr>
            </w:pPr>
            <w:hyperlink w:anchor="page94">
              <w:r>
                <w:rPr>
                  <w:rFonts w:ascii="Arial" w:cs="Arial" w:eastAsia="Arial" w:hAnsi="Arial"/>
                  <w:sz w:val="18"/>
                  <w:szCs w:val="18"/>
                  <w:color w:val="0000FF"/>
                  <w:w w:val="97"/>
                </w:rPr>
                <w:t>CHANGES IN AND DISAGREEMENTS WITH ACCOUNTANTS ON ACCOUNTING AND</w:t>
              </w:r>
            </w:hyperlink>
          </w:p>
        </w:tc>
        <w:tc>
          <w:tcPr>
            <w:tcW w:w="1140" w:type="dxa"/>
            <w:vAlign w:val="bottom"/>
            <w:gridSpan w:val="5"/>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gridSpan w:val="6"/>
          </w:tcPr>
          <w:p>
            <w:pPr>
              <w:spacing w:after="0" w:line="196" w:lineRule="exact"/>
              <w:rPr>
                <w:rFonts w:ascii="Arial" w:cs="Arial" w:eastAsia="Arial" w:hAnsi="Arial"/>
                <w:sz w:val="18"/>
                <w:szCs w:val="18"/>
                <w:color w:val="0000FF"/>
                <w:w w:val="97"/>
              </w:rPr>
            </w:pPr>
            <w:hyperlink w:anchor="page94">
              <w:r>
                <w:rPr>
                  <w:rFonts w:ascii="Arial" w:cs="Arial" w:eastAsia="Arial" w:hAnsi="Arial"/>
                  <w:sz w:val="18"/>
                  <w:szCs w:val="18"/>
                  <w:color w:val="0000FF"/>
                  <w:w w:val="97"/>
                </w:rPr>
                <w:t>FINANCIAL DISCLOSURE</w:t>
              </w:r>
            </w:hyperlink>
          </w:p>
        </w:tc>
        <w:tc>
          <w:tcPr>
            <w:tcW w:w="5940" w:type="dxa"/>
            <w:vAlign w:val="bottom"/>
            <w:gridSpan w:val="17"/>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89</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gridSpan w:val="9"/>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CONTROLS AND PROCEDURES</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89</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2600" w:type="dxa"/>
            <w:vAlign w:val="bottom"/>
            <w:gridSpan w:val="9"/>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OTHER INFORMATION</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90</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gridSpan w:val="16"/>
          </w:tcPr>
          <w:p>
            <w:pPr>
              <w:spacing w:after="0"/>
              <w:rPr>
                <w:rFonts w:ascii="Arial" w:cs="Arial" w:eastAsia="Arial" w:hAnsi="Arial"/>
                <w:sz w:val="18"/>
                <w:szCs w:val="18"/>
                <w:color w:val="0000FF"/>
                <w:w w:val="94"/>
              </w:rPr>
            </w:pPr>
            <w:hyperlink w:anchor="page96">
              <w:r>
                <w:rPr>
                  <w:rFonts w:ascii="Arial" w:cs="Arial" w:eastAsia="Arial" w:hAnsi="Arial"/>
                  <w:sz w:val="18"/>
                  <w:szCs w:val="18"/>
                  <w:color w:val="0000FF"/>
                  <w:w w:val="94"/>
                </w:rPr>
                <w:t>DIRECTORS, EXECUTIVE OFFICERS AND CORPORATE GOVERNANCE</w:t>
              </w:r>
            </w:hyperlink>
          </w:p>
        </w:tc>
        <w:tc>
          <w:tcPr>
            <w:tcW w:w="2260" w:type="dxa"/>
            <w:vAlign w:val="bottom"/>
            <w:gridSpan w:val="7"/>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gridSpan w:val="8"/>
          </w:tcPr>
          <w:p>
            <w:pPr>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EXECUTIVE COMPENSATION</w:t>
              </w:r>
            </w:hyperlink>
          </w:p>
        </w:tc>
        <w:tc>
          <w:tcPr>
            <w:tcW w:w="3360" w:type="dxa"/>
            <w:vAlign w:val="bottom"/>
            <w:gridSpan w:val="8"/>
          </w:tcPr>
          <w:p>
            <w:pPr>
              <w:spacing w:after="0"/>
              <w:rPr>
                <w:sz w:val="21"/>
                <w:szCs w:val="21"/>
                <w:color w:val="auto"/>
              </w:rPr>
            </w:pPr>
          </w:p>
        </w:tc>
        <w:tc>
          <w:tcPr>
            <w:tcW w:w="226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19"/>
          </w:tcPr>
          <w:p>
            <w:pPr>
              <w:spacing w:after="0"/>
              <w:rPr>
                <w:rFonts w:ascii="Arial" w:cs="Arial" w:eastAsia="Arial" w:hAnsi="Arial"/>
                <w:sz w:val="18"/>
                <w:szCs w:val="18"/>
                <w:color w:val="0000FF"/>
                <w:w w:val="96"/>
              </w:rPr>
            </w:pPr>
            <w:hyperlink w:anchor="page96">
              <w:r>
                <w:rPr>
                  <w:rFonts w:ascii="Arial" w:cs="Arial" w:eastAsia="Arial" w:hAnsi="Arial"/>
                  <w:sz w:val="18"/>
                  <w:szCs w:val="18"/>
                  <w:color w:val="0000FF"/>
                  <w:w w:val="96"/>
                </w:rPr>
                <w:t>SECURITY OWNERSHIP OF CERTAIN BENEFICIAL OWNERS AND MANAGEMENT AND</w:t>
              </w:r>
            </w:hyperlink>
          </w:p>
        </w:tc>
        <w:tc>
          <w:tcPr>
            <w:tcW w:w="900" w:type="dxa"/>
            <w:vAlign w:val="bottom"/>
            <w:gridSpan w:val="4"/>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8060" w:type="dxa"/>
            <w:vAlign w:val="bottom"/>
            <w:gridSpan w:val="23"/>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RELATED STOCKHOLDER MATTERS</w:t>
              </w:r>
            </w:hyperlink>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gridSpan w:val="21"/>
          </w:tcPr>
          <w:p>
            <w:pPr>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CERTAIN RELATIONSHIPS AND RELATED TRANSACTIONS, AND DIRECTOR INDEPENDENCE</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00" w:type="dxa"/>
            <w:vAlign w:val="bottom"/>
            <w:gridSpan w:val="2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PRINCIPAL ACCOUNTING FEES AND SERVICES</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gridSpan w:val="14"/>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EXHIBITS, FINANCIAL STATEMENT SCHEDULES</w:t>
              </w:r>
            </w:hyperlink>
          </w:p>
        </w:tc>
        <w:tc>
          <w:tcPr>
            <w:tcW w:w="4020" w:type="dxa"/>
            <w:vAlign w:val="bottom"/>
            <w:gridSpan w:val="9"/>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92</w:t>
              </w:r>
            </w:hyperlink>
          </w:p>
        </w:tc>
      </w:tr>
      <w:tr>
        <w:trPr>
          <w:trHeight w:val="20"/>
        </w:trPr>
        <w:tc>
          <w:tcPr>
            <w:tcW w:w="150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180" w:type="dxa"/>
            <w:vAlign w:val="bottom"/>
            <w:tcBorders>
              <w:left w:val="single" w:sz="8" w:color="0000EE"/>
            </w:tcBorders>
            <w:gridSpan w:val="9"/>
            <w:shd w:val="clear" w:color="auto" w:fill="0000EE"/>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16.</w:t>
            </w:r>
          </w:p>
        </w:tc>
        <w:tc>
          <w:tcPr>
            <w:tcW w:w="4040" w:type="dxa"/>
            <w:vAlign w:val="bottom"/>
            <w:gridSpan w:val="1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FORM 10-K SUMMARY</w:t>
              </w:r>
            </w:hyperlink>
          </w:p>
        </w:tc>
        <w:tc>
          <w:tcPr>
            <w:tcW w:w="4020" w:type="dxa"/>
            <w:vAlign w:val="bottom"/>
            <w:gridSpan w:val="9"/>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94</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INDEX TO EXHIBITS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SIGNATURES</w:t>
        </w:r>
      </w:hyperlink>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71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7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Annual Report on Form 10-K (Form 10-K)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3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0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Fluidigm®, the Fluidigm logo, 48.Atlas™, Acculift™, Access Array™, Advanta™, Biomark™, Bringing new insights to life™, C1™, Callisto™, Cell-ID™, CyTOF®, D3™, Delta Gene™, Direct™, Digital Array™, Dynamic Array™, EP1™, EQ™, FC1™, Flex Six™, Helios™, High-Precision 96.96 Genotyping™, Hyperion™, IMC™, Imaging Mass Cytometry™, Immune Profiling Assay™, Juno™, Maxpar®, MCD™, MSL®, Nanoflex™, Open App™, Pathsetter™, Polaris™, qdPCR 37K™, Script Builder™, Script Hub™, Singular™, SNP Trace™, SNP Type™ are trademarks or registered trademarks of Fluidigm Corporation. Other service marks, trademarks and trade names referred to in this Form 10-K are the property of their respective owners.</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87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patented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3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27" w:lineRule="exact"/>
        <w:rPr>
          <w:sz w:val="20"/>
          <w:szCs w:val="20"/>
          <w:color w:val="auto"/>
        </w:rPr>
      </w:pPr>
    </w:p>
    <w:p>
      <w:pPr>
        <w:ind w:right="280" w:firstLine="405"/>
        <w:spacing w:after="0" w:line="291" w:lineRule="auto"/>
        <w:rPr>
          <w:sz w:val="20"/>
          <w:szCs w:val="20"/>
          <w:color w:val="auto"/>
        </w:rPr>
      </w:pPr>
      <w:r>
        <w:rPr>
          <w:rFonts w:ascii="Arial" w:cs="Arial" w:eastAsia="Arial" w:hAnsi="Arial"/>
          <w:sz w:val="16"/>
          <w:szCs w:val="16"/>
          <w:color w:val="auto"/>
        </w:rPr>
        <w:t>Our mass cytometry Helios™ system deeply profiles cell phenotype and function. Referenced by hundreds of peer-reviewed publications around the world, mass cytometry is setting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 Our microfluidic systems complement our mass cytometry offerings by providing highly scalable and automated workflows for quantitative polymerase chain reaction (PCR), gene expression, copy number variation analysis, and next-generation sequencing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w:t>
      </w:r>
    </w:p>
    <w:p>
      <w:pPr>
        <w:spacing w:after="0" w:line="11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are a trusted partner of leading academic, government, pharmaceutical, biotechnology, contract research organizations and plant and animal research laboratories worldwide and we strive to increase the quality of life for all.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5"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believe that the Immunome market is a large, under-penetrated multibillion dollar market opportunity. Through our work with outside consultants and internal market analysis, we believe that our potential market is approximately $3 billion, growing at a compound annual growth rate in the teens. The current markets for our products address a broad range of biological analysis approaches, including the genome, proteome, transcriptome, epigenome and microbiome used by academic life science research customers, as well as applied markets customers, including clinical research laboratories, biopharmaceutical companies, biorepositories and agricultural biotechnology entities. Our markets are increasingly looking to study data sets spanning these approaches in a concerted manner to answer pressing questions about immune function across cancer, immunology and immunotherapy.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Key elements of our strategy include: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innovative, differentiated products to researchers based on our mass cytometry and microfluidic technologies.</w:t>
      </w:r>
    </w:p>
    <w:p>
      <w:pPr>
        <w:spacing w:after="0" w:line="229" w:lineRule="exact"/>
        <w:rPr>
          <w:sz w:val="20"/>
          <w:szCs w:val="20"/>
          <w:color w:val="auto"/>
        </w:rPr>
      </w:pPr>
    </w:p>
    <w:p>
      <w:pPr>
        <w:jc w:val="both"/>
        <w:ind w:left="660" w:right="4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Mass cytometry is a leading, high multiplex solution to analyze many cell-surface and intracellular proteins simultaneously in cell suspensions including blood and disassociated tissues. Our products enable innovative methods to characterize cells and other sample types not commonly achieved with other conventional technologies.</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IMC™ is a pioneering technology allowing for high multiplexed imaging to understand the composition of tissue microenvironments at a subcellular 1-micron resolution. Together with Mass Cytometry, these products provide researchers the capabilities to gain deeper insights into immune function.</w:t>
      </w:r>
    </w:p>
    <w:p>
      <w:pPr>
        <w:spacing w:after="0" w:line="181" w:lineRule="exact"/>
        <w:rPr>
          <w:rFonts w:ascii="Arial" w:cs="Arial" w:eastAsia="Arial" w:hAnsi="Arial"/>
          <w:sz w:val="18"/>
          <w:szCs w:val="18"/>
          <w:color w:val="auto"/>
        </w:rPr>
      </w:pPr>
    </w:p>
    <w:p>
      <w:pPr>
        <w:jc w:val="both"/>
        <w:ind w:left="660" w:right="120"/>
        <w:spacing w:after="0" w:line="342" w:lineRule="auto"/>
        <w:rPr>
          <w:rFonts w:ascii="Arial" w:cs="Arial" w:eastAsia="Arial" w:hAnsi="Arial"/>
          <w:sz w:val="18"/>
          <w:szCs w:val="18"/>
          <w:color w:val="auto"/>
        </w:rPr>
      </w:pPr>
      <w:r>
        <w:rPr>
          <w:rFonts w:ascii="Arial" w:cs="Arial" w:eastAsia="Arial" w:hAnsi="Arial"/>
          <w:sz w:val="16"/>
          <w:szCs w:val="16"/>
          <w:color w:val="auto"/>
        </w:rPr>
        <w:t>Our microfluidic technologies enable a scalable and sensitive solution in fields requiring high-throughput molecular biomarker analysis, whether it be for the analysis of gene expression profiles, genotyping, analysis of proteomic biomarkers, or library preparation in advance of gene sequencing.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15" w:right="259" w:bottom="1440" w:gutter="0" w:footer="0" w:header="0"/>
        </w:sectPr>
      </w:pPr>
    </w:p>
    <w:bookmarkStart w:id="4" w:name="page5"/>
    <w:bookmarkEnd w:id="4"/>
    <w:p>
      <w:pPr>
        <w:ind w:right="300"/>
        <w:spacing w:after="0" w:line="282" w:lineRule="auto"/>
        <w:rPr>
          <w:sz w:val="20"/>
          <w:szCs w:val="20"/>
          <w:color w:val="auto"/>
        </w:rPr>
      </w:pPr>
      <w:r>
        <w:rPr>
          <w:rFonts w:ascii="Arial" w:cs="Arial" w:eastAsia="Arial" w:hAnsi="Arial"/>
          <w:sz w:val="18"/>
          <w:szCs w:val="18"/>
          <w:b w:val="1"/>
          <w:bCs w:val="1"/>
          <w:color w:val="auto"/>
        </w:rPr>
        <w:t>Expanding addressable markets through attention to assay content, workflow efficiency, software improvements, desirable strategic partnerships and inorganic growth opportunities</w:t>
      </w:r>
      <w:r>
        <w:rPr>
          <w:rFonts w:ascii="Arial" w:cs="Arial" w:eastAsia="Arial" w:hAnsi="Arial"/>
          <w:sz w:val="18"/>
          <w:szCs w:val="18"/>
          <w:color w:val="auto"/>
        </w:rPr>
        <w:t>.</w:t>
      </w:r>
    </w:p>
    <w:p>
      <w:pPr>
        <w:spacing w:after="0" w:line="112" w:lineRule="exact"/>
        <w:rPr>
          <w:sz w:val="20"/>
          <w:szCs w:val="20"/>
          <w:color w:val="auto"/>
        </w:rPr>
      </w:pPr>
    </w:p>
    <w:p>
      <w:pPr>
        <w:ind w:left="80" w:right="200" w:firstLine="405"/>
        <w:spacing w:after="0" w:line="277" w:lineRule="auto"/>
        <w:rPr>
          <w:sz w:val="20"/>
          <w:szCs w:val="20"/>
          <w:color w:val="auto"/>
        </w:rPr>
      </w:pPr>
      <w:r>
        <w:rPr>
          <w:rFonts w:ascii="Arial" w:cs="Arial" w:eastAsia="Arial" w:hAnsi="Arial"/>
          <w:sz w:val="18"/>
          <w:szCs w:val="18"/>
          <w:color w:val="auto"/>
        </w:rPr>
        <w:t>Our strategy addresses expanded and enhanced applications, workflows and analytics to allow our customers better productivity, increasing the value of our toolsets across our mass cytometry and microfluidics products.</w:t>
      </w:r>
    </w:p>
    <w:p>
      <w:pPr>
        <w:spacing w:after="0" w:line="116" w:lineRule="exact"/>
        <w:rPr>
          <w:sz w:val="20"/>
          <w:szCs w:val="20"/>
          <w:color w:val="auto"/>
        </w:rPr>
      </w:pPr>
    </w:p>
    <w:p>
      <w:pPr>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developed a sample-to-answer workflow for comprehensive human immune profiling for use with our Helios system, that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both the Helios and Hyperion systems. In 2019, we added seven new metal antibody labels, becoming the first company to enable 50-plex cytometry panels, launched three Imaging Mass Cytometry Panel Kits and Advanced CyTOF software, as well as Maxpar Direct Immune Profiling Assay, a sample-to-answer workflow that received the 2019 Life Science Industry Gold Award for Most Innovative New Cell Biology Product.</w:t>
      </w:r>
    </w:p>
    <w:p>
      <w:pPr>
        <w:spacing w:after="0" w:line="135" w:lineRule="exact"/>
        <w:rPr>
          <w:rFonts w:ascii="Arial" w:cs="Arial" w:eastAsia="Arial" w:hAnsi="Arial"/>
          <w:sz w:val="18"/>
          <w:szCs w:val="18"/>
          <w:color w:val="auto"/>
        </w:rPr>
      </w:pPr>
    </w:p>
    <w:p>
      <w:pPr>
        <w:ind w:left="660" w:right="4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developed and collaborated with industry partners to build our applications, software and assays on our microfluidic platforms for gene expression, genotyping and sequencing library preparations as well as single-cell applications for our C1 system. Our future development will leverage both in-house development as well as externally-partnered solutions to drive new applications and sample-to-answer functionality across all our platforms. In 2019, we launched the Advanta RNA-Seq NGS Library Preparation product targeting a large potential market opportunity, in line with this strategy. We also announced a collaboration with Icahn School of Medicine at Mount Sinai for a single-cell study of the human epigenome. This study is being funded by the U.S. Department of Defense.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market innovative technologies and life science tools, including preparatory and analytical instruments for Mass Cytometry, PCR, Library Prep, Single Cell Genomics, and consumables, including integrated fluidic circuits (IFCs), assays, and reagents. Our primary product offerings are summarized in the table below:</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320" w:type="dxa"/>
            <w:vAlign w:val="bottom"/>
            <w:gridSpan w:val="2"/>
          </w:tcPr>
          <w:p>
            <w:pPr>
              <w:ind w:left="1260"/>
              <w:spacing w:after="0"/>
              <w:rPr>
                <w:sz w:val="20"/>
                <w:szCs w:val="20"/>
                <w:color w:val="auto"/>
              </w:rPr>
            </w:pPr>
            <w:r>
              <w:rPr>
                <w:rFonts w:ascii="Arial" w:cs="Arial" w:eastAsia="Arial" w:hAnsi="Arial"/>
                <w:sz w:val="18"/>
                <w:szCs w:val="18"/>
                <w:b w:val="1"/>
                <w:bCs w:val="1"/>
                <w:color w:val="auto"/>
              </w:rPr>
              <w:t>Product Description</w:t>
            </w:r>
          </w:p>
        </w:tc>
        <w:tc>
          <w:tcPr>
            <w:tcW w:w="3180" w:type="dxa"/>
            <w:vAlign w:val="bottom"/>
          </w:tcPr>
          <w:p>
            <w:pPr>
              <w:ind w:left="1100"/>
              <w:spacing w:after="0"/>
              <w:rPr>
                <w:sz w:val="20"/>
                <w:szCs w:val="20"/>
                <w:color w:val="auto"/>
              </w:rPr>
            </w:pPr>
            <w:r>
              <w:rPr>
                <w:rFonts w:ascii="Arial" w:cs="Arial" w:eastAsia="Arial" w:hAnsi="Arial"/>
                <w:sz w:val="18"/>
                <w:szCs w:val="18"/>
                <w:b w:val="1"/>
                <w:bCs w:val="1"/>
                <w:color w:val="auto"/>
              </w:rPr>
              <w:t>Applications</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Mass Cytometry</w:t>
            </w: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Analytical Systems:</w:t>
            </w: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Helios™, a CyTOF system</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The Helios mass cytometry system performs high-</w:t>
            </w:r>
          </w:p>
        </w:tc>
        <w:tc>
          <w:tcPr>
            <w:tcW w:w="31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parameter single-cell analysis using antibodies</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conjugated to metal isotopes.</w:t>
            </w:r>
          </w:p>
        </w:tc>
        <w:tc>
          <w:tcPr>
            <w:tcW w:w="3180" w:type="dxa"/>
            <w:vAlign w:val="bottom"/>
          </w:tcPr>
          <w:p>
            <w:pPr>
              <w:spacing w:after="0"/>
              <w:rPr>
                <w:sz w:val="20"/>
                <w:szCs w:val="20"/>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Hyperion™ Imaging System</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The Hyperion Imaging System brings together imaging</w:t>
            </w:r>
          </w:p>
        </w:tc>
        <w:tc>
          <w:tcPr>
            <w:tcW w:w="3180" w:type="dxa"/>
            <w:vAlign w:val="bottom"/>
          </w:tcPr>
          <w:p>
            <w:pPr>
              <w:ind w:left="20"/>
              <w:spacing w:after="0"/>
              <w:rPr>
                <w:sz w:val="20"/>
                <w:szCs w:val="20"/>
                <w:color w:val="auto"/>
              </w:rPr>
            </w:pPr>
            <w:r>
              <w:rPr>
                <w:rFonts w:ascii="Arial" w:cs="Arial" w:eastAsia="Arial" w:hAnsi="Arial"/>
                <w:sz w:val="18"/>
                <w:szCs w:val="18"/>
                <w:color w:val="auto"/>
              </w:rPr>
              <w:t>Imaging Mass Cytometry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capability with proven high-parameter CyTOF</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9"/>
              </w:rPr>
              <w:t>technology to enable the simultaneous detection of up</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6"/>
              </w:rPr>
              <w:t>to 37 protein markers in the spatial context of the tissue</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microenvironment.</w:t>
            </w:r>
          </w:p>
        </w:tc>
        <w:tc>
          <w:tcPr>
            <w:tcW w:w="3180" w:type="dxa"/>
            <w:vAlign w:val="bottom"/>
          </w:tcPr>
          <w:p>
            <w:pPr>
              <w:spacing w:after="0"/>
              <w:rPr>
                <w:sz w:val="20"/>
                <w:szCs w:val="20"/>
                <w:color w:val="auto"/>
              </w:rPr>
            </w:pP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Hyperion™ Tissue Imager</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The Hyperion Tissue Imager scans tissues at 1 micron</w:t>
            </w:r>
          </w:p>
        </w:tc>
        <w:tc>
          <w:tcPr>
            <w:tcW w:w="3180" w:type="dxa"/>
            <w:vAlign w:val="bottom"/>
          </w:tcPr>
          <w:p>
            <w:pPr>
              <w:ind w:left="20"/>
              <w:spacing w:after="0"/>
              <w:rPr>
                <w:sz w:val="20"/>
                <w:szCs w:val="20"/>
                <w:color w:val="auto"/>
              </w:rPr>
            </w:pPr>
            <w:r>
              <w:rPr>
                <w:rFonts w:ascii="Arial" w:cs="Arial" w:eastAsia="Arial" w:hAnsi="Arial"/>
                <w:sz w:val="18"/>
                <w:szCs w:val="18"/>
                <w:color w:val="auto"/>
              </w:rPr>
              <w:t>Imaging Mass Cytometry</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resolution. It can be purchased as an upgrade for the</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Helios system to enable imaging capability, then</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referred to as Hyperion Imaging System.</w:t>
            </w:r>
          </w:p>
        </w:tc>
        <w:tc>
          <w:tcPr>
            <w:tcW w:w="3180" w:type="dxa"/>
            <w:vAlign w:val="bottom"/>
          </w:tcPr>
          <w:p>
            <w:pPr>
              <w:spacing w:after="0"/>
              <w:rPr>
                <w:sz w:val="20"/>
                <w:szCs w:val="20"/>
                <w:color w:val="auto"/>
              </w:rPr>
            </w:pPr>
          </w:p>
        </w:tc>
      </w:tr>
      <w:tr>
        <w:trPr>
          <w:trHeight w:val="743"/>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ind w:left="17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Assays and Reagents:</w:t>
      </w:r>
    </w:p>
    <w:p>
      <w:pPr>
        <w:spacing w:after="0" w:line="189"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Maxpar® Reagents</w:t>
      </w:r>
      <w:r>
        <w:rPr>
          <w:sz w:val="20"/>
          <w:szCs w:val="20"/>
          <w:color w:val="auto"/>
        </w:rPr>
        <w:tab/>
      </w:r>
      <w:r>
        <w:rPr>
          <w:rFonts w:ascii="Arial" w:cs="Arial" w:eastAsia="Arial" w:hAnsi="Arial"/>
          <w:sz w:val="16"/>
          <w:szCs w:val="16"/>
          <w:color w:val="auto"/>
        </w:rPr>
        <w:t>Maxpar® reagents are included in multiple product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lines addressing needs in functional and phenotypic</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profiling of single cells, as well as nucleic acid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detection. The product lines include pre-conjugated</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antibodies, application-specific kits, and custom</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antibody labeling services.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Mass Cytometry and Imaging Mass Cytometry.</w:t>
      </w:r>
    </w:p>
    <w:p>
      <w:pPr>
        <w:spacing w:after="0" w:line="993" w:lineRule="exact"/>
        <w:rPr>
          <w:sz w:val="20"/>
          <w:szCs w:val="20"/>
          <w:color w:val="auto"/>
        </w:rPr>
      </w:pPr>
    </w:p>
    <w:p>
      <w:pPr>
        <w:sectPr>
          <w:pgSz w:w="11900" w:h="16838" w:orient="portrait"/>
          <w:cols w:equalWidth="0" w:num="2">
            <w:col w:w="7620" w:space="600"/>
            <w:col w:w="3120"/>
          </w:cols>
          <w:pgMar w:left="280" w:top="499" w:right="279" w:bottom="1440" w:gutter="0" w:footer="0" w:header="0"/>
        </w:sectPr>
      </w:pPr>
    </w:p>
    <w:p>
      <w:pPr>
        <w:spacing w:after="0" w:line="27" w:lineRule="exact"/>
        <w:rPr>
          <w:sz w:val="20"/>
          <w:szCs w:val="20"/>
          <w:color w:val="auto"/>
        </w:rPr>
      </w:pPr>
    </w:p>
    <w:p>
      <w:pPr>
        <w:ind w:left="100" w:right="680"/>
        <w:spacing w:after="0" w:line="374" w:lineRule="auto"/>
        <w:rPr>
          <w:sz w:val="20"/>
          <w:szCs w:val="20"/>
          <w:color w:val="auto"/>
        </w:rPr>
      </w:pPr>
      <w:r>
        <w:rPr>
          <w:rFonts w:ascii="Arial" w:cs="Arial" w:eastAsia="Arial" w:hAnsi="Arial"/>
          <w:sz w:val="17"/>
          <w:szCs w:val="17"/>
          <w:color w:val="auto"/>
        </w:rPr>
        <w:t>Maxpar Human Immune Monitoring Panel Kit and Workflow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Maxpar Direct Immune Profiling Assay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Maxpar IMC Panel Kits for Immuno-oncology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Advanced CyTOF Software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Microfluidics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Preparatory Instruments: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Access Array System</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kit contains 29 pre-titrated antibodies designed and optimized for deep immune profiling of human peripheral blood mononuclear cells. Enables comprehensive identification and characterization of key immune cell populations. The workflow includes protocol and data analysis.</w:t>
      </w:r>
    </w:p>
    <w:p>
      <w:pPr>
        <w:spacing w:after="0" w:line="3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assay enables comprehensive identification and characterization of 37 immune cell populations. With automated software and as little as five minutes of data analysis. The kit contains 30 pre-titrated antibodies provided in a dry single-tube format.</w:t>
      </w:r>
    </w:p>
    <w:p>
      <w:pPr>
        <w:spacing w:after="0" w:line="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Contains a mix of non-overlapping metal-conjugated antibodies to deeply profile tumor-infiltrating lymphocytes, immunce cell activation states or tissue architecture. These new panels can be easily mixed and matched or combined as an 18-marker panel to broadly profile immune infiltrates.</w:t>
      </w:r>
    </w:p>
    <w:p>
      <w:pPr>
        <w:spacing w:after="0" w:line="2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Streamlines the selection and acquisition of multiple regions of interest from each slide with an enhanced user experience. Remotely annotate each ROI using bright field reference images to guide automated batch acquisition of highly multiplexed images on the Hyperion Imaging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modular, flexible system that automates amplicon-based library preparation of up to 480 amplicons across 48 unique samples per processing run. The resulting barcoded libraries are ready for targeted DNA sequencing on next-generation sequencing (NGS) platforms from Illumina® and Ion Torrent®.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Library preparation for targeted DNA sequencing on NGS systems</w:t>
      </w:r>
    </w:p>
    <w:p>
      <w:pPr>
        <w:spacing w:after="0" w:line="983" w:lineRule="exact"/>
        <w:rPr>
          <w:sz w:val="20"/>
          <w:szCs w:val="20"/>
          <w:color w:val="auto"/>
        </w:rPr>
      </w:pPr>
    </w:p>
    <w:p>
      <w:pPr>
        <w:sectPr>
          <w:pgSz w:w="11900" w:h="16838" w:orient="portrait"/>
          <w:cols w:equalWidth="0" w:num="3">
            <w:col w:w="3380" w:space="520"/>
            <w:col w:w="4000" w:space="320"/>
            <w:col w:w="3120"/>
          </w:cols>
          <w:pgMar w:left="280" w:top="499" w:right="279" w:bottom="1440" w:gutter="0" w:footer="0" w:header="0"/>
          <w:type w:val="continuous"/>
        </w:sectPr>
      </w:pPr>
    </w:p>
    <w:p>
      <w:pPr>
        <w:ind w:left="140"/>
        <w:spacing w:after="0"/>
        <w:tabs>
          <w:tab w:leader="none" w:pos="3880" w:val="left"/>
        </w:tabs>
        <w:rPr>
          <w:sz w:val="20"/>
          <w:szCs w:val="20"/>
          <w:color w:val="auto"/>
        </w:rPr>
      </w:pPr>
      <w:r>
        <w:rPr>
          <w:rFonts w:ascii="Arial" w:cs="Arial" w:eastAsia="Arial" w:hAnsi="Arial"/>
          <w:sz w:val="18"/>
          <w:szCs w:val="18"/>
          <w:color w:val="auto"/>
        </w:rPr>
        <w:t>Juno System</w:t>
      </w:r>
      <w:r>
        <w:rPr>
          <w:sz w:val="20"/>
          <w:szCs w:val="20"/>
          <w:color w:val="auto"/>
        </w:rPr>
        <w:tab/>
      </w:r>
      <w:r>
        <w:rPr>
          <w:rFonts w:ascii="Arial" w:cs="Arial" w:eastAsia="Arial" w:hAnsi="Arial"/>
          <w:sz w:val="16"/>
          <w:szCs w:val="16"/>
          <w:color w:val="auto"/>
        </w:rPr>
        <w:t>An integrated system that automates the preparation of</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amplicon-based libraries for targeted next-generation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DNA sequencing. Additionally, Juno automates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microfluidic workflows for PCR-based gene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expression, genotyping, digital PCR, and copy number</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variant analysis by processing IFCs prior to analysis on</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Biomark HD or EP1 platforms.</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Library preparation for targeted DNA sequencing on NGS systems. End-Point PCR, SNP Genotyping, sample identification, Gene Expression, and digital PCR</w:t>
      </w:r>
    </w:p>
    <w:p>
      <w:pPr>
        <w:sectPr>
          <w:pgSz w:w="11900" w:h="16838" w:orient="portrait"/>
          <w:cols w:equalWidth="0" w:num="2">
            <w:col w:w="7880" w:space="340"/>
            <w:col w:w="3120"/>
          </w:cols>
          <w:pgMar w:left="280" w:top="499" w:right="2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Analytical Instruments:</w:t>
      </w:r>
    </w:p>
    <w:p>
      <w:pPr>
        <w:spacing w:after="0" w:line="189"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Biomark HD System</w:t>
      </w:r>
      <w:r>
        <w:rPr>
          <w:sz w:val="20"/>
          <w:szCs w:val="20"/>
          <w:color w:val="auto"/>
        </w:rPr>
        <w:tab/>
      </w:r>
      <w:r>
        <w:rPr>
          <w:rFonts w:ascii="Arial" w:cs="Arial" w:eastAsia="Arial" w:hAnsi="Arial"/>
          <w:sz w:val="16"/>
          <w:szCs w:val="16"/>
          <w:color w:val="auto"/>
        </w:rPr>
        <w:t>Real-time PCR analytical instrument for microfluidics-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based analysis of gene expression, single-cell targeted</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gene expression, microRNA expression, sample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identification, SNP genotyping, and real-time digital</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PCR.</w:t>
      </w:r>
    </w:p>
    <w:p>
      <w:pPr>
        <w:spacing w:after="0" w:line="170"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EP1 System</w:t>
      </w:r>
      <w:r>
        <w:rPr>
          <w:sz w:val="20"/>
          <w:szCs w:val="20"/>
          <w:color w:val="auto"/>
        </w:rPr>
        <w:tab/>
      </w:r>
      <w:r>
        <w:rPr>
          <w:rFonts w:ascii="Arial" w:cs="Arial" w:eastAsia="Arial" w:hAnsi="Arial"/>
          <w:sz w:val="16"/>
          <w:szCs w:val="16"/>
          <w:color w:val="auto"/>
        </w:rPr>
        <w:t>End-point PCR analytical instrument for microfluidics-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based analysis of SNP genotyping and end-point digital</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PCR.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Fluidic Circuits (IFCs):</w:t>
      </w:r>
    </w:p>
    <w:p>
      <w:pPr>
        <w:spacing w:after="0" w:line="189"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LP IFCs</w:t>
      </w:r>
      <w:r>
        <w:rPr>
          <w:sz w:val="20"/>
          <w:szCs w:val="20"/>
          <w:color w:val="auto"/>
        </w:rPr>
        <w:tab/>
      </w:r>
      <w:r>
        <w:rPr>
          <w:rFonts w:ascii="Arial" w:cs="Arial" w:eastAsia="Arial" w:hAnsi="Arial"/>
          <w:sz w:val="16"/>
          <w:szCs w:val="16"/>
          <w:color w:val="auto"/>
        </w:rPr>
        <w:t>Library Preparation IFCs to support targeted DNA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sequencing of 48 or 192 samples on NGS instruments.</w:t>
      </w:r>
    </w:p>
    <w:p>
      <w:pPr>
        <w:spacing w:after="0" w:line="193"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Juno Genotyping IFC</w:t>
      </w:r>
      <w:r>
        <w:rPr>
          <w:sz w:val="20"/>
          <w:szCs w:val="20"/>
          <w:color w:val="auto"/>
        </w:rPr>
        <w:tab/>
      </w:r>
      <w:r>
        <w:rPr>
          <w:rFonts w:ascii="Arial" w:cs="Arial" w:eastAsia="Arial" w:hAnsi="Arial"/>
          <w:sz w:val="16"/>
          <w:szCs w:val="16"/>
          <w:color w:val="auto"/>
        </w:rPr>
        <w:t>IFC that incorporates preamplification for genotyping</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 96 samples and 96 markers on a single run.</w:t>
      </w:r>
    </w:p>
    <w:p>
      <w:pPr>
        <w:spacing w:after="0" w:line="170"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Dynamic Array IFCs</w:t>
      </w:r>
      <w:r>
        <w:rPr>
          <w:sz w:val="20"/>
          <w:szCs w:val="20"/>
          <w:color w:val="auto"/>
        </w:rPr>
        <w:tab/>
      </w:r>
      <w:r>
        <w:rPr>
          <w:rFonts w:ascii="Arial" w:cs="Arial" w:eastAsia="Arial" w:hAnsi="Arial"/>
          <w:sz w:val="16"/>
          <w:szCs w:val="16"/>
          <w:color w:val="auto"/>
        </w:rPr>
        <w:t>IFCs based on matrix architecture, allowing users to (i)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individually assay up to 24 samples against up to 192</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assays, (ii) individually assay up to 48 samples against</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up to 48 assays, (iii) individually assay up to 96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samples against up to 96 assays, or (iv) individually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assay up to 192 samples against up to 24 assays.</w:t>
      </w:r>
    </w:p>
    <w:p>
      <w:pPr>
        <w:spacing w:after="0" w:line="170"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Digital Array IFCs</w:t>
      </w:r>
      <w:r>
        <w:rPr>
          <w:sz w:val="20"/>
          <w:szCs w:val="20"/>
          <w:color w:val="auto"/>
        </w:rPr>
        <w:tab/>
      </w:r>
      <w:r>
        <w:rPr>
          <w:rFonts w:ascii="Arial" w:cs="Arial" w:eastAsia="Arial" w:hAnsi="Arial"/>
          <w:sz w:val="16"/>
          <w:szCs w:val="16"/>
          <w:color w:val="auto"/>
        </w:rPr>
        <w:t>IFCs based on partitioning architecture allowing users</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to (i) individually assay up to 12 samples or panels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across 765 chambers, or to (ii) individually assay up to</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48 samples across 770 chambers per IFC.</w:t>
      </w:r>
    </w:p>
    <w:p>
      <w:pPr>
        <w:spacing w:after="0" w:line="170"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Flex Six IFC</w:t>
      </w:r>
      <w:r>
        <w:rPr>
          <w:sz w:val="20"/>
          <w:szCs w:val="20"/>
          <w:color w:val="auto"/>
        </w:rPr>
        <w:tab/>
      </w:r>
      <w:r>
        <w:rPr>
          <w:rFonts w:ascii="Arial" w:cs="Arial" w:eastAsia="Arial" w:hAnsi="Arial"/>
          <w:sz w:val="16"/>
          <w:szCs w:val="16"/>
          <w:color w:val="auto"/>
        </w:rPr>
        <w:t>IFC that incorporates six 12 X 12 partitions that can be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organized in any configuration, in up to six separate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experimental runs.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Assays and Reagents:</w:t>
      </w:r>
    </w:p>
    <w:p>
      <w:pPr>
        <w:spacing w:after="0" w:line="189" w:lineRule="exact"/>
        <w:rPr>
          <w:sz w:val="20"/>
          <w:szCs w:val="20"/>
          <w:color w:val="auto"/>
        </w:rPr>
      </w:pPr>
    </w:p>
    <w:p>
      <w:pPr>
        <w:ind w:left="80"/>
        <w:spacing w:after="0"/>
        <w:tabs>
          <w:tab w:leader="none" w:pos="3880" w:val="left"/>
        </w:tabs>
        <w:rPr>
          <w:sz w:val="20"/>
          <w:szCs w:val="20"/>
          <w:color w:val="auto"/>
        </w:rPr>
      </w:pPr>
      <w:r>
        <w:rPr>
          <w:rFonts w:ascii="Arial" w:cs="Arial" w:eastAsia="Arial" w:hAnsi="Arial"/>
          <w:sz w:val="18"/>
          <w:szCs w:val="18"/>
          <w:color w:val="auto"/>
        </w:rPr>
        <w:t>Advanta RNA-Seq NGS Library Prep Kit</w:t>
      </w:r>
      <w:r>
        <w:rPr>
          <w:sz w:val="20"/>
          <w:szCs w:val="20"/>
          <w:color w:val="auto"/>
        </w:rPr>
        <w:tab/>
      </w:r>
      <w:r>
        <w:rPr>
          <w:rFonts w:ascii="Arial" w:cs="Arial" w:eastAsia="Arial" w:hAnsi="Arial"/>
          <w:sz w:val="16"/>
          <w:szCs w:val="16"/>
          <w:color w:val="auto"/>
        </w:rPr>
        <w:t>Integrated solution for automated NGS library prep.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Used with The Juno system with the Advanta RNA-Seq</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reagents and 48.Atlas integrated fluidic circuit, supports</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simultaneous processing of up to 48 total RNA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samples.</w:t>
      </w:r>
    </w:p>
    <w:p>
      <w:pPr>
        <w:spacing w:after="0" w:line="49"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Delta Gene and SNP Type Assays</w:t>
      </w:r>
      <w:r>
        <w:rPr>
          <w:sz w:val="20"/>
          <w:szCs w:val="20"/>
          <w:color w:val="auto"/>
        </w:rPr>
        <w:tab/>
      </w:r>
      <w:r>
        <w:rPr>
          <w:rFonts w:ascii="Arial" w:cs="Arial" w:eastAsia="Arial" w:hAnsi="Arial"/>
          <w:sz w:val="15"/>
          <w:szCs w:val="15"/>
          <w:color w:val="auto"/>
        </w:rPr>
        <w:t>Custom designed assays targeted to genomic regions of</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interest for genotyping and gene expression.</w:t>
      </w:r>
    </w:p>
    <w:p>
      <w:pPr>
        <w:spacing w:after="0" w:line="170" w:lineRule="exact"/>
        <w:rPr>
          <w:sz w:val="20"/>
          <w:szCs w:val="20"/>
          <w:color w:val="auto"/>
        </w:rPr>
      </w:pPr>
    </w:p>
    <w:p>
      <w:pPr>
        <w:ind w:left="120"/>
        <w:spacing w:after="0"/>
        <w:tabs>
          <w:tab w:leader="none" w:pos="3880" w:val="left"/>
        </w:tabs>
        <w:rPr>
          <w:sz w:val="20"/>
          <w:szCs w:val="20"/>
          <w:color w:val="auto"/>
        </w:rPr>
      </w:pPr>
      <w:r>
        <w:rPr>
          <w:rFonts w:ascii="Arial" w:cs="Arial" w:eastAsia="Arial" w:hAnsi="Arial"/>
          <w:sz w:val="18"/>
          <w:szCs w:val="18"/>
          <w:color w:val="auto"/>
        </w:rPr>
        <w:t>Access Array Target-Specific Primers and</w:t>
      </w:r>
      <w:r>
        <w:rPr>
          <w:sz w:val="20"/>
          <w:szCs w:val="20"/>
          <w:color w:val="auto"/>
        </w:rPr>
        <w:tab/>
      </w:r>
      <w:r>
        <w:rPr>
          <w:rFonts w:ascii="Arial" w:cs="Arial" w:eastAsia="Arial" w:hAnsi="Arial"/>
          <w:sz w:val="16"/>
          <w:szCs w:val="16"/>
          <w:color w:val="auto"/>
        </w:rPr>
        <w:t>Custom designed assays for NGS library preparation</w:t>
      </w:r>
    </w:p>
    <w:p>
      <w:pPr>
        <w:spacing w:after="0" w:line="23"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Targeted Sequencing Prep Primers</w:t>
      </w:r>
      <w:r>
        <w:rPr>
          <w:sz w:val="20"/>
          <w:szCs w:val="20"/>
          <w:color w:val="auto"/>
        </w:rPr>
        <w:tab/>
      </w:r>
      <w:r>
        <w:rPr>
          <w:rFonts w:ascii="Arial" w:cs="Arial" w:eastAsia="Arial" w:hAnsi="Arial"/>
          <w:sz w:val="16"/>
          <w:szCs w:val="16"/>
          <w:color w:val="auto"/>
        </w:rPr>
        <w:t>using Access Array chemistry on the Access Array 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Juno systems.</w:t>
      </w:r>
    </w:p>
    <w:p>
      <w:pPr>
        <w:spacing w:after="0" w:line="170" w:lineRule="exact"/>
        <w:rPr>
          <w:sz w:val="20"/>
          <w:szCs w:val="20"/>
          <w:color w:val="auto"/>
        </w:rPr>
      </w:pPr>
    </w:p>
    <w:p>
      <w:pPr>
        <w:ind w:left="140"/>
        <w:spacing w:after="0"/>
        <w:tabs>
          <w:tab w:leader="none" w:pos="3880" w:val="left"/>
        </w:tabs>
        <w:rPr>
          <w:sz w:val="20"/>
          <w:szCs w:val="20"/>
          <w:color w:val="auto"/>
        </w:rPr>
      </w:pPr>
      <w:r>
        <w:rPr>
          <w:rFonts w:ascii="Arial" w:cs="Arial" w:eastAsia="Arial" w:hAnsi="Arial"/>
          <w:sz w:val="18"/>
          <w:szCs w:val="18"/>
          <w:color w:val="auto"/>
        </w:rPr>
        <w:t>Targeted DNA Seq Library Assays</w:t>
      </w:r>
      <w:r>
        <w:rPr>
          <w:sz w:val="20"/>
          <w:szCs w:val="20"/>
          <w:color w:val="auto"/>
        </w:rPr>
        <w:tab/>
      </w:r>
      <w:r>
        <w:rPr>
          <w:rFonts w:ascii="Arial" w:cs="Arial" w:eastAsia="Arial" w:hAnsi="Arial"/>
          <w:sz w:val="16"/>
          <w:szCs w:val="16"/>
          <w:color w:val="auto"/>
        </w:rPr>
        <w:t>Custom designed assays for NGS library preparation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using Targeted DNA Sequencing Library Preparation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chemistry on the Access Array or Juno systems.</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SNP Genotyping, sample identification, Digital PCR, and Gene Expression, including Single-Cell Targeted Gene Expression</w:t>
      </w: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SNP Genotyping, sample identification, and 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Genotyping, sample identification</w:t>
      </w:r>
    </w:p>
    <w:p>
      <w:pPr>
        <w:spacing w:after="0" w:line="200" w:lineRule="exact"/>
        <w:rPr>
          <w:sz w:val="20"/>
          <w:szCs w:val="20"/>
          <w:color w:val="auto"/>
        </w:rPr>
      </w:pPr>
    </w:p>
    <w:p>
      <w:pPr>
        <w:spacing w:after="0" w:line="20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Real-time qPCR, End-Point PCR, SNP Genotyping and Gene Expression, including Single-Cell Targeted Gene Expression, sample identification, copy number variant analysis</w:t>
      </w:r>
    </w:p>
    <w:p>
      <w:pPr>
        <w:spacing w:after="0" w:line="3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Digital PCR, Copy Number Variation and Variant Detection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Gene Expression and SNP Genotyping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Library preparation for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Gene Expression, Single-Cell Targeted Gene Expression, SNP Genotyping</w:t>
      </w:r>
    </w:p>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pacing w:after="0" w:line="3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Library preparation for targeted next-generation DNA sequencing</w:t>
      </w:r>
    </w:p>
    <w:p>
      <w:pPr>
        <w:sectPr>
          <w:pgSz w:w="11900" w:h="16838" w:orient="portrait"/>
          <w:cols w:equalWidth="0" w:num="2">
            <w:col w:w="7940" w:space="280"/>
            <w:col w:w="3000"/>
          </w:cols>
          <w:pgMar w:left="280" w:top="499" w:right="39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b w:val="1"/>
          <w:bCs w:val="1"/>
          <w:color w:val="auto"/>
        </w:rPr>
        <w:t>Single Cell Microfluidics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Instrument:</w:t>
      </w:r>
    </w:p>
    <w:p>
      <w:pPr>
        <w:spacing w:after="0" w:line="189" w:lineRule="exact"/>
        <w:rPr>
          <w:sz w:val="20"/>
          <w:szCs w:val="20"/>
          <w:color w:val="auto"/>
        </w:rPr>
      </w:pPr>
    </w:p>
    <w:p>
      <w:pPr>
        <w:ind w:left="180"/>
        <w:spacing w:after="0"/>
        <w:tabs>
          <w:tab w:leader="none" w:pos="3920" w:val="left"/>
        </w:tabs>
        <w:rPr>
          <w:sz w:val="20"/>
          <w:szCs w:val="20"/>
          <w:color w:val="auto"/>
        </w:rPr>
      </w:pPr>
      <w:r>
        <w:rPr>
          <w:rFonts w:ascii="Arial" w:cs="Arial" w:eastAsia="Arial" w:hAnsi="Arial"/>
          <w:sz w:val="18"/>
          <w:szCs w:val="18"/>
          <w:color w:val="auto"/>
        </w:rPr>
        <w:t>C1 System</w:t>
      </w:r>
      <w:r>
        <w:rPr>
          <w:sz w:val="20"/>
          <w:szCs w:val="20"/>
          <w:color w:val="auto"/>
        </w:rPr>
        <w:tab/>
      </w:r>
      <w:r>
        <w:rPr>
          <w:rFonts w:ascii="Arial" w:cs="Arial" w:eastAsia="Arial" w:hAnsi="Arial"/>
          <w:sz w:val="16"/>
          <w:szCs w:val="16"/>
          <w:color w:val="auto"/>
        </w:rPr>
        <w:t>Sample preparation system that rapidly and reliably</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isolates and processes individual cells for genomic</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Analytical Instruments:</w:t>
      </w:r>
    </w:p>
    <w:p>
      <w:pPr>
        <w:spacing w:after="0" w:line="189" w:lineRule="exact"/>
        <w:rPr>
          <w:sz w:val="20"/>
          <w:szCs w:val="20"/>
          <w:color w:val="auto"/>
        </w:rPr>
      </w:pPr>
    </w:p>
    <w:p>
      <w:pPr>
        <w:ind w:left="180"/>
        <w:spacing w:after="0"/>
        <w:tabs>
          <w:tab w:leader="none" w:pos="3920" w:val="left"/>
        </w:tabs>
        <w:rPr>
          <w:sz w:val="20"/>
          <w:szCs w:val="20"/>
          <w:color w:val="auto"/>
        </w:rPr>
      </w:pPr>
      <w:r>
        <w:rPr>
          <w:rFonts w:ascii="Arial" w:cs="Arial" w:eastAsia="Arial" w:hAnsi="Arial"/>
          <w:sz w:val="18"/>
          <w:szCs w:val="18"/>
          <w:color w:val="auto"/>
        </w:rPr>
        <w:t>Polaris System</w:t>
      </w:r>
      <w:r>
        <w:rPr>
          <w:sz w:val="20"/>
          <w:szCs w:val="20"/>
          <w:color w:val="auto"/>
        </w:rPr>
        <w:tab/>
      </w:r>
      <w:r>
        <w:rPr>
          <w:rFonts w:ascii="Arial" w:cs="Arial" w:eastAsia="Arial" w:hAnsi="Arial"/>
          <w:sz w:val="16"/>
          <w:szCs w:val="16"/>
          <w:color w:val="auto"/>
        </w:rPr>
        <w:t>System and IFC that enables single cell contextual</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studies by facilitating active/live cell selection,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isolation, imaging, dosing, and cell culturing</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workflows.</w:t>
      </w:r>
    </w:p>
    <w:p>
      <w:pPr>
        <w:spacing w:after="0" w:line="170" w:lineRule="exact"/>
        <w:rPr>
          <w:sz w:val="20"/>
          <w:szCs w:val="20"/>
          <w:color w:val="auto"/>
        </w:rPr>
      </w:pPr>
    </w:p>
    <w:p>
      <w:pPr>
        <w:ind w:left="180"/>
        <w:spacing w:after="0"/>
        <w:tabs>
          <w:tab w:leader="none" w:pos="3920" w:val="left"/>
        </w:tabs>
        <w:rPr>
          <w:sz w:val="20"/>
          <w:szCs w:val="20"/>
          <w:color w:val="auto"/>
        </w:rPr>
      </w:pPr>
      <w:r>
        <w:rPr>
          <w:rFonts w:ascii="Arial" w:cs="Arial" w:eastAsia="Arial" w:hAnsi="Arial"/>
          <w:sz w:val="18"/>
          <w:szCs w:val="18"/>
          <w:color w:val="auto"/>
        </w:rPr>
        <w:t>C1 IFCs</w:t>
      </w:r>
      <w:r>
        <w:rPr>
          <w:sz w:val="20"/>
          <w:szCs w:val="20"/>
          <w:color w:val="auto"/>
        </w:rPr>
        <w:tab/>
      </w:r>
      <w:r>
        <w:rPr>
          <w:rFonts w:ascii="Arial" w:cs="Arial" w:eastAsia="Arial" w:hAnsi="Arial"/>
          <w:sz w:val="16"/>
          <w:szCs w:val="16"/>
          <w:color w:val="auto"/>
        </w:rPr>
        <w:t>IFCs that capture up to 800 cells between 5-25 microns</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in diameter and then automatically process the cells for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 variety of genomic analysis using thermal and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pneumatic controls at nanoliter scale.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Single-Cell Targeted Gene Expression, Single-Cell microRNA Analysis, Single-Cell mRNA Sequencing (Full Length and End-Counting), Single-Cell Targeted DNA Sequencing, Single-Cell Whole Exome Sequencing, and Single-Cell Whole Genome DNA Sequencing, Single-Cell Epigenetics, Total RNA sequencing, T-ATAC-seq, REAP-Seq (RNA and Protein)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Functional Genomics Using Single-Cell mRNA Sequencing</w:t>
      </w:r>
    </w:p>
    <w:p>
      <w:pPr>
        <w:spacing w:after="0" w:line="200" w:lineRule="exact"/>
        <w:rPr>
          <w:sz w:val="20"/>
          <w:szCs w:val="20"/>
          <w:color w:val="auto"/>
        </w:rPr>
      </w:pPr>
    </w:p>
    <w:p>
      <w:pPr>
        <w:spacing w:after="0" w:line="38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Single-Cell Targeted Gene Expression, Single-Cell microRNA Analysis, Single-Cell mRNA Sequencing (Full Length and End-Counting), Single-Cell Targeted DNA Sequencing, Single-Cell Whole Exome DNA Sequencing, and Single-Cell Whole Genome DNA Sequencing, Total RNA sequencing, T-ATAC-seq, REAP-Seq (RNA and Protein). Additional customer and 3</w:t>
      </w:r>
      <w:r>
        <w:rPr>
          <w:rFonts w:ascii="Arial" w:cs="Arial" w:eastAsia="Arial" w:hAnsi="Arial"/>
          <w:sz w:val="22"/>
          <w:szCs w:val="22"/>
          <w:color w:val="auto"/>
          <w:vertAlign w:val="superscript"/>
        </w:rPr>
        <w:t>rd</w:t>
      </w:r>
      <w:r>
        <w:rPr>
          <w:rFonts w:ascii="Arial" w:cs="Arial" w:eastAsia="Arial" w:hAnsi="Arial"/>
          <w:sz w:val="16"/>
          <w:szCs w:val="16"/>
          <w:color w:val="auto"/>
        </w:rPr>
        <w:t>-party developed applications available through Fluidigm Script Hub</w:t>
      </w:r>
    </w:p>
    <w:p>
      <w:pPr>
        <w:spacing w:after="0" w:line="155" w:lineRule="exact"/>
        <w:rPr>
          <w:sz w:val="20"/>
          <w:szCs w:val="20"/>
          <w:color w:val="auto"/>
        </w:rPr>
      </w:pPr>
    </w:p>
    <w:p>
      <w:pPr>
        <w:sectPr>
          <w:pgSz w:w="11900" w:h="16838" w:orient="portrait"/>
          <w:cols w:equalWidth="0" w:num="2">
            <w:col w:w="7920" w:space="340"/>
            <w:col w:w="3140"/>
          </w:cols>
          <w:pgMar w:left="240" w:top="499" w:right="259" w:bottom="1440" w:gutter="0" w:footer="0" w:header="0"/>
        </w:sectPr>
      </w:pPr>
    </w:p>
    <w:p>
      <w:pPr>
        <w:ind w:left="180"/>
        <w:spacing w:after="0"/>
        <w:tabs>
          <w:tab w:leader="none" w:pos="3920" w:val="left"/>
          <w:tab w:leader="none" w:pos="8240" w:val="left"/>
        </w:tabs>
        <w:rPr>
          <w:sz w:val="20"/>
          <w:szCs w:val="20"/>
          <w:color w:val="auto"/>
        </w:rPr>
      </w:pPr>
      <w:r>
        <w:rPr>
          <w:rFonts w:ascii="Arial" w:cs="Arial" w:eastAsia="Arial" w:hAnsi="Arial"/>
          <w:sz w:val="18"/>
          <w:szCs w:val="18"/>
          <w:color w:val="auto"/>
        </w:rPr>
        <w:t>Polaris IFC</w:t>
      </w:r>
      <w:r>
        <w:rPr>
          <w:sz w:val="20"/>
          <w:szCs w:val="20"/>
          <w:color w:val="auto"/>
        </w:rPr>
        <w:tab/>
      </w:r>
      <w:r>
        <w:rPr>
          <w:rFonts w:ascii="Arial" w:cs="Arial" w:eastAsia="Arial" w:hAnsi="Arial"/>
          <w:sz w:val="18"/>
          <w:szCs w:val="18"/>
          <w:color w:val="auto"/>
        </w:rPr>
        <w:t>IFC that actively selects, captures and cultures up to 48</w:t>
      </w:r>
      <w:r>
        <w:rPr>
          <w:sz w:val="20"/>
          <w:szCs w:val="20"/>
          <w:color w:val="auto"/>
        </w:rPr>
        <w:tab/>
      </w:r>
      <w:r>
        <w:rPr>
          <w:rFonts w:ascii="Arial" w:cs="Arial" w:eastAsia="Arial" w:hAnsi="Arial"/>
          <w:sz w:val="16"/>
          <w:szCs w:val="16"/>
          <w:color w:val="auto"/>
        </w:rPr>
        <w:t>Functional Genomics of Single Cells</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single-cells for up to 24 hours. It integrates media</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exchange, dosing and time course studies followed by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cell lysis, reverse transcriptions and library preparation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for single cell mRNA sequencing.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17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Our IFCs are manufactured using multi-layer soft lithography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17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99" w:right="259" w:bottom="1440" w:gutter="0" w:footer="0" w:header="0"/>
          <w:type w:val="continuous"/>
        </w:sectPr>
      </w:pPr>
    </w:p>
    <w:bookmarkStart w:id="8" w:name="page9"/>
    <w:bookmarkEnd w:id="8"/>
    <w:p>
      <w:pPr>
        <w:ind w:right="760"/>
        <w:spacing w:after="0" w:line="277" w:lineRule="auto"/>
        <w:rPr>
          <w:sz w:val="20"/>
          <w:szCs w:val="20"/>
          <w:color w:val="auto"/>
        </w:rPr>
      </w:pPr>
      <w:r>
        <w:rPr>
          <w:rFonts w:ascii="Arial" w:cs="Arial" w:eastAsia="Arial" w:hAnsi="Arial"/>
          <w:sz w:val="18"/>
          <w:szCs w:val="18"/>
          <w:color w:val="auto"/>
        </w:rPr>
        <w:t>interaction of our IFCs with the actual laboratory environment. Our IFCs are built on specially designed input frames that are compatible with most commonly used laboratory systems.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mass cytometry instrumentation technology includes a custom-designed inductively coupled plasma ion source, ion-optical and vacuum systems, and instrument control electronics. With our Helios system, which is an enhanced version of our CyTOF 2 system, individual cells are atomized, ionized, and extracted. A time-of-flight mass analyzer separates atomic ions of different mass-to-charge ratios, providing information on temporal distribution of ions. The Hyperion Imaging System combines mass cytometry technology with imaging capability to enable simultaneous interrogation of up to 37 protein markers in the spatial context of the tissue microenvironment. Our systems have the ability to utilize up to 135 channels to detect additional parameters to meet future market needs.</w:t>
      </w:r>
    </w:p>
    <w:p>
      <w:pPr>
        <w:spacing w:after="0" w:line="13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Polaris system combines the capabilities of all these instruments by incorporating thermal cycling, IFC control, environmental regulation, and imaging.</w:t>
      </w:r>
    </w:p>
    <w:p>
      <w:pPr>
        <w:spacing w:after="0" w:line="13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We offer Fluidigm Cytobank, our cloud-based platform of analytical tools, for use with the Helios system.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17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manufacture metal-conjugated antibodies for use with our mass cytometry instruments to allow detection of up to approximately 44 protein targets simultaneously in a single cell for a total of more than 50 detected cellular parameters. Our metal-conjugated antibodies are manufactured using metal-chelating polymers, which are produced using proprietary polymerization processes and subsequent post-polymerization modifications.</w:t>
      </w:r>
    </w:p>
    <w:p>
      <w:pPr>
        <w:spacing w:after="0" w:line="11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Delta Gene and single-nucleotide polymorphism type (SNP Type) assay products consist of assay design and custom content delivery systems for gene expression and genotyping, respectively. These offerings provide low-cost alternatives to other available chemistries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products enable comprehensive interrogation of biological samples across a range of genomic and protein molecular biomarkers.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Genomics</w:t>
      </w:r>
    </w:p>
    <w:p>
      <w:pPr>
        <w:spacing w:after="0" w:line="17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03" w:right="259" w:bottom="1440" w:gutter="0" w:footer="0" w:header="0"/>
        </w:sectPr>
      </w:pPr>
    </w:p>
    <w:bookmarkStart w:id="9" w:name="page10"/>
    <w:bookmarkEnd w:id="9"/>
    <w:p>
      <w:pPr>
        <w:ind w:left="820" w:right="120" w:hanging="407"/>
        <w:spacing w:after="0" w:line="31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(SNPs), insertion-deletions and copy number variation. A common application of genotyping focuses on analyzing SNPs to determine whether a SNP or group of SNPs are associated with a particular genetic trait, such as propensity for a disease.</w:t>
      </w:r>
    </w:p>
    <w:p>
      <w:pPr>
        <w:spacing w:after="0" w:line="92" w:lineRule="exact"/>
        <w:rPr>
          <w:rFonts w:ascii="Arial" w:cs="Arial" w:eastAsia="Arial" w:hAnsi="Arial"/>
          <w:sz w:val="16"/>
          <w:szCs w:val="16"/>
          <w:color w:val="auto"/>
        </w:rPr>
      </w:pPr>
    </w:p>
    <w:p>
      <w:pPr>
        <w:ind w:left="820" w:right="300" w:hanging="407"/>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(mRNAs), which have been transcribed from genes. Determining these levels is important because mRNAs are often translated by the cell into proteins and may affect the activity of the cell or the larger organism.</w:t>
      </w:r>
    </w:p>
    <w:p>
      <w:pPr>
        <w:spacing w:after="0" w:line="127" w:lineRule="exact"/>
        <w:rPr>
          <w:rFonts w:ascii="Arial" w:cs="Arial" w:eastAsia="Arial" w:hAnsi="Arial"/>
          <w:sz w:val="18"/>
          <w:szCs w:val="18"/>
          <w:color w:val="auto"/>
        </w:rPr>
      </w:pPr>
    </w:p>
    <w:p>
      <w:pPr>
        <w:ind w:left="820" w:hanging="407"/>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133"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(real-time qPCR) is a more advanced form of PCR that makes it possible to quantify the number of copies of DNA present in a sample.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Proteomics</w:t>
      </w:r>
    </w:p>
    <w:p>
      <w:pPr>
        <w:spacing w:after="0" w:line="175"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Another focus within life science research is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w:t>
      </w:r>
    </w:p>
    <w:p>
      <w:pPr>
        <w:spacing w:after="0" w:line="134" w:lineRule="exact"/>
        <w:rPr>
          <w:sz w:val="20"/>
          <w:szCs w:val="20"/>
          <w:color w:val="auto"/>
        </w:rPr>
      </w:pPr>
    </w:p>
    <w:p>
      <w:pPr>
        <w:ind w:right="1640" w:firstLine="392"/>
        <w:spacing w:after="0" w:line="277" w:lineRule="auto"/>
        <w:rPr>
          <w:sz w:val="20"/>
          <w:szCs w:val="20"/>
          <w:color w:val="auto"/>
        </w:rPr>
      </w:pPr>
      <w:r>
        <w:rPr>
          <w:rFonts w:ascii="Arial" w:cs="Arial" w:eastAsia="Arial" w:hAnsi="Arial"/>
          <w:sz w:val="18"/>
          <w:szCs w:val="18"/>
          <w:color w:val="auto"/>
        </w:rPr>
        <w:t>There are several forms of high-throughput protein analysis in use today, including mass spectrometry, traditional flow cytometry, immunohistochemistry and both suspension and imaging mass cytometry.</w:t>
      </w:r>
    </w:p>
    <w:p>
      <w:pPr>
        <w:spacing w:after="0" w:line="116" w:lineRule="exact"/>
        <w:rPr>
          <w:sz w:val="20"/>
          <w:szCs w:val="20"/>
          <w:color w:val="auto"/>
        </w:rPr>
      </w:pPr>
    </w:p>
    <w:p>
      <w:pPr>
        <w:ind w:left="820" w:right="40" w:hanging="407"/>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 not, by themselves, enable researchers to analyze data at a single cell level.</w:t>
      </w:r>
    </w:p>
    <w:p>
      <w:pPr>
        <w:spacing w:after="0" w:line="127" w:lineRule="exact"/>
        <w:rPr>
          <w:rFonts w:ascii="Arial" w:cs="Arial" w:eastAsia="Arial" w:hAnsi="Arial"/>
          <w:sz w:val="18"/>
          <w:szCs w:val="18"/>
          <w:color w:val="auto"/>
        </w:rPr>
      </w:pPr>
    </w:p>
    <w:p>
      <w:pPr>
        <w:ind w:left="820" w:right="280" w:hanging="407"/>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39" w:lineRule="exact"/>
        <w:rPr>
          <w:rFonts w:ascii="Arial" w:cs="Arial" w:eastAsia="Arial" w:hAnsi="Arial"/>
          <w:sz w:val="18"/>
          <w:szCs w:val="18"/>
          <w:color w:val="auto"/>
        </w:rPr>
      </w:pPr>
    </w:p>
    <w:p>
      <w:pPr>
        <w:ind w:left="820" w:right="120" w:hanging="407"/>
        <w:spacing w:after="0" w:line="273"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24" w:lineRule="exact"/>
        <w:rPr>
          <w:rFonts w:ascii="Arial" w:cs="Arial" w:eastAsia="Arial" w:hAnsi="Arial"/>
          <w:sz w:val="17"/>
          <w:szCs w:val="17"/>
          <w:color w:val="auto"/>
        </w:rPr>
      </w:pPr>
    </w:p>
    <w:p>
      <w:pPr>
        <w:ind w:left="820" w:hanging="407"/>
        <w:spacing w:after="0" w:line="30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03" w:right="259" w:bottom="1440" w:gutter="0" w:footer="0" w:header="0"/>
        </w:sectPr>
      </w:pPr>
    </w:p>
    <w:bookmarkStart w:id="10" w:name="page11"/>
    <w:bookmarkEnd w:id="10"/>
    <w:p>
      <w:pPr>
        <w:ind w:left="820" w:right="2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sell our instruments for research use only to leading academic research institutions, translational research and medicine centers, cancer centers, clinical research laboratories, and biopharmaceutical, biotechnology, and plant and animal research companies. No single customer represented more than 10% of our total revenue for 2019, 2018, or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Service and Support</w:t>
      </w:r>
    </w:p>
    <w:p>
      <w:pPr>
        <w:spacing w:after="0" w:line="17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10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we had 187 people employed in sales, technical support, and marketing.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manufacturing operations are primarily located in Singapore and Canada. Our facility in Singapore manufactures our IFCs and manages production of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As part of our on-going efforts related to operational excellence and improving efficiencies, we consolidated our North American production of reagents for mass cytometry activities into our Canadian facility in 2019.</w:t>
      </w:r>
    </w:p>
    <w:p>
      <w:pPr>
        <w:spacing w:after="0" w:line="13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certain metal isotopes used with, our Helios system; specially developed lasers used in our Hyperion Imaging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largest component of our current research and development effort is in the areas of new products, new applications and new content. In the area of mass cytometry, we developed an initial prototype imaging mass cytometer instrument in 2016, and successfully launched the commercial Hyperion Imaging System in October 2017. The imaging mass cytometer system provides spatial resolution of protein expression in complex tissue samples at the single-cell level, quantitative measurement using metal isotope tags, and analysis of up to 37 proteins. We also developed metal-labeled antibodies compatible with formalin fixed paraffin embedded tissue samples, to be used with the Hyperion. We also invest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03" w:right="259" w:bottom="1440" w:gutter="0" w:footer="0" w:header="0"/>
        </w:sectPr>
      </w:pPr>
    </w:p>
    <w:bookmarkStart w:id="11" w:name="page12"/>
    <w:bookmarkEnd w:id="11"/>
    <w:p>
      <w:pPr>
        <w:ind w:right="40"/>
        <w:spacing w:after="0" w:line="297" w:lineRule="auto"/>
        <w:rPr>
          <w:sz w:val="20"/>
          <w:szCs w:val="20"/>
          <w:color w:val="auto"/>
        </w:rPr>
      </w:pPr>
      <w:r>
        <w:rPr>
          <w:rFonts w:ascii="Arial" w:cs="Arial" w:eastAsia="Arial" w:hAnsi="Arial"/>
          <w:sz w:val="16"/>
          <w:szCs w:val="16"/>
          <w:color w:val="auto"/>
        </w:rPr>
        <w:t>significantly in research and development efforts to expand our single-cell and production genomics applications. For example, we continue to develop and commercialize various panel sets for cancer research for use with our systems. In 2017, we successfully launched the Advanta™ Immuno-Oncology Gene Expression Assay, which is a 170-gene expression qPCR assay that enables profiling of tumor immunobiology and new biomarker identification. In 2019, we launched the Advanta™ RNA-Seq NGS Library Prep Kit. Designed to drive significant improvement in the RNA-seq workflow, the Advanta RNA-Seq NGS Library Prep Kit together with the Juno™ system delivers an integrated solution for automated, cost-efficient NGS library prep.</w:t>
      </w:r>
    </w:p>
    <w:p>
      <w:pPr>
        <w:spacing w:after="0" w:line="104"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In 2019, we launched the Maxpar Direct Immune Profiling Assay, a sample-to-answer workflow for comprehensive human immune profiling for use with our Helios system, that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both the Helios and Hyperion systems. Also in 2019, we added seven new metal antibody labels, becoming the first company to enable 50-plex cytometry panels, and launched three Imaging Mass Cytometry Panel Kits as well as CyTOF7.0, an advanced CyTOF software.</w:t>
      </w:r>
    </w:p>
    <w:p>
      <w:pPr>
        <w:spacing w:after="0" w:line="13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research and development expenses were $31.6 million, $30.0 million and $30.8 million in 2019, 2018, and 2017 respectively. As of December 31, 2019, 123 of our employees were engaged in research and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life science markets are highly competitive and expected to grow more competitive with the increasing knowledge gained from ongoing research and development. We believe that the principal competitive factors in our target markets include competition for human resources; cost of capital equipment and supplies; reputation among customers; innovation in product offerings; flexibility and ease of use; accuracy and reproducibility of results; and compatibility with existing laboratory processes, tools, and methods.</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biological innovation and applications that solve customer problems.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2019, we owned or licensed over 520 patents and we had approximately 158 pending patent applications worldwide. Our patents have expiration dates ranging up to 2036.</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03" w:right="259" w:bottom="1440" w:gutter="0" w:footer="0" w:header="0"/>
        </w:sectPr>
      </w:pPr>
    </w:p>
    <w:bookmarkStart w:id="12" w:name="page13"/>
    <w:bookmarkEnd w:id="12"/>
    <w:p>
      <w:pPr>
        <w:ind w:right="62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(Caliper), now a PerkinElmer company:</w:t>
      </w:r>
    </w:p>
    <w:p>
      <w:pPr>
        <w:spacing w:after="0" w:line="127" w:lineRule="exact"/>
        <w:rPr>
          <w:sz w:val="20"/>
          <w:szCs w:val="20"/>
          <w:color w:val="auto"/>
        </w:rPr>
      </w:pPr>
    </w:p>
    <w:p>
      <w:pPr>
        <w:ind w:left="820" w:right="60" w:hanging="407"/>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132" w:lineRule="exact"/>
        <w:rPr>
          <w:rFonts w:ascii="Arial" w:cs="Arial" w:eastAsia="Arial" w:hAnsi="Arial"/>
          <w:sz w:val="18"/>
          <w:szCs w:val="18"/>
          <w:color w:val="auto"/>
        </w:rPr>
      </w:pPr>
    </w:p>
    <w:p>
      <w:pPr>
        <w:jc w:val="both"/>
        <w:ind w:left="820" w:right="260" w:hanging="407"/>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127" w:lineRule="exact"/>
        <w:rPr>
          <w:rFonts w:ascii="Arial" w:cs="Arial" w:eastAsia="Arial" w:hAnsi="Arial"/>
          <w:sz w:val="18"/>
          <w:szCs w:val="18"/>
          <w:color w:val="auto"/>
        </w:rPr>
      </w:pPr>
    </w:p>
    <w:p>
      <w:pPr>
        <w:ind w:left="820" w:right="520" w:hanging="407"/>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May 2011, we entered into a license agreement with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pacing w:after="0" w:line="11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i w:val="1"/>
          <w:iCs w:val="1"/>
          <w:color w:val="auto"/>
        </w:rPr>
        <w:t xml:space="preserve">Instrumentation and Digital PCR. </w:t>
      </w:r>
      <w:r>
        <w:rPr>
          <w:rFonts w:ascii="Arial" w:cs="Arial" w:eastAsia="Arial" w:hAnsi="Arial"/>
          <w:sz w:val="17"/>
          <w:szCs w:val="17"/>
          <w:color w:val="auto"/>
        </w:rPr>
        <w:t>On June 30, 2011, we settled litigation and entered into a series of patent cross-license and sub-license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Life Technologies Corporation (now part of Thermo Fisher Scientific Inc.) and its subsidiary Applied Biosystems, LLC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In November 2017, we settled pending litigation with Life and, pursuant to the terms of the settlement, one of the patent license agreements was amended to provide Life with a fully paid-up license under the patents covered by the agreement, subject to certain field of use restrictions. The license agreement will terminate with the last-to-expire of the licensed patents, which is expected to be in 2028.</w:t>
      </w:r>
    </w:p>
    <w:p>
      <w:pPr>
        <w:spacing w:after="0" w:line="12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i w:val="1"/>
          <w:iCs w:val="1"/>
          <w:color w:val="auto"/>
        </w:rPr>
        <w:t xml:space="preserve">Mass Cytometry. </w:t>
      </w:r>
      <w:r>
        <w:rPr>
          <w:rFonts w:ascii="Arial" w:cs="Arial" w:eastAsia="Arial" w:hAnsi="Arial"/>
          <w:sz w:val="17"/>
          <w:szCs w:val="17"/>
          <w:color w:val="auto"/>
        </w:rPr>
        <w:t>Some of the intellectual property rights covering our mass cytometry products were subject to a license agreement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Agreement) between Fluidigm Canada Inc. (Fluidigm Canada), and PerkinElmer Health Sciences, Inc. (PerkinElmer). Under the Original License Agreement, Fluidigm Canada received an exclusive, royalty bearing, worldwide license to certain patents owned by PerkinElmer in the field of inductively coupled plasma (ICP) -based mass cytometry, including the analysis of elemental tagged materials in connection therewith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134"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they are not subject to regulation by the U.S. Food and Drug Administration (FDA). Rather, while FDA regulations require that research use only products be labeled, “For Research Use Only. Not for use in diagnostic procedures,” or RUO products, the regulations do not subject such products to the FDA’s jurisdiction or the broader pre- and post-market controls for medical devices.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purposes only will not necessarily render the device exempt from the FDA’s clearance, approval, or other regulatory requirements if the totality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circumstances surrounding the distribution of the product indicate that the manufacturer knows its product is being used by customers for diagnostic uses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manufacturer intends such a use. These circumstances may include, among other things, written or verbal marketing claims regarding a product’s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in clinical diagnostic applications and a manufacturer’s provision of technical support for such activities. In the future, certain of our products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applications could become subject to regulation as medical devices by the FDA. If we wish to label and market our products for use in performing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diagnostics, thus subjecting them to regulation by the FDA under premarket and postmarket control as medical devices, unless an exemption applies,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would be required to obtain either prior 510(k) clearance or prior pre-market approval from the FDA before commercializing the product. The FDA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classifies medical devices into one of three classes. Devices deemed to pose lower risk to the patient are placed in either class I or II, which, unless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exemption applies, requires the manufacturer to submit a pre-market notification requesting FDA clearance for commercial distribution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510(k) of the FFDCA. This process, known as 510(k) clearance, requires that the manufacturer demonstrate that the device is substantially equivalent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previously cleared and legally marketed 510(k) device or a “pre-amendment” class III device for which pre-market approval applications (PMAs)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been required by the FDA. This FDA review process typically takes from four to twelve months, although it can take longer. Most class I devices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exempted from this 510(k) premarket submission requirement. Devices deemed by the FDA to pose the greatest risk, such as life-sustaining, life-supporting,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implantable devices, or those deemed not substantially equivalent to a legally marketed predicate device, are placed in class III. Class III devices typically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 PMA approval. To obtain PMA approval, an applicant must demonstrate the reasonable safety and effectiveness of the device based, in part, on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in clinical studies. PMA reviews generally last between one and two years, although they can take longer. Both the 510(k) and the PMA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 be expensive and lengthy and may not result in clearance or approval. If we are required to submit our products for pre-market review by the FDA,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required to delay marketing and commercialization while we obtain premarket clearance or approval from the FDA. There would be no assurance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could ever obtain such clearance or approval.</w:t>
      </w:r>
    </w:p>
    <w:p>
      <w:pPr>
        <w:spacing w:after="0" w:line="15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1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Outside of the EU, regulatory approval needs to be sought on a country-by-country basis in order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market medical devices. Although there is a trend towards harmonization of quality system, standards and regulations in each country may vary substantially which can affect timelines of introduction.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12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Information</w:t>
      </w:r>
    </w:p>
    <w:p>
      <w:pPr>
        <w:spacing w:after="0" w:line="17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During the last three years, a significant portion of our revenue was generated outside of the United States. Total revenue received from customers outside the United States equaled $73.9 million, or 63% of our total revenue, in 2019, compared to $64.8 million, or 57% of our total revenue, in 2018, and $56.1 million, or 55% of our total revenue, in 2017. The majority of our long-lived assets are located within the United States, in Singapore and in Canada. Please see Note 3 and Note 12 to our audited consolidated financial statements for additional information regarding geographic areas.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business is not subject to significant seasonality. However, the timing of customer orders and shipments, customer budget and spending cycles, and new product releases can result in variability in our quarterly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75"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right="140" w:firstLine="392"/>
        <w:spacing w:after="0" w:line="312" w:lineRule="auto"/>
        <w:rPr>
          <w:sz w:val="20"/>
          <w:szCs w:val="20"/>
          <w:color w:val="auto"/>
        </w:rPr>
      </w:pPr>
      <w:r>
        <w:rPr>
          <w:rFonts w:ascii="Arial" w:cs="Arial" w:eastAsia="Arial" w:hAnsi="Arial"/>
          <w:sz w:val="16"/>
          <w:szCs w:val="16"/>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As of December 31, 2019, we had 566 employees, of which 123 work in research and development, 134 work in general and administrative, 122 work in manufacturing, and 187 work in sales, technical support, and marketing. None of our employees are represented by a labor union nor are they subject to a collective bargaining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0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until March 13, 2020, and thereafter will be located at Two Tower Place,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http://investors.fluidigm.com. The SEC also maintains an Internet site at www.sec.gov that contains reports, proxy and information statements, and other information regarding issuers that electronically file with the SEC.</w:t>
      </w:r>
    </w:p>
    <w:p>
      <w:pPr>
        <w:spacing w:after="0" w:line="1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contents of our website are not a part of, and are not incorporated by reference into, this Annual Report on Form 10-K or any other report or document we file with the SEC. Any reference to our website is intended to be an inactive textual reference only.</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intend to use our website, www.fluidigm.com as a means of disclosing material non-public information and for complying with our disclosure obligations under SEC Regulation FD. Such disclosures will be included on our website under “About Us &gt; Investors.” Accordingly, investors should monitor the “Investors” section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0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 If any of the risks or uncertainties we face were to occur, the trading price of our securities could decline, and you may lose all or part of your investment.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88"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2017 compared to 2016, but increased year-over-year in 2018 compared to 2017. Our revenue continued to increase year-over-year in 2019 compared to 2018,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3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$64.8 million, $59.0 million, and $60.5 million during the years 2019, 2018, and 2017, respectively. As of December 31, 2019, we had an accumulated deficit of $623.6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37" w:right="279" w:bottom="1440" w:gutter="0" w:footer="0" w:header="0"/>
        </w:sectPr>
      </w:pPr>
    </w:p>
    <w:bookmarkStart w:id="17" w:name="page18"/>
    <w:bookmarkEnd w:id="17"/>
    <w:p>
      <w:pPr>
        <w:ind w:right="60" w:firstLine="405"/>
        <w:spacing w:after="0" w:line="312"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187"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 generation DNA sequencing,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1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consider Illumina, Inc.,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in the mass cytometry markets, and that IonPath Inc., Akoya Biosciences, Inc., and NanoString are our principal competitors in imaging mass cytometry.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3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03" w:right="239" w:bottom="144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2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3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03" w:right="239" w:bottom="1440" w:gutter="0" w:footer="0" w:header="0"/>
        </w:sectPr>
      </w:pPr>
    </w:p>
    <w:bookmarkStart w:id="19" w:name="page20"/>
    <w:bookmarkEnd w:id="19"/>
    <w:p>
      <w:pPr>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607" w:right="359" w:bottom="1440" w:gutter="0" w:footer="0" w:header="0"/>
        </w:sectPr>
      </w:pPr>
    </w:p>
    <w:bookmarkStart w:id="20" w:name="page21"/>
    <w:bookmarkEnd w:id="20"/>
    <w:p>
      <w:pPr>
        <w:ind w:right="200"/>
        <w:spacing w:after="0" w:line="277" w:lineRule="auto"/>
        <w:rPr>
          <w:sz w:val="20"/>
          <w:szCs w:val="20"/>
          <w:color w:val="auto"/>
        </w:rPr>
      </w:pPr>
      <w:r>
        <w:rPr>
          <w:rFonts w:ascii="Arial" w:cs="Arial" w:eastAsia="Arial" w:hAnsi="Arial"/>
          <w:sz w:val="18"/>
          <w:szCs w:val="18"/>
          <w:color w:val="auto"/>
        </w:rPr>
        <w:t>in lower than expected sales of our systems, IFCs, assays, and reagents. These reductions and delays may result from factors that are not within our control, such as:</w:t>
      </w:r>
    </w:p>
    <w:p>
      <w:pPr>
        <w:spacing w:after="0" w:line="116"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760" w:right="6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plant and animal research companies engaged in research and commercial activities;</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8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our genomics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3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health epidemics, or terrorism could result in cancellation of orders, delays in deliveries or other business activities, or loss of customers and could seriously harm our business.</w:t>
      </w:r>
    </w:p>
    <w:p>
      <w:pPr>
        <w:spacing w:after="0" w:line="126"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health epidemics (including the outbreak caused by the novel coronavirus COVID-19),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 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03" w:right="239" w:bottom="1440" w:gutter="0" w:footer="0" w:header="0"/>
        </w:sectPr>
      </w:pPr>
    </w:p>
    <w:bookmarkStart w:id="21" w:name="page22"/>
    <w:bookmarkEnd w:id="21"/>
    <w:p>
      <w:pPr>
        <w:ind w:right="72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the years 2019, 2018, and 2017, approximately 63%, 57%, and 55%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right="60" w:hanging="326"/>
        <w:spacing w:after="0" w:line="30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00" w:lineRule="exact"/>
        <w:rPr>
          <w:rFonts w:ascii="Arial" w:cs="Arial" w:eastAsia="Arial" w:hAnsi="Arial"/>
          <w:sz w:val="16"/>
          <w:szCs w:val="16"/>
          <w:color w:val="auto"/>
        </w:rPr>
      </w:pPr>
    </w:p>
    <w:p>
      <w:pPr>
        <w:ind w:left="820" w:right="4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1" w:lineRule="exact"/>
        <w:rPr>
          <w:rFonts w:ascii="Arial" w:cs="Arial" w:eastAsia="Arial" w:hAnsi="Arial"/>
          <w:sz w:val="18"/>
          <w:szCs w:val="18"/>
          <w:color w:val="auto"/>
        </w:rPr>
      </w:pPr>
    </w:p>
    <w:p>
      <w:pPr>
        <w:ind w:left="820" w:right="280" w:hanging="326"/>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12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2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07" w:right="25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3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760" w:right="340" w:hanging="320"/>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27" w:lineRule="exact"/>
        <w:rPr>
          <w:rFonts w:ascii="Arial" w:cs="Arial" w:eastAsia="Arial" w:hAnsi="Arial"/>
          <w:sz w:val="18"/>
          <w:szCs w:val="18"/>
          <w:color w:val="auto"/>
        </w:rPr>
      </w:pPr>
    </w:p>
    <w:p>
      <w:pPr>
        <w:ind w:left="760" w:right="32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16"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3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03" w:right="25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t>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2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6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person life insurance with any of our employees.</w:t>
      </w:r>
    </w:p>
    <w:p>
      <w:pPr>
        <w:spacing w:after="0" w:line="124" w:lineRule="exact"/>
        <w:rPr>
          <w:sz w:val="20"/>
          <w:szCs w:val="20"/>
          <w:color w:val="auto"/>
        </w:rPr>
      </w:pPr>
    </w:p>
    <w:p>
      <w:pPr>
        <w:jc w:val="both"/>
        <w:ind w:right="300" w:firstLine="432"/>
        <w:spacing w:after="0" w:line="288" w:lineRule="auto"/>
        <w:rPr>
          <w:sz w:val="20"/>
          <w:szCs w:val="20"/>
          <w:color w:val="auto"/>
        </w:rPr>
      </w:pPr>
      <w:r>
        <w:rPr>
          <w:rFonts w:ascii="Arial" w:cs="Arial" w:eastAsia="Arial" w:hAnsi="Arial"/>
          <w:sz w:val="16"/>
          <w:szCs w:val="16"/>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w:t>
      </w:r>
    </w:p>
    <w:p>
      <w:pPr>
        <w:ind w:right="380"/>
        <w:spacing w:after="0" w:line="254" w:lineRule="auto"/>
        <w:rPr>
          <w:sz w:val="20"/>
          <w:szCs w:val="20"/>
          <w:color w:val="auto"/>
        </w:rPr>
      </w:pPr>
      <w:r>
        <w:rPr>
          <w:rFonts w:ascii="Arial" w:cs="Arial" w:eastAsia="Arial" w:hAnsi="Arial"/>
          <w:sz w:val="18"/>
          <w:szCs w:val="18"/>
          <w:color w:val="auto"/>
        </w:rPr>
        <w:t>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4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03" w:right="239" w:bottom="1440" w:gutter="0" w:footer="0" w:header="0"/>
        </w:sectPr>
      </w:pPr>
    </w:p>
    <w:bookmarkStart w:id="24" w:name="page25"/>
    <w:bookmarkEnd w:id="24"/>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9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31"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We have implemented security controls to protect our information technology infrastructure but, despite our efforts, we are not fully insulated from technology disruptions that could adversely impact us. For example, 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is later determined to have been released in the course of this or any future event, it is possible that we could be the subject of actions by governmental authorities or claims from persons alleging they suffered damages from such a release.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3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8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Since 2017, we have implemented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The implementation of these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03" w:right="239" w:bottom="1440" w:gutter="0" w:footer="0" w:header="0"/>
        </w:sectPr>
      </w:pPr>
    </w:p>
    <w:bookmarkStart w:id="25" w:name="page26"/>
    <w:bookmarkEnd w:id="25"/>
    <w:p>
      <w:pPr>
        <w:ind w:right="460"/>
        <w:spacing w:after="0" w:line="347" w:lineRule="auto"/>
        <w:rPr>
          <w:sz w:val="20"/>
          <w:szCs w:val="20"/>
          <w:color w:val="auto"/>
        </w:rPr>
      </w:pPr>
      <w:r>
        <w:rPr>
          <w:rFonts w:ascii="Arial" w:cs="Arial" w:eastAsia="Arial" w:hAnsi="Arial"/>
          <w:sz w:val="16"/>
          <w:szCs w:val="16"/>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4"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3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If we elect to label and promote any of our products as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07" w:right="239" w:bottom="1440" w:gutter="0" w:footer="0" w:header="0"/>
        </w:sectPr>
      </w:pPr>
    </w:p>
    <w:bookmarkStart w:id="26" w:name="page27"/>
    <w:bookmarkEnd w:id="26"/>
    <w:p>
      <w:pPr>
        <w:ind w:right="540"/>
        <w:spacing w:after="0" w:line="297" w:lineRule="auto"/>
        <w:rPr>
          <w:sz w:val="20"/>
          <w:szCs w:val="20"/>
          <w:color w:val="auto"/>
        </w:rPr>
      </w:pPr>
      <w:r>
        <w:rPr>
          <w:rFonts w:ascii="Arial" w:cs="Arial" w:eastAsia="Arial" w:hAnsi="Arial"/>
          <w:sz w:val="16"/>
          <w:szCs w:val="16"/>
          <w:color w:val="auto"/>
        </w:rPr>
        <w:t>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03" w:right="259" w:bottom="1440" w:gutter="0" w:footer="0" w:header="0"/>
        </w:sectPr>
      </w:pPr>
    </w:p>
    <w:bookmarkStart w:id="27" w:name="page28"/>
    <w:bookmarkEnd w:id="27"/>
    <w:p>
      <w:pPr>
        <w:ind w:right="74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(Nasdaq), the SEC, or other regulatory authorities, which would require additional financial and management resources.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9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of December 31, 2019, we had approximately $153.2 million of goodwill and net intangible assets, including approximately $104.1 million of goodwill and $49.1 million of net intangible assets. These assets represent a significant portion of the assets recorded on our consolidated balance sheet and relate primarily to our acquisition of DVS Sciences, Inc. (DVS) in February 2014. In addition, if in the future we acquire additional businesses, technologies, or other intangible assets, a substantial portion of the value of such assets may be recorded as goodwill or intangible assets. In the fourth quarter of 2019, we concluded that certain of our patents and licenses were impaired and reduced the applicable carrying value to zero, recognizing a charge of $0.4 million, which is reflected in accumulated amortization.</w:t>
      </w:r>
    </w:p>
    <w:p>
      <w:pPr>
        <w:spacing w:after="0" w:line="13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07" w:right="239" w:bottom="1440" w:gutter="0" w:footer="0" w:header="0"/>
        </w:sectPr>
      </w:pPr>
    </w:p>
    <w:bookmarkStart w:id="28" w:name="page29"/>
    <w:bookmarkEnd w:id="28"/>
    <w:p>
      <w:pPr>
        <w:jc w:val="both"/>
        <w:ind w:right="20"/>
        <w:spacing w:after="0" w:line="288" w:lineRule="auto"/>
        <w:rPr>
          <w:sz w:val="20"/>
          <w:szCs w:val="20"/>
          <w:color w:val="auto"/>
        </w:rPr>
      </w:pPr>
      <w:r>
        <w:rPr>
          <w:rFonts w:ascii="Arial" w:cs="Arial" w:eastAsia="Arial" w:hAnsi="Arial"/>
          <w:sz w:val="16"/>
          <w:szCs w:val="16"/>
          <w:color w:val="auto"/>
        </w:rPr>
        <w:t>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w:t>
      </w:r>
    </w:p>
    <w:p>
      <w:pPr>
        <w:jc w:val="both"/>
        <w:ind w:right="20"/>
        <w:spacing w:after="0" w:line="261" w:lineRule="auto"/>
        <w:rPr>
          <w:sz w:val="20"/>
          <w:szCs w:val="20"/>
          <w:color w:val="auto"/>
        </w:rPr>
      </w:pPr>
      <w:r>
        <w:rPr>
          <w:rFonts w:ascii="Arial" w:cs="Arial" w:eastAsia="Arial" w:hAnsi="Arial"/>
          <w:sz w:val="18"/>
          <w:szCs w:val="18"/>
          <w:color w:val="auto"/>
        </w:rPr>
        <w:t>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3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believe that our existing cash and cash equivalents and availability under our $15.0 million revolving senior credit facility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9"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63"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760" w:right="400" w:hanging="320"/>
        <w:spacing w:after="0" w:line="277"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03" w:right="259" w:bottom="1440" w:gutter="0" w:footer="0" w:header="0"/>
        </w:sectPr>
      </w:pPr>
    </w:p>
    <w:bookmarkStart w:id="29" w:name="page30"/>
    <w:bookmarkEnd w:id="29"/>
    <w:p>
      <w:pPr>
        <w:ind w:right="38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August 2018, we entered into the Revolving Credit Facility, which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2018 Credit Agreement and, if they are not repaid, could foreclose upon the assets securing our obligations under the Revolving Credit Facility.</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1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22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00"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9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13"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United States government’s adoption and expansion of trade restrictions and the United Kingdom’s withdrawal from the European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07" w:right="23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t>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3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3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0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03" w:right="239" w:bottom="1440" w:gutter="0" w:footer="0" w:header="0"/>
        </w:sectPr>
      </w:pPr>
    </w:p>
    <w:bookmarkStart w:id="31" w:name="page32"/>
    <w:bookmarkEnd w:id="31"/>
    <w:p>
      <w:pPr>
        <w:ind w:right="80"/>
        <w:spacing w:after="0" w:line="291" w:lineRule="auto"/>
        <w:rPr>
          <w:sz w:val="20"/>
          <w:szCs w:val="20"/>
          <w:color w:val="auto"/>
        </w:rPr>
      </w:pPr>
      <w:r>
        <w:rPr>
          <w:rFonts w:ascii="Arial" w:cs="Arial" w:eastAsia="Arial" w:hAnsi="Arial"/>
          <w:sz w:val="16"/>
          <w:szCs w:val="16"/>
          <w:color w:val="auto"/>
        </w:rPr>
        <w:t xml:space="preserve">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 Customers (Topic</w:t>
      </w:r>
    </w:p>
    <w:p>
      <w:pPr>
        <w:ind w:firstLine="8"/>
        <w:spacing w:after="0" w:line="290" w:lineRule="auto"/>
        <w:tabs>
          <w:tab w:leader="none" w:pos="375"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accumulated deficit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1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1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9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right="40" w:firstLine="392"/>
        <w:spacing w:after="0" w:line="269" w:lineRule="auto"/>
        <w:rPr>
          <w:sz w:val="20"/>
          <w:szCs w:val="20"/>
          <w:color w:val="auto"/>
        </w:rPr>
      </w:pPr>
      <w:r>
        <w:rPr>
          <w:rFonts w:ascii="Arial" w:cs="Arial" w:eastAsia="Arial" w:hAnsi="Arial"/>
          <w:sz w:val="17"/>
          <w:szCs w:val="17"/>
          <w:color w:val="auto"/>
        </w:rPr>
        <w:t>We have significant outstanding convertible debt. As of December 31, 2019, we had outstanding $1.1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The 2019 Notes will mature on December 1, 2024, unless earlier converted, or repurchased in accordance with the terms of the 2019 Notes. If we undergo a fundamental change (as defined in the terms of the indenture governing either the 2014 Notes or the 2019 Notes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the debt owed under the 2014 Notes or 2019 Notes, we may issue additional convertible notes or other debt, which could include additional company obligations and represent more dilution to existing stockholders and noteholders.</w:t>
      </w:r>
    </w:p>
    <w:p>
      <w:pPr>
        <w:spacing w:after="0" w:line="1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71" w:lineRule="exact"/>
        <w:rPr>
          <w:rFonts w:ascii="Arial" w:cs="Arial" w:eastAsia="Arial" w:hAnsi="Arial"/>
          <w:sz w:val="18"/>
          <w:szCs w:val="18"/>
          <w:color w:val="auto"/>
        </w:rPr>
      </w:pPr>
    </w:p>
    <w:p>
      <w:pPr>
        <w:ind w:left="1040" w:hanging="316"/>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0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19"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2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07" w:right="259" w:bottom="1440" w:gutter="0" w:footer="0" w:header="0"/>
        </w:sectPr>
      </w:pPr>
    </w:p>
    <w:bookmarkStart w:id="33" w:name="page34"/>
    <w:bookmarkEnd w:id="33"/>
    <w:p>
      <w:pPr>
        <w:ind w:right="560"/>
        <w:spacing w:after="0" w:line="308" w:lineRule="auto"/>
        <w:rPr>
          <w:sz w:val="20"/>
          <w:szCs w:val="20"/>
          <w:color w:val="auto"/>
        </w:rPr>
      </w:pPr>
      <w:r>
        <w:rPr>
          <w:rFonts w:ascii="Arial" w:cs="Arial" w:eastAsia="Arial" w:hAnsi="Arial"/>
          <w:sz w:val="17"/>
          <w:szCs w:val="17"/>
          <w:color w:val="auto"/>
        </w:rPr>
        <w:t>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9"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4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03" w:right="239" w:bottom="1440" w:gutter="0" w:footer="0" w:header="0"/>
        </w:sectPr>
      </w:pPr>
    </w:p>
    <w:bookmarkStart w:id="34" w:name="page35"/>
    <w:bookmarkEnd w:id="34"/>
    <w:p>
      <w:pPr>
        <w:ind w:right="60"/>
        <w:spacing w:after="0" w:line="270" w:lineRule="auto"/>
        <w:rPr>
          <w:sz w:val="20"/>
          <w:szCs w:val="20"/>
          <w:color w:val="auto"/>
        </w:rPr>
      </w:pPr>
      <w:r>
        <w:rPr>
          <w:rFonts w:ascii="Arial" w:cs="Arial" w:eastAsia="Arial" w:hAnsi="Arial"/>
          <w:sz w:val="17"/>
          <w:szCs w:val="17"/>
          <w:color w:val="auto"/>
        </w:rPr>
        <w:t>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187"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03" w:right="239" w:bottom="1440" w:gutter="0" w:footer="0" w:header="0"/>
        </w:sectPr>
      </w:pPr>
    </w:p>
    <w:bookmarkStart w:id="35" w:name="page36"/>
    <w:bookmarkEnd w:id="35"/>
    <w:p>
      <w:pPr>
        <w:ind w:right="100"/>
        <w:spacing w:after="0" w:line="259" w:lineRule="auto"/>
        <w:rPr>
          <w:sz w:val="20"/>
          <w:szCs w:val="20"/>
          <w:color w:val="auto"/>
        </w:rPr>
      </w:pPr>
      <w:r>
        <w:rPr>
          <w:rFonts w:ascii="Arial" w:cs="Arial" w:eastAsia="Arial" w:hAnsi="Arial"/>
          <w:sz w:val="18"/>
          <w:szCs w:val="18"/>
          <w:color w:val="auto"/>
        </w:rPr>
        <w:t>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7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26"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2019, we had 69,956,397 shares of common stock outstanding, and stockholders holding at least 5% of our stock, individually or with affiliated persons or entities, collectively beneficially owned or controlled approximately 46.3% of such shares and one stockholder beneficially owned approximately 9.8%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46.3% held by our top six stockholders) means that a relatively small number of stockholders have significant control over the outcomes of stockholder voting.</w:t>
      </w:r>
    </w:p>
    <w:p>
      <w:pPr>
        <w:spacing w:after="0" w:line="11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16"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71" w:lineRule="exact"/>
        <w:rPr>
          <w:rFonts w:ascii="Arial" w:cs="Arial" w:eastAsia="Arial" w:hAnsi="Arial"/>
          <w:sz w:val="18"/>
          <w:szCs w:val="18"/>
          <w:color w:val="auto"/>
        </w:rPr>
      </w:pPr>
    </w:p>
    <w:p>
      <w:pPr>
        <w:ind w:left="740" w:right="2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27"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CRO sectors;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manufacturing disruptions that could occur if we are unable to successfully expand our production in our current or an alternative facility;</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03" w:right="259" w:bottom="1440" w:gutter="0" w:footer="0" w:header="0"/>
        </w:sectPr>
      </w:pPr>
    </w:p>
    <w:bookmarkStart w:id="36" w:name="page37"/>
    <w:bookmarkEnd w:id="36"/>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3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6"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16"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82"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16"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16"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three-year terms;</w:t>
      </w:r>
    </w:p>
    <w:p>
      <w:pPr>
        <w:spacing w:after="0" w:line="194" w:lineRule="exact"/>
        <w:rPr>
          <w:rFonts w:ascii="Arial" w:cs="Arial" w:eastAsia="Arial" w:hAnsi="Arial"/>
          <w:sz w:val="16"/>
          <w:szCs w:val="16"/>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82"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71"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18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Revolving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11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07" w:right="259" w:bottom="1440" w:gutter="0" w:footer="0" w:header="0"/>
        </w:sectPr>
      </w:pPr>
    </w:p>
    <w:bookmarkStart w:id="37" w:name="page38"/>
    <w:bookmarkEnd w:id="37"/>
    <w:p>
      <w:pPr>
        <w:ind w:right="220"/>
        <w:spacing w:after="0" w:line="286" w:lineRule="auto"/>
        <w:rPr>
          <w:sz w:val="20"/>
          <w:szCs w:val="20"/>
          <w:color w:val="auto"/>
        </w:rPr>
      </w:pPr>
      <w:r>
        <w:rPr>
          <w:rFonts w:ascii="Arial" w:cs="Arial" w:eastAsia="Arial" w:hAnsi="Arial"/>
          <w:sz w:val="17"/>
          <w:szCs w:val="17"/>
          <w:color w:val="auto"/>
        </w:rPr>
        <w:t>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lease approximately 69,000 square feet of office and laboratory space at our headquarters in South San Francisco, California under a lease that expires in March 2020. It will be replaced by a new operating lease for approximately 78,000 square feet in the same area. The term of the new lease, which is expected to commence when the old lease expires, is approximately 10 years. Additionally, we lease office, laboratory and manufacturing space in Singapore of approximately 40,000 square feet that expires in June 2022, and in Ontario, Canada approximately 44,500 square feet under a lease that expires in March 2026 and a second lease that was entered into during 2019 for approximately 19,000 square feet, which expires in March 2027. As of December 31, 2019, we also leased office space in Japan, China, and France, with various expiration dates through February 2026. In addition, we believe that our properties are in good condition and are adequate and suitable for their purposes. Refer to Note 7 of our consolidated financial statements for additional information about leased properties in this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715" w:right="31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740" w:right="48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began trading on the Nasdaq Global Select Market under the symbol “FLDM” on February 10, 2011.</w:t>
      </w:r>
    </w:p>
    <w:p>
      <w:pPr>
        <w:spacing w:after="0" w:line="17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We had 87 stockholders of record as of January 31, 2020; however, because many of our outstanding shares are held by brokers or other institutions on behalf of stockholders, we are unable to estimate the total number of beneficial owners represented by the holders of record.</w:t>
      </w:r>
    </w:p>
    <w:p>
      <w:pPr>
        <w:spacing w:after="0" w:line="9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2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The following graph compares, from December 31, 2014 through December 31, 2019, the cumulative total return for our common stock, the Nasdaq Composite Total Return Index, and the Nasdaq US Benchmark Medical Equipment Index, assuming in each case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-22225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715"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repurchase any shares of our common stock during the year ended December 31, 2019.</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2019, 2018, and 2017, and consolidated balance sheet data as of December 31, 2019, and December 31, 2018 from audited consolidated financial statements included elsewhere in this Form 10-K. The consolidated statement of operations data for the years ended December 31, 2016, and 2015, and the consolidated balance sheet data as of December 31, 2017, December 31, 2016, and December 31, 2015 were derived from audited consolidated financial statements that are not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363220</wp:posOffset>
            </wp:positionV>
            <wp:extent cx="3902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117,243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112,964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101,937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104,446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114,712</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(51,839)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(48,164)</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(58,360)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(73,190)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(64,790)</w:t>
            </w:r>
          </w:p>
        </w:tc>
        <w:tc>
          <w:tcPr>
            <w:tcW w:w="3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(59,013)</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(60,535)</w:t>
            </w: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(75,985)</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(53,315)</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608"/>
        </w:trPr>
        <w:tc>
          <w:tcPr>
            <w:tcW w:w="5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58"/>
        </w:trPr>
        <w:tc>
          <w:tcPr>
            <w:tcW w:w="5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Cash, cash equivalents, and short and long-term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58,639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95,401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63,136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59,430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101,465</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74,003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100,988</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71,565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76,334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123,433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assets (2)</w:t>
            </w: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264,812</w:t>
            </w:r>
          </w:p>
        </w:tc>
        <w:tc>
          <w:tcPr>
            <w:tcW w:w="3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303,647</w:t>
            </w:r>
          </w:p>
        </w:tc>
        <w:tc>
          <w:tcPr>
            <w:tcW w:w="1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287,351</w:t>
            </w:r>
          </w:p>
        </w:tc>
        <w:tc>
          <w:tcPr>
            <w:tcW w:w="34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306,395</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370,050</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53,821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172,058</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195,238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194,951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194,673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153,612</w:t>
            </w:r>
          </w:p>
        </w:tc>
        <w:tc>
          <w:tcPr>
            <w:tcW w:w="3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72,116</w:t>
            </w:r>
          </w:p>
        </w:tc>
        <w:tc>
          <w:tcPr>
            <w:tcW w:w="1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30,935</w:t>
            </w:r>
          </w:p>
        </w:tc>
        <w:tc>
          <w:tcPr>
            <w:tcW w:w="34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53,233</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114,901</w:t>
            </w:r>
          </w:p>
        </w:tc>
      </w:tr>
    </w:tbl>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excludes deferred revenue.</w:t>
      </w:r>
    </w:p>
    <w:p>
      <w:pPr>
        <w:spacing w:after="0" w:line="23"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million and $1.1 million of debt issuance costs for Convertible notes were previously included in Total assets reclassified to Total long-term debt as a deduction in December 31,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3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7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sell our products to leading academic, government, pharmaceutical, biotechnology and plant and animal research laboratories worldwide. We distribute our systems through our direct sales force and support organizations located in North America, Europe, and Asia-Pacific, and through distributors or sales agents in several European, Latin American, Middle Eastern, and Asia-Pacific countries.</w:t>
      </w:r>
    </w:p>
    <w:p>
      <w:pPr>
        <w:spacing w:after="0" w:line="73" w:lineRule="exact"/>
        <w:rPr>
          <w:sz w:val="20"/>
          <w:szCs w:val="20"/>
          <w:color w:val="auto"/>
        </w:rPr>
      </w:pPr>
    </w:p>
    <w:p>
      <w:pPr>
        <w:ind w:right="160" w:firstLine="392"/>
        <w:spacing w:after="0" w:line="302" w:lineRule="auto"/>
        <w:rPr>
          <w:sz w:val="20"/>
          <w:szCs w:val="20"/>
          <w:color w:val="auto"/>
        </w:rPr>
      </w:pPr>
      <w:r>
        <w:rPr>
          <w:rFonts w:ascii="Arial" w:cs="Arial" w:eastAsia="Arial" w:hAnsi="Arial"/>
          <w:sz w:val="16"/>
          <w:szCs w:val="16"/>
          <w:color w:val="auto"/>
        </w:rPr>
        <w:t>Our manufacturing operations are located in Singapore and Canada. Our facility in Singapore manufactures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Canada.</w:t>
      </w:r>
    </w:p>
    <w:p>
      <w:pPr>
        <w:spacing w:after="0" w:line="4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total revenue was $117.2 million in 2019, $113.0 million in 2018, and $101.9 million in 2017. We have incurred significant net losses since our inception in 1999 and, as of December 31, 2019, our accumulated deficit was $623.6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00" w:firstLine="392"/>
        <w:spacing w:after="0" w:line="273" w:lineRule="auto"/>
        <w:rPr>
          <w:sz w:val="20"/>
          <w:szCs w:val="20"/>
          <w:color w:val="auto"/>
        </w:rPr>
      </w:pPr>
      <w:r>
        <w:rPr>
          <w:rFonts w:ascii="Arial" w:cs="Arial" w:eastAsia="Arial" w:hAnsi="Arial"/>
          <w:sz w:val="17"/>
          <w:szCs w:val="17"/>
          <w:color w:val="auto"/>
        </w:rPr>
        <w:t>In November 2019, we closed a private placement to qualified institutional buyers pursuant to Rule 144A under the Securities Act of $55.0 million aggregate principal amount of our 2019 Notes. Net proceeds of the 2019 Notes issuance were $52.7 million, after deductions for commissions and other debt issuance costs. $51.8 million of the proceeds was used to retire $50.2 million aggregate principal amount of our 2014 Notes.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outstanding debt under the 2014 Notes to December 2024.</w:t>
      </w:r>
    </w:p>
    <w:p>
      <w:pPr>
        <w:spacing w:after="0" w:line="178"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will be subject to adjustment upon the occurrence of certain specified events but will not be adjusted for any accrued and unpaid interest.</w:t>
      </w:r>
    </w:p>
    <w:p>
      <w:pPr>
        <w:spacing w:after="0" w:line="193" w:lineRule="exact"/>
        <w:rPr>
          <w:sz w:val="20"/>
          <w:szCs w:val="20"/>
          <w:color w:val="auto"/>
        </w:rPr>
      </w:pPr>
    </w:p>
    <w:p>
      <w:pPr>
        <w:ind w:right="80" w:firstLine="392"/>
        <w:spacing w:after="0" w:line="276" w:lineRule="auto"/>
        <w:rPr>
          <w:sz w:val="20"/>
          <w:szCs w:val="20"/>
          <w:color w:val="auto"/>
        </w:rPr>
      </w:pPr>
      <w:r>
        <w:rPr>
          <w:rFonts w:ascii="Arial" w:cs="Arial" w:eastAsia="Arial" w:hAnsi="Arial"/>
          <w:sz w:val="17"/>
          <w:szCs w:val="17"/>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Company's common stock, determined in accordance with the terms of the indenture. On or after December 1, 2022, if the price of the Company’s common stock has equaled or exceeded 130% of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5" w:right="239" w:bottom="1440" w:gutter="0" w:footer="0" w:header="0"/>
        </w:sectPr>
      </w:pPr>
    </w:p>
    <w:bookmarkStart w:id="42" w:name="page43"/>
    <w:bookmarkEnd w:id="42"/>
    <w:p>
      <w:pPr>
        <w:ind w:right="200"/>
        <w:spacing w:after="0" w:line="264" w:lineRule="auto"/>
        <w:rPr>
          <w:sz w:val="20"/>
          <w:szCs w:val="20"/>
          <w:color w:val="auto"/>
        </w:rPr>
      </w:pPr>
      <w:r>
        <w:rPr>
          <w:rFonts w:ascii="Arial" w:cs="Arial" w:eastAsia="Arial" w:hAnsi="Arial"/>
          <w:sz w:val="18"/>
          <w:szCs w:val="18"/>
          <w:color w:val="auto"/>
        </w:rPr>
        <w:t>Conversion Price then in effect for a specified number of days, we may, at our option, elect to convert the 2019 Notes in whole but not in part into shares of the Company's common stock, determined in accordance with the terms of the indenture. This transaction is described in more detail in Note 6 of our consolidated financial statements.</w:t>
      </w:r>
    </w:p>
    <w:p>
      <w:pPr>
        <w:spacing w:after="0" w:line="181"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We were able to recover the majority of the costs associated with the intrusion under an applicable insurance policy.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of our audited 2019 consolidated financial statements.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263238"/>
        </w:rPr>
        <w:t>We adopted ASC 606 Revenue from Contracts with Customers on January 1, 2018 and all the related amendments using the modified retrospective method. The Company recognized the cumulative effect of initially applying the new revenue standard as an adjustment to the opening balance of accumulated deficit as of January 1, 2018. The comparative information for 2017 has not been recast and continues to be reported under the accounting standards in effect for that period.</w:t>
      </w:r>
    </w:p>
    <w:p>
      <w:pPr>
        <w:spacing w:after="0" w:line="18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generate revenue primarily from sales of our products and services. Our product revenue consists of sales of our mass cytometry, high-throughput genomics and single-cell genomics instruments and consumables, including IFCs, assays, and other reagents. Our service revenue consists of post-warranty service contracts, preventive maintenance plans, repairs, installation, training and other specialized product support services. We also receive grants from various entities to perform research and development activities over contractually defined periods. Revenue is reported net of any sales, use and value-added taxes, which we collect from customers as required by government authorities.</w:t>
      </w:r>
    </w:p>
    <w:p>
      <w:pPr>
        <w:spacing w:after="0" w:line="173"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(SSPs) are generally determined using observable data from recent transactions. In cases where sufficient data is not available, we estimate a product’s SSP using a cost plus a margin approach or by applying a discount to the product’s list price.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become due in 30 to 60 days.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19" w:right="23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b w:val="1"/>
          <w:bCs w:val="1"/>
          <w:color w:val="auto"/>
        </w:rPr>
        <w:t>Service Revenue</w:t>
      </w:r>
    </w:p>
    <w:p>
      <w:pPr>
        <w:spacing w:after="0" w:line="229"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81"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 To date, capitalized contract costs have been immaterial.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Significant Judgments</w:t>
      </w:r>
    </w:p>
    <w:p>
      <w:pPr>
        <w:spacing w:after="0" w:line="229"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purchase consideration in multi-element arrangements and estimating the future amount of our warranty obligations. Significant judgment is also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Other Long-Lived Assets</w:t>
      </w:r>
    </w:p>
    <w:p>
      <w:pPr>
        <w:spacing w:after="0" w:line="225"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81" w:lineRule="exact"/>
        <w:rPr>
          <w:sz w:val="20"/>
          <w:szCs w:val="20"/>
          <w:color w:val="auto"/>
        </w:rPr>
      </w:pPr>
    </w:p>
    <w:p>
      <w:pPr>
        <w:ind w:right="60" w:firstLine="392"/>
        <w:spacing w:after="0" w:line="293"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65"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 We did not recognize any impairment of goodwill for any of the periods presented herein.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15" w:right="279" w:bottom="1440" w:gutter="0" w:footer="0" w:header="0"/>
        </w:sectPr>
      </w:pPr>
    </w:p>
    <w:bookmarkStart w:id="44" w:name="page45"/>
    <w:bookmarkEnd w:id="44"/>
    <w:p>
      <w:pPr>
        <w:ind w:firstLine="432"/>
        <w:spacing w:after="0" w:line="255" w:lineRule="auto"/>
        <w:rPr>
          <w:sz w:val="20"/>
          <w:szCs w:val="20"/>
          <w:color w:val="auto"/>
        </w:rPr>
      </w:pPr>
      <w:r>
        <w:rPr>
          <w:rFonts w:ascii="Arial" w:cs="Arial" w:eastAsia="Arial" w:hAnsi="Arial"/>
          <w:sz w:val="18"/>
          <w:szCs w:val="18"/>
          <w:color w:val="auto"/>
        </w:rPr>
        <w:t>We evaluate our long-lived assets, including finite-lived intangibles, for indicators of possible impairment when events or changes in circumstances indicate the carrying amount of an asset may not be recoverable. If any indicators of impairment exist,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In the fourth quarter of 2019, we recognized an impairment charge of $0.4 million on patents and licenses that are not used in any current products and are not expected to be used in future product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right="40" w:firstLine="392"/>
        <w:spacing w:after="0" w:line="279"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2.75% Exchange Convertible Senior Notes due 2034 (2018 Notes). Following the exchange, approximately $51.3 million in aggregate principal amount of the 2014 Notes remained outstanding, together with $150.0 million in aggregate principal amount of the 2018 Notes.</w:t>
      </w:r>
    </w:p>
    <w:p>
      <w:pPr>
        <w:spacing w:after="0" w:line="171" w:lineRule="exact"/>
        <w:rPr>
          <w:sz w:val="20"/>
          <w:szCs w:val="20"/>
          <w:color w:val="auto"/>
        </w:rPr>
      </w:pPr>
    </w:p>
    <w:p>
      <w:pPr>
        <w:ind w:right="40" w:firstLine="392"/>
        <w:spacing w:after="0" w:line="283" w:lineRule="auto"/>
        <w:rPr>
          <w:sz w:val="20"/>
          <w:szCs w:val="20"/>
          <w:color w:val="auto"/>
        </w:rPr>
      </w:pPr>
      <w:r>
        <w:rPr>
          <w:rFonts w:ascii="Arial" w:cs="Arial" w:eastAsia="Arial" w:hAnsi="Arial"/>
          <w:sz w:val="16"/>
          <w:szCs w:val="16"/>
          <w:color w:val="auto"/>
        </w:rPr>
        <w:t>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Notes, using the effective interest method through the first note holder put date, of February 6, 2023. In the first quarter of 2019, the 2018 Notes were converted into approximately 19.5 million shares of common stock and the 2018 Notes were retired. We recorded a loss of $9.0 million on the retirement of the 2018 Notes. This amount represents the difference between the fair value of the bonds converted and the carrying value of the bonds at the time of conversion, including unamortized premiums, discounts and debt issuance costs. We have determined the fair value of the 2018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Notes using valuation techniques that require us to make assumptions related to the implied discount rate.</w:t>
      </w:r>
    </w:p>
    <w:p>
      <w:pPr>
        <w:spacing w:after="0" w:line="211"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2019 Notes. The majority of the issuance proceeds were used to retire approximately $50.2 million of aggregate principal amount of our 2014 Notes, leaving approximately $1.1 million of aggregate principal amount of our 2014 Notes outstanding. We recorded a loss of $3.0 million on the extinguishment of the 2014 Notes. This amount represents the difference between the fair value of the 2019 Notes used to extinguish the debt and the carrying value of the 2014 Notes, including unamortized debt issuance costs.</w:t>
      </w:r>
    </w:p>
    <w:p>
      <w:pPr>
        <w:spacing w:after="0" w:line="188" w:lineRule="exact"/>
        <w:rPr>
          <w:sz w:val="20"/>
          <w:szCs w:val="20"/>
          <w:color w:val="auto"/>
        </w:rPr>
      </w:pPr>
    </w:p>
    <w:p>
      <w:pPr>
        <w:ind w:right="180" w:firstLine="392"/>
        <w:spacing w:after="0" w:line="286" w:lineRule="auto"/>
        <w:rPr>
          <w:sz w:val="20"/>
          <w:szCs w:val="20"/>
          <w:color w:val="auto"/>
        </w:rPr>
      </w:pPr>
      <w:r>
        <w:rPr>
          <w:rFonts w:ascii="Arial" w:cs="Arial" w:eastAsia="Arial" w:hAnsi="Arial"/>
          <w:sz w:val="17"/>
          <w:szCs w:val="17"/>
          <w:color w:val="auto"/>
        </w:rPr>
        <w:t>As the 2019 Notes do not provide for a cash conversion feature, the 2019 Notes are recorded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board of directors sets the terms, conditions, and restrictions related to our Employee Stock Purchase Plan (ESPP) and the grant of stock options, Restricted Share Units (RSUs) and performance-based awards (PSUs) under our various stock-based plans. Our board of directors determines the number of awards to grant and sets the vesting criteria. For PSUs,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recognize compensation costs for all stock-based awards, including stock options, RSUs, and stock purchased under our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used a Monte Carlo simulation pricing model to incorporate the market condition effects at our grant date. For PSUs with performance conditions, stock-based compensation expense is recognized over the requisite service period when the achievement of each individual performance goal becomes probable.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5" w:right="239" w:bottom="1440" w:gutter="0" w:footer="0" w:header="0"/>
        </w:sectPr>
      </w:pPr>
    </w:p>
    <w:bookmarkStart w:id="45" w:name="page46"/>
    <w:bookmarkEnd w:id="45"/>
    <w:p>
      <w:pPr>
        <w:ind w:right="80" w:firstLine="474"/>
        <w:spacing w:after="0" w:line="293" w:lineRule="auto"/>
        <w:rPr>
          <w:sz w:val="20"/>
          <w:szCs w:val="20"/>
          <w:color w:val="auto"/>
        </w:rPr>
      </w:pPr>
      <w:r>
        <w:rPr>
          <w:rFonts w:ascii="Arial" w:cs="Arial" w:eastAsia="Arial" w:hAnsi="Arial"/>
          <w:sz w:val="16"/>
          <w:szCs w:val="16"/>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We account for forfeitures as they occur.</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primarily consists of foreign tax expense/benefit.</w:t>
      </w:r>
    </w:p>
    <w:p>
      <w:pPr>
        <w:spacing w:after="0" w:line="15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and research and development tax credits. We intend to maintain such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78"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7"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Inventories are stated at the lower of cost (on a first-in, first-out basis) or net realizable value. Inventory costs include direct materials, direct labor, and normal manufacturing overhead. Finished goods that are used for research and development are expensed as consumed or depreciated over their period of use. We regularly review inventory for excess and obsolete products and components. Provisions for slow-moving, excess, and obsolete inventories are recorded when required to reduce inventory values to their estimated net realizable values based on product life cycle, development plans, product expiration, and quality issues.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19" w:right="259" w:bottom="1440" w:gutter="0" w:footer="0" w:header="0"/>
        </w:sectPr>
      </w:pPr>
    </w:p>
    <w:bookmarkStart w:id="46" w:name="page47"/>
    <w:bookmarkEnd w:id="46"/>
    <w:p>
      <w:pPr>
        <w:ind w:right="40"/>
        <w:spacing w:after="0" w:line="277" w:lineRule="auto"/>
        <w:rPr>
          <w:sz w:val="20"/>
          <w:szCs w:val="20"/>
          <w:color w:val="auto"/>
        </w:rPr>
      </w:pPr>
      <w:r>
        <w:rPr>
          <w:rFonts w:ascii="Arial" w:cs="Arial" w:eastAsia="Arial" w:hAnsi="Arial"/>
          <w:sz w:val="18"/>
          <w:szCs w:val="18"/>
          <w:color w:val="auto"/>
        </w:rPr>
        <w:t>lease liability on the balance sheet for all leases with a term longer than 12 months. Leases are classified as finance or operating; the classification will impact the expense recognition in the income statement.</w:t>
      </w:r>
    </w:p>
    <w:p>
      <w:pPr>
        <w:spacing w:after="0" w:line="116" w:lineRule="exact"/>
        <w:rPr>
          <w:sz w:val="20"/>
          <w:szCs w:val="20"/>
          <w:color w:val="auto"/>
        </w:rPr>
      </w:pPr>
    </w:p>
    <w:p>
      <w:pPr>
        <w:ind w:right="160" w:firstLine="392"/>
        <w:spacing w:after="0" w:line="297" w:lineRule="auto"/>
        <w:rPr>
          <w:sz w:val="20"/>
          <w:szCs w:val="20"/>
          <w:color w:val="auto"/>
        </w:rPr>
      </w:pPr>
      <w:r>
        <w:rPr>
          <w:rFonts w:ascii="Arial" w:cs="Arial" w:eastAsia="Arial" w:hAnsi="Arial"/>
          <w:sz w:val="16"/>
          <w:szCs w:val="16"/>
          <w:color w:val="auto"/>
        </w:rPr>
        <w:t>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27" w:lineRule="exact"/>
        <w:rPr>
          <w:sz w:val="20"/>
          <w:szCs w:val="20"/>
          <w:color w:val="auto"/>
        </w:rPr>
      </w:pPr>
    </w:p>
    <w:p>
      <w:pPr>
        <w:ind w:right="360" w:firstLine="392"/>
        <w:spacing w:after="0" w:line="286" w:lineRule="auto"/>
        <w:rPr>
          <w:sz w:val="20"/>
          <w:szCs w:val="20"/>
          <w:color w:val="auto"/>
        </w:rPr>
      </w:pPr>
      <w:r>
        <w:rPr>
          <w:rFonts w:ascii="Arial" w:cs="Arial" w:eastAsia="Arial" w:hAnsi="Arial"/>
          <w:sz w:val="17"/>
          <w:szCs w:val="17"/>
          <w:color w:val="auto"/>
        </w:rPr>
        <w:t>On adoption of the new standard, we recognized $9.2 million of lease liabilities, based on the present value of the current minimum lease payments, discounted using our collateralized incremental borrowing rate, with corresponding ROU assets of $7.4 million. The difference between the initial lease liability and ROU asset is attributable to deferred rent. There was no impact to accumulated deficit from the adoption of ASC 842.</w:t>
      </w:r>
    </w:p>
    <w:p>
      <w:pPr>
        <w:spacing w:after="0" w:line="111" w:lineRule="exact"/>
        <w:rPr>
          <w:sz w:val="20"/>
          <w:szCs w:val="20"/>
          <w:color w:val="auto"/>
        </w:rPr>
      </w:pPr>
    </w:p>
    <w:p>
      <w:pPr>
        <w:ind w:right="140" w:firstLine="392"/>
        <w:spacing w:after="0" w:line="297" w:lineRule="auto"/>
        <w:rPr>
          <w:sz w:val="20"/>
          <w:szCs w:val="20"/>
          <w:color w:val="auto"/>
        </w:rPr>
      </w:pPr>
      <w:r>
        <w:rPr>
          <w:rFonts w:ascii="Arial" w:cs="Arial" w:eastAsia="Arial" w:hAnsi="Arial"/>
          <w:sz w:val="16"/>
          <w:szCs w:val="16"/>
          <w:color w:val="auto"/>
        </w:rPr>
        <w:t>The new standard also provides certain accounting elections for an entity’s ongoing accounting. We elected the short-term lease recognition exemption for all leases that qualify. This means that, for those leases that qualify, we will not recognize ROU assets or lease liabilities for leases with an initial lease term of one year or less. We also elected to not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 We determine whether an arrangement is a lease, or contains a lease, at inception.</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November 2019, the FASB issued ASU 2019-12 Income Taxes (Topic 740)-Simplifying the Accounting for Income Taxes. The amendments in this update improve consistent application of and simplifies GAAP for Topic 740 by clarifying and amending existing guidance including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consolidated financial statements.</w:t>
      </w:r>
    </w:p>
    <w:p>
      <w:pPr>
        <w:spacing w:after="0" w:line="207"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is not expected to have a significant impact on our financial results.</w:t>
      </w:r>
    </w:p>
    <w:p>
      <w:pPr>
        <w:spacing w:after="0" w:line="188"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years beginning January 1, 2020, with early adoption permitted. The adoption of the new guidance is not expected to have a significant impact on our financial results.</w:t>
      </w:r>
    </w:p>
    <w:p>
      <w:pPr>
        <w:spacing w:after="0" w:line="139"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The FASB issued two ASUs related to financial instruments - credit losses. The ASUs issued were: (i) in June 2016, ASU 2016-13, Financial Instruments-Credit Losses (Topic 326): Measurement of Credit Losses on Financial Instruments, and (ii)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9" w:right="239" w:bottom="1440" w:gutter="0" w:footer="0" w:header="0"/>
        </w:sectPr>
      </w:pPr>
    </w:p>
    <w:bookmarkStart w:id="47" w:name="page48"/>
    <w:bookmarkEnd w:id="47"/>
    <w:p>
      <w:pPr>
        <w:ind w:right="400"/>
        <w:spacing w:after="0" w:line="277" w:lineRule="auto"/>
        <w:rPr>
          <w:sz w:val="20"/>
          <w:szCs w:val="20"/>
          <w:color w:val="auto"/>
        </w:rPr>
      </w:pPr>
      <w:r>
        <w:rPr>
          <w:rFonts w:ascii="Arial" w:cs="Arial" w:eastAsia="Arial" w:hAnsi="Arial"/>
          <w:sz w:val="18"/>
          <w:szCs w:val="18"/>
          <w:color w:val="auto"/>
        </w:rPr>
        <w:t>with early adoption permitted. The modified retrospective method is required upon adoption. The adoption of the new guidance is not expected to have a significant impact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2019, 2018, and 2017,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112,964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101,937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40"/>
              <w:spacing w:after="0"/>
              <w:rPr>
                <w:sz w:val="20"/>
                <w:szCs w:val="20"/>
                <w:color w:val="auto"/>
              </w:rPr>
            </w:pPr>
            <w:r>
              <w:rPr>
                <w:rFonts w:ascii="Arial" w:cs="Arial" w:eastAsia="Arial" w:hAnsi="Arial"/>
                <w:sz w:val="18"/>
                <w:szCs w:val="18"/>
                <w:color w:val="auto"/>
              </w:rPr>
              <w:t>Total cost of sales</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51,315</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49,955</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49</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51,982</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30,030</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84,478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79,783</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79,516</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78</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109,813</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110,342</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from extinguishment of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(61,420)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(59,013)</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primarily from sales of our products and services, and from grant agreements. Our product revenue consists of sales of instruments and consumables. Consumable revenues are largely driven by the size of our installed base of instruments and the annual level of pull-through per instrument. Service revenue is linked to our sales of instruments as our service revenue consists of post-warranty service contracts, preventive maintenance plans, instrument parts, installation and training. We also receive grants from various entities to perform research and development activities over contractually defined periods. Our license revenue is generated primarily in the United States and relates to licensing our technology to third-parties.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sell our products to leading academic, government, pharmaceutical, biotechnology and plant and animal research laboratories worldwide.</w:t>
      </w:r>
    </w:p>
    <w:p>
      <w:pPr>
        <w:spacing w:after="0" w:line="23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No single customer represented more than 10% of our total revenue for 2019, 2018, or 2017. Revenue from our five largest customers was 17% of total revenue both for 2019 and 2018, and 14% for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82" w:right="239" w:bottom="1440" w:gutter="0" w:footer="0" w:header="0"/>
        </w:sectPr>
      </w:pPr>
    </w:p>
    <w:bookmarkStart w:id="48" w:name="page49"/>
    <w:bookmarkEnd w:id="48"/>
    <w:p>
      <w:pPr>
        <w:ind w:right="20" w:firstLine="432"/>
        <w:spacing w:after="0" w:line="277" w:lineRule="auto"/>
        <w:rPr>
          <w:sz w:val="20"/>
          <w:szCs w:val="20"/>
          <w:color w:val="auto"/>
        </w:rPr>
      </w:pPr>
      <w:r>
        <w:rPr>
          <w:rFonts w:ascii="Arial" w:cs="Arial" w:eastAsia="Arial" w:hAnsi="Arial"/>
          <w:sz w:val="18"/>
          <w:szCs w:val="18"/>
          <w:color w:val="auto"/>
        </w:rPr>
        <w:t>The following table presents our revenue by source for the years ended December 31, 2019, 2018, and 2017,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45,491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48,159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95,416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93,650</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84,399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3"/>
          </w:tcPr>
          <w:p>
            <w:pPr>
              <w:ind w:left="380"/>
              <w:spacing w:after="0"/>
              <w:rPr>
                <w:sz w:val="20"/>
                <w:szCs w:val="20"/>
                <w:color w:val="auto"/>
              </w:rPr>
            </w:pPr>
            <w:r>
              <w:rPr>
                <w:rFonts w:ascii="Arial" w:cs="Arial" w:eastAsia="Arial" w:hAnsi="Arial"/>
                <w:sz w:val="18"/>
                <w:szCs w:val="18"/>
                <w:color w:val="auto"/>
              </w:rPr>
              <w:t>NA</w:t>
            </w: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r>
      <w:tr>
        <w:trPr>
          <w:trHeight w:val="257"/>
        </w:trPr>
        <w:tc>
          <w:tcPr>
            <w:tcW w:w="34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117,243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101,937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each year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Borders>
              <w:bottom w:val="single" w:sz="8" w:color="auto"/>
            </w:tcBorders>
          </w:tcPr>
          <w:p>
            <w:pPr>
              <w:spacing w:after="0"/>
              <w:rPr>
                <w:sz w:val="16"/>
                <w:szCs w:val="16"/>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47,016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  $</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EMEA</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36,617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32,642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$117,243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8"/>
              </w:rPr>
              <w:t>$112,964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3"/>
              </w:rPr>
              <w:t>$101,937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Americas revenue includes revenue generated in the United States of $43.4 million, $48.1 million, and $45.8 million for 2019, 2018 and 2017, respectively. Asia-Pacific revenue includes sales to customers in China of $15.4 million, $14.0 million and $11.1 million for 2019, 2018 and 2017, respectively. Except for China, no other foreign country or jurisdiction had sales in excess of 10% of our total revenue during the years 2019, 2018 and 2017.</w:t>
      </w:r>
    </w:p>
    <w:p>
      <w:pPr>
        <w:spacing w:after="0" w:line="147" w:lineRule="exact"/>
        <w:rPr>
          <w:sz w:val="20"/>
          <w:szCs w:val="20"/>
          <w:color w:val="auto"/>
        </w:rPr>
      </w:pPr>
    </w:p>
    <w:p>
      <w:pPr>
        <w:jc w:val="both"/>
        <w:ind w:right="380" w:firstLine="216"/>
        <w:spacing w:after="0" w:line="264" w:lineRule="auto"/>
        <w:rPr>
          <w:sz w:val="20"/>
          <w:szCs w:val="20"/>
          <w:color w:val="auto"/>
        </w:rPr>
      </w:pPr>
      <w:r>
        <w:rPr>
          <w:rFonts w:ascii="Arial" w:cs="Arial" w:eastAsia="Arial" w:hAnsi="Arial"/>
          <w:sz w:val="18"/>
          <w:szCs w:val="18"/>
          <w:color w:val="auto"/>
        </w:rPr>
        <w:t>The following section includes management discussion and analysis for the fiscal year ended December 31, 2019. Refer to Part I Item 7 of the Annual Report on Form 10-K for the fiscal year ended December 31, 2018, filed with the SEC on March 18, 2019, for a discussion of the comparative results for 2018 and 2017, which discussion of comparative results is incorporated by reference into this Form 10-K.</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revenue increased by $4.3 million or 4%, to $117.2 million for 2019 compared to $113.0 million for 2018, primarily attributable to increases in mass cytometry instruments, consumables and service revenue, partially offset by lower microfluidics revenue.</w:t>
      </w:r>
    </w:p>
    <w:p>
      <w:pPr>
        <w:spacing w:after="0" w:line="1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Americas revenues declined by 8%, due to lower instrument and consumables product revenues, partially offset by higher service and grant revenues. EMEA revenues grew 9%, driven primarily by higher instrument sales. Unfavorable foreign exchange rates had a negative 3% point impact on EMEA revenue growth. The 20% increase in Asia-Pacific revenues is due to increases in instrument sales and service revenue, partially offset by lower consumables revenue. On a company-wide basis, weaker foreign exchange rates negatively impacted revenues by less than 1% for 2019 compared to 2018.</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color w:val="auto"/>
        </w:rPr>
        <w:t>Product revenue increased by $1.8 million, or 2%, to $95.4 million for 2019 from $93.7 million in 2018 due to higher sales volumes of mass cytometry instruments and consumables, partially offset by lower average selling prices of mass cytometry instruments and lower revenues from microfluidics products.</w:t>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Service revenue increased by $2.0 million, or 10%, to $21.3 million for 2019 compared to 2018, primarily due to higher revenues from service agreements and product maintenance fees on mass cytometry products. Revenue from post-warranty service contracts are generally recognized in the year following instrument purchases.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88"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costs of product and service revenue, gross profit and gross margin for each year presented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2019 vs. 2018</w:t>
            </w:r>
          </w:p>
        </w:tc>
        <w:tc>
          <w:tcPr>
            <w:tcW w:w="660" w:type="dxa"/>
            <w:vAlign w:val="bottom"/>
          </w:tcPr>
          <w:p>
            <w:pPr>
              <w:spacing w:after="0"/>
              <w:rPr>
                <w:sz w:val="16"/>
                <w:szCs w:val="16"/>
                <w:color w:val="auto"/>
              </w:rPr>
            </w:pPr>
          </w:p>
        </w:tc>
        <w:tc>
          <w:tcPr>
            <w:tcW w:w="11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2018 vs. 2017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44,861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45,039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60" w:type="dxa"/>
            <w:vAlign w:val="bottom"/>
          </w:tcPr>
          <w:p>
            <w:pPr>
              <w:spacing w:after="0"/>
              <w:rPr>
                <w:sz w:val="21"/>
                <w:szCs w:val="21"/>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7,503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4,916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31 %</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52,964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51,315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49,955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64,279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61,649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51,982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0.2</w:t>
            </w:r>
          </w:p>
        </w:tc>
        <w:tc>
          <w:tcPr>
            <w:tcW w:w="660" w:type="dxa"/>
            <w:vAlign w:val="bottom"/>
          </w:tcPr>
          <w:p>
            <w:pPr>
              <w:ind w:left="240"/>
              <w:spacing w:after="0"/>
              <w:rPr>
                <w:sz w:val="20"/>
                <w:szCs w:val="20"/>
                <w:color w:val="auto"/>
              </w:rPr>
            </w:pPr>
            <w:r>
              <w:rPr>
                <w:rFonts w:ascii="Arial" w:cs="Arial" w:eastAsia="Arial" w:hAnsi="Arial"/>
                <w:sz w:val="18"/>
                <w:szCs w:val="18"/>
                <w:color w:val="auto"/>
              </w:rPr>
              <w:t>ppts</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3.6</w:t>
            </w:r>
          </w:p>
        </w:tc>
        <w:tc>
          <w:tcPr>
            <w:tcW w:w="440" w:type="dxa"/>
            <w:vAlign w:val="bottom"/>
          </w:tcPr>
          <w:p>
            <w:pPr>
              <w:ind w:left="60"/>
              <w:spacing w:after="0"/>
              <w:rPr>
                <w:sz w:val="20"/>
                <w:szCs w:val="20"/>
                <w:color w:val="auto"/>
              </w:rPr>
            </w:pPr>
            <w:r>
              <w:rPr>
                <w:rFonts w:ascii="Arial" w:cs="Arial" w:eastAsia="Arial" w:hAnsi="Arial"/>
                <w:sz w:val="18"/>
                <w:szCs w:val="18"/>
                <w:color w:val="auto"/>
                <w:w w:val="92"/>
              </w:rPr>
              <w:t>ppts.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392"/>
        <w:spacing w:after="0" w:line="264" w:lineRule="auto"/>
        <w:rPr>
          <w:sz w:val="20"/>
          <w:szCs w:val="20"/>
          <w:color w:val="auto"/>
        </w:rPr>
      </w:pPr>
      <w:r>
        <w:rPr>
          <w:rFonts w:ascii="Arial" w:cs="Arial" w:eastAsia="Arial" w:hAnsi="Arial"/>
          <w:sz w:val="18"/>
          <w:szCs w:val="18"/>
          <w:color w:val="auto"/>
        </w:rPr>
        <w:t>Gross margin increased by 0.2 percentage points during 2019 compared to 2018. Higher capacity utilization, as well as the impact of spreading fixed depreciation and amortization over a higher revenue base, contributed to the improvement in gross margin, partially offset by higher inventory reserves, unfavorable product mix and lower average selling price on mass cytometry products.</w:t>
      </w:r>
    </w:p>
    <w:p>
      <w:pPr>
        <w:spacing w:after="0" w:line="127" w:lineRule="exact"/>
        <w:rPr>
          <w:sz w:val="20"/>
          <w:szCs w:val="20"/>
          <w:color w:val="auto"/>
        </w:rPr>
      </w:pPr>
    </w:p>
    <w:p>
      <w:pPr>
        <w:ind w:right="460" w:firstLine="392"/>
        <w:spacing w:after="0" w:line="308" w:lineRule="auto"/>
        <w:rPr>
          <w:sz w:val="20"/>
          <w:szCs w:val="20"/>
          <w:color w:val="auto"/>
        </w:rPr>
      </w:pPr>
      <w:r>
        <w:rPr>
          <w:rFonts w:ascii="Arial" w:cs="Arial" w:eastAsia="Arial" w:hAnsi="Arial"/>
          <w:sz w:val="17"/>
          <w:szCs w:val="17"/>
          <w:color w:val="auto"/>
        </w:rPr>
        <w:t>Gross margin increased by 3.6 percentage points during 2018 compared to 2017. The year-over-year increase in gross margin was due to favorable manufacturing capacity utilization and product mix, coupled with the impact of fixed amortization on a higher revenue base in 2018.</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each year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2019 vs. 2018</w:t>
            </w:r>
          </w:p>
        </w:tc>
        <w:tc>
          <w:tcPr>
            <w:tcW w:w="11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71"/>
        </w:trPr>
        <w:tc>
          <w:tcPr>
            <w:tcW w:w="5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84,478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79,783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79,516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116,118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109,813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110,342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35" w:right="239" w:bottom="1440" w:gutter="0" w:footer="0" w:header="0"/>
        </w:sectPr>
      </w:pPr>
    </w:p>
    <w:bookmarkStart w:id="50" w:name="page51"/>
    <w:bookmarkEnd w:id="50"/>
    <w:p>
      <w:pPr>
        <w:jc w:val="both"/>
        <w:ind w:right="20" w:firstLine="432"/>
        <w:spacing w:after="0" w:line="264" w:lineRule="auto"/>
        <w:rPr>
          <w:sz w:val="20"/>
          <w:szCs w:val="20"/>
          <w:color w:val="auto"/>
        </w:rPr>
      </w:pPr>
      <w:r>
        <w:rPr>
          <w:rFonts w:ascii="Arial" w:cs="Arial" w:eastAsia="Arial" w:hAnsi="Arial"/>
          <w:sz w:val="18"/>
          <w:szCs w:val="18"/>
          <w:color w:val="auto"/>
        </w:rPr>
        <w:t>Research and development expense increased by $1.6 million, or 5%, to $31.6 million for 2019 compared to $30.0 million for 2018. Increases included $1.7 million of new product development costs and a $0.4 million of an impairment loss related to a patent. The impact of higher headcount was largely offset by lower incentive compensation accruals.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Selling, general and administrative expense increased by $4.7 million, or 6%, to $84.5 million for 2019 compared to $79.8 million for 2018. Business development costs increased $1.7 million, along with a $1.4 million increase in advertising and promotional costs. We also incurred $1.3 million of severance and other costs associated with transferring certain operations from South San Francisco to Markham, Ontario. Compensation-related costs increased $0.5 million in total, reflecting an 8% increase in headcount, including several senior executives. These compensation-related cost increases were largely offset by lower accruals for incentive compensation and the absence of retention bonus expense which was recorded in 2018.</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year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2019 vs. 2018</w:t>
            </w:r>
          </w:p>
        </w:tc>
        <w:tc>
          <w:tcPr>
            <w:tcW w:w="11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6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our 2018 Notes. Following the exchange, approximately $51.3 million in aggregate principal amount of the 2014 Notes remained outstanding, together with $150.0 million in aggregate principal amount of the 2018 Notes.</w:t>
      </w:r>
    </w:p>
    <w:p>
      <w:pPr>
        <w:spacing w:after="0" w:line="187"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In the first quarter of 2019, the 2018 Notes were converted into approximately 19.5 million shares of common stock and the 2018 Notes were retired. The decrease in interest expense in 2019 as compared to 2018 is primarily due to the retirement of this debt. We recognized a loss of $9.0 million on the conversion of 2018 Notes, which is included in loss on extinguishment of debt. This amount represents the difference between the fair value of the bonds converted and the carrying value of the bonds at the time of conversion.</w:t>
      </w:r>
    </w:p>
    <w:p>
      <w:pPr>
        <w:spacing w:after="0" w:line="187"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On November 22, 2019, we closed a private placement to qualified institutional buyers pursuant to Rule 144A under the Securities Act of $55.0 million aggregate principal amount of our 2019 Notes. $51.8 million of the net proceeds were used to retire $50.2 million in aggregate principal amount of our 2014 Notes.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debt under the 2014 Notes until 2024 (i.e., the maturity date of the 2019 Notes). We recognized a loss of $3.0 million on the extinguishment of the 2014 Notes, which is also included in loss on extinguishment of debt. This amount represents the difference between the fair value of the 2019 Notes used to extinguish the debt and the carrying value of the 2014 Notes.</w:t>
      </w:r>
    </w:p>
    <w:p>
      <w:pPr>
        <w:spacing w:after="0" w:line="16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income, net primarily consists of interest income and gains or losses on foreign exchange. Other income, net, of $1.4 million for 2019 is primarily attributable to $1.3 million of interest income, and $0.1 million of foreign exchange gains.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36" w:right="2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ind w:right="520" w:firstLine="392"/>
        <w:spacing w:after="0" w:line="312" w:lineRule="auto"/>
        <w:rPr>
          <w:sz w:val="20"/>
          <w:szCs w:val="20"/>
          <w:color w:val="auto"/>
        </w:rPr>
      </w:pPr>
      <w:r>
        <w:rPr>
          <w:rFonts w:ascii="Arial" w:cs="Arial" w:eastAsia="Arial" w:hAnsi="Arial"/>
          <w:sz w:val="16"/>
          <w:szCs w:val="16"/>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147" w:lineRule="exact"/>
        <w:rPr>
          <w:sz w:val="20"/>
          <w:szCs w:val="20"/>
          <w:color w:val="auto"/>
        </w:rPr>
      </w:pPr>
    </w:p>
    <w:p>
      <w:pPr>
        <w:ind w:right="800" w:firstLine="432"/>
        <w:spacing w:after="0" w:line="342" w:lineRule="auto"/>
        <w:rPr>
          <w:sz w:val="20"/>
          <w:szCs w:val="20"/>
          <w:color w:val="auto"/>
        </w:rPr>
      </w:pPr>
      <w:r>
        <w:rPr>
          <w:rFonts w:ascii="Arial" w:cs="Arial" w:eastAsia="Arial" w:hAnsi="Arial"/>
          <w:sz w:val="16"/>
          <w:szCs w:val="16"/>
          <w:color w:val="auto"/>
        </w:rPr>
        <w:t>We recorded a tax benefit of $1.9 million, or an effective tax rate benefit of 2.9%, for the year ended December 31, 2019. The tax benefit was principally due to the amortization of our acquisition-related deferred tax liability, partially offset by a provision from our foreign operations.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December 31, 2019, our principal sources of liquidity consisted of $21.7 million of cash and cash equivalents, and $37.0 million of short-term investments, as well as $2.1 million of restricted cash and $8.9 million of availability under our Revolving Credit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year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summary: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(35,210)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(24,098)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28,997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23,011</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and grants.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Net cash used in operating activities in 2019 was $35.2 million and consisted of net loss of $64.8 million less non-cash adjustments of $42.8 million, and a net increase in assets and liabilities of $13.2 million. Non-cash items primarily included a loss on extinguishment of debt of $12.0 million, amortization of developed technology of $11.2 million, stock-based compensation expense of $11.4 million, amortization of debt discounts and issuance costs of $1.9 million, depreciation and amortization of $4.6 million, and an intangible asset impairment loss of $0.4 million. The net increase in assets and liabilities was primarily due to lower accrued liabilities for retention bonuses and other variable compensation.</w:t>
      </w:r>
    </w:p>
    <w:p>
      <w:pPr>
        <w:spacing w:after="0" w:line="173" w:lineRule="exact"/>
        <w:rPr>
          <w:sz w:val="20"/>
          <w:szCs w:val="20"/>
          <w:color w:val="auto"/>
        </w:rPr>
      </w:pPr>
    </w:p>
    <w:p>
      <w:pPr>
        <w:jc w:val="both"/>
        <w:ind w:right="180" w:firstLine="392"/>
        <w:spacing w:after="0" w:line="259" w:lineRule="auto"/>
        <w:rPr>
          <w:sz w:val="20"/>
          <w:szCs w:val="20"/>
          <w:color w:val="auto"/>
        </w:rPr>
      </w:pPr>
      <w:r>
        <w:rPr>
          <w:rFonts w:ascii="Arial" w:cs="Arial" w:eastAsia="Arial" w:hAnsi="Arial"/>
          <w:sz w:val="18"/>
          <w:szCs w:val="18"/>
          <w:color w:val="auto"/>
        </w:rPr>
        <w:t>Net cash used in operating activities in 2018 was $25.2 million and consisted of net loss of $59.0 million less non-cash adjustments of $37.3 million, and a net increase in assets and liabilities of $3.5 million. Non-cash items primarily included amortization of developed technology of $11.2 million, stock-based compensation expense of $11.0 million, and depreciation and amortization of $5.4 million. The net increase in assets and liabilities was primarily due to lower accrued liabilities for retention bonuses.</w:t>
      </w:r>
    </w:p>
    <w:p>
      <w:pPr>
        <w:spacing w:after="0" w:line="187" w:lineRule="exact"/>
        <w:rPr>
          <w:sz w:val="20"/>
          <w:szCs w:val="20"/>
          <w:color w:val="auto"/>
        </w:rPr>
      </w:pPr>
    </w:p>
    <w:p>
      <w:pPr>
        <w:ind w:right="140" w:firstLine="392"/>
        <w:spacing w:after="0" w:line="302" w:lineRule="auto"/>
        <w:rPr>
          <w:sz w:val="20"/>
          <w:szCs w:val="20"/>
          <w:color w:val="auto"/>
        </w:rPr>
      </w:pPr>
      <w:r>
        <w:rPr>
          <w:rFonts w:ascii="Arial" w:cs="Arial" w:eastAsia="Arial" w:hAnsi="Arial"/>
          <w:sz w:val="16"/>
          <w:szCs w:val="16"/>
          <w:color w:val="auto"/>
        </w:rPr>
        <w:t>Net cash used in operating activities in 2017 was $24.1 million and consisted of net loss of $60.5 million less non-cash adjustments of $27.7 million, and a net reduction in assets and liabilities of $8.8 million. Non-cash items primarily included amortization of developed technology of $11.2 million, stock-based compensation of $9.1 million and depreciation and amortization of $7.4 million. The net change in assets and liabilities was primarily driven by a decrease in inventory, an increase in deferred revenue, an increase in other liabilities and a decrease in prepaid expenses and other current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35" w:right="239" w:bottom="1440" w:gutter="0" w:footer="0" w:header="0"/>
        </w:sectPr>
      </w:pPr>
    </w:p>
    <w:bookmarkStart w:id="52" w:name="page53"/>
    <w:bookmarkEnd w:id="52"/>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to improve manufacturing efficiencies and strengthen information technology and network security, as well as capital expenditures incurred in moving our corporate headquarters in 2020. However, we may choose to decrease or defer certain capital expenditures and development activities, while further optimizing our organization.</w:t>
      </w:r>
    </w:p>
    <w:p>
      <w:pPr>
        <w:spacing w:after="0" w:line="188"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Net cash used in investing activities in 2019 was $39.3 million, which included purchases of investments of $62.4 million offset by proceeds from sales and maturities of investments of $25.6 million, and capital expenditures of $2.5 million to support our business and manufacturing operations.</w:t>
      </w:r>
    </w:p>
    <w:p>
      <w:pPr>
        <w:spacing w:after="0" w:line="147"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Net cash provided by investing activities in 2018 was $4.7 million, which included proceeds from sales and maturities of investments of $6.5 million, offset by purchases of investments of $1.5 million and capital expenditures of $0.4 million to support our commercial and manufacturing operations.</w:t>
      </w:r>
    </w:p>
    <w:p>
      <w:pPr>
        <w:spacing w:after="0" w:line="21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Net cash provided by investing activities in 2017 was $17.7 million, which included proceeds from sales and maturities of investments of $25.6 million, offset by purchases of investments of $6.3 million and capital expenditures of $1.6 million to support our commercial and manufacturing operations.</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generated cash from financing activities of $2.8 million during 2019. $51.8 million of proceeds from a new $55.0 million debt issuance were used to retire 2014 Notes, as discussed below in more detail. Payments of debt and equity issuance costs of $1.9 million were partially offset by cash inflows from equity programs. We generated cash from financing activities of $57.7 million during 2018. Approximately $59.5 million was generated from a public offering of our common stock. The remainder reflects the proceeds from stock option exercises and ESPP purchases, offset by debt and equity issuance costs and payments of taxes for the net settlement of equity awards. We generated cash from financing activities of $29.0 million during 2017, primarily due to a public equity offering.</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At December 31, 2019 and December 31, 2018, our working capital, excluding deferred revenues and restricted cash, was $74.0 million and $101.0 million, respectively, including cash and cash equivalents of $21.7 million and $95.4 million, respectively, and short-term investments of $37.0 million and nil, respectively.</w:t>
      </w:r>
    </w:p>
    <w:p>
      <w:pPr>
        <w:spacing w:after="0" w:line="181"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2014 Notes. In March 2018, we entered into privately negotiated transactions with certain holders of our 2014 Notes to exchange $150.0 million in aggregate principal amount of the 2014 Notes for $150.0 million in aggregate principal amount of 2018 Notes. Following the exchange transactions, approximately $51.3 million in aggregate principal amount of 2014 Notes remained outstanding.</w:t>
      </w:r>
    </w:p>
    <w:p>
      <w:pPr>
        <w:spacing w:after="0" w:line="187"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2018 Notes were retired.</w:t>
      </w:r>
    </w:p>
    <w:p>
      <w:pPr>
        <w:spacing w:after="0" w:line="171" w:lineRule="exact"/>
        <w:rPr>
          <w:sz w:val="20"/>
          <w:szCs w:val="20"/>
          <w:color w:val="auto"/>
        </w:rPr>
      </w:pPr>
    </w:p>
    <w:p>
      <w:pPr>
        <w:ind w:right="380" w:firstLine="392"/>
        <w:spacing w:after="0" w:line="293" w:lineRule="auto"/>
        <w:rPr>
          <w:sz w:val="20"/>
          <w:szCs w:val="20"/>
          <w:color w:val="auto"/>
        </w:rPr>
      </w:pPr>
      <w:r>
        <w:rPr>
          <w:rFonts w:ascii="Arial" w:cs="Arial" w:eastAsia="Arial" w:hAnsi="Arial"/>
          <w:sz w:val="16"/>
          <w:szCs w:val="16"/>
          <w:color w:val="auto"/>
        </w:rPr>
        <w:t>In November 2019, we closed a private placement to qualified institutional buyers pursuant to Rule 144A under the Securities Act of $55.0 million aggregate principal amount of 2019 Notes. Net proceeds of the 2019 Notes issuance were $52.7 million, after deductions for commissions and other debt issuance costs. $51.8 million of the proceeds was used to retire $50.2 million aggregate principal amount of our 2014 Notes, leaving approximately $1.1 million of aggregate principal amount of our 2014 Notes outstanding. The remaining cash proceeds from the issuance of the 2019 Notes will be used for general corporate purposes. Pursuant to the Indenture governing the 2014 Notes, holders of the 2014 Notes have the right, subject to certain conditions specified in such indenture, to require the Company to purchase their 2014 Notes beginning in February 2021.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19" w:right="259" w:bottom="1440" w:gutter="0" w:footer="0" w:header="0"/>
        </w:sectPr>
      </w:pPr>
    </w:p>
    <w:bookmarkStart w:id="53" w:name="page54"/>
    <w:bookmarkEnd w:id="53"/>
    <w:p>
      <w:pPr>
        <w:ind w:right="460"/>
        <w:spacing w:after="0" w:line="277" w:lineRule="auto"/>
        <w:rPr>
          <w:sz w:val="20"/>
          <w:szCs w:val="20"/>
          <w:color w:val="auto"/>
        </w:rPr>
      </w:pPr>
      <w:r>
        <w:rPr>
          <w:rFonts w:ascii="Arial" w:cs="Arial" w:eastAsia="Arial" w:hAnsi="Arial"/>
          <w:sz w:val="18"/>
          <w:szCs w:val="18"/>
          <w:color w:val="auto"/>
        </w:rPr>
        <w:t>private placement of the 2019 Notes, and concurrent repurchase of a portion of the 2014 Notes, had the effect of refinancing a portion of the Company’s outstanding debt under the 2014 Notes to December 2024.</w:t>
      </w:r>
    </w:p>
    <w:p>
      <w:pPr>
        <w:spacing w:after="0" w:line="170"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will be subject to adjustment upon the occurrence of certain specified events but will not be adjusted for any accrued and unpaid interest.</w:t>
      </w:r>
    </w:p>
    <w:p>
      <w:pPr>
        <w:spacing w:after="0" w:line="193"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its option, elect to convert the 2019 Notes in whole but not in part into shares of the Company, determined in accordance with the terms of the indenture.</w:t>
      </w:r>
    </w:p>
    <w:p>
      <w:pPr>
        <w:spacing w:after="0" w:line="189"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color w:val="auto"/>
        </w:rPr>
        <w:t>The foregoing summaries of the 2014 Notes, the 2018 Notes, the 2019 Notes and the exchange transactions completed in March 2018 and November 2019 are not complete and are qualified in their entirety by the applicable indentures, forms of global notes, and other agreements and documents filed with the SEC.</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August 2, 2018, we entered into a Revolving Credit Facility with Silicon Valley Bank, which matures on August 2, 2020. Amounts drawn under the Revolving Credit Facility will be used for working capital and general corporate purposes. As of December 31, 2019, total availability under the Revolving Credit Facility was $8.9 million. We currently have no outstanding debt under the Revolving Credit Facility, and we are in compliance with all the terms and conditions of the loan agreement governing the Revolving Credit Facility. See Note 6 to our consolidated financial statements for more information about the Revolving Credit Facility.</w:t>
      </w:r>
    </w:p>
    <w:p>
      <w:pPr>
        <w:spacing w:after="0" w:line="18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 our inception, we have not had any off-balance sheet arrangements as defined in Item 303(a)(4) of the SEC's Regulation S-K.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1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2019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6"/>
              </w:rPr>
              <w:t>Less than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Commenced operating lease obligations, net</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operating lease obligations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61,101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35,528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141,110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37,989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 This relates to a new lease agreement signed during 2019 for our new corporate headquarters that will begin in the first quarter of 2020.</w:t>
      </w:r>
    </w:p>
    <w:p>
      <w:pPr>
        <w:spacing w:after="0" w:line="222"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2014 and 2019 Notes mature in 2034 and 2024, respectively, they can be converted into shares of our common stock prior to maturity if certain conditions are met. See Note 6 to our consolidated financial statements for additional information regarding the terms of the Notes.</w:t>
      </w:r>
    </w:p>
    <w:p>
      <w:pPr>
        <w:spacing w:after="0" w:line="127"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Our commenced operating lease obligations, net of sublease income, relate to leases for our current corporate headquarters and leases for manufacturing and office space for our foreign subsidiaries. Purchase obligations consist of contractual and legally binding commitments to purchase goods and services.</w:t>
      </w:r>
    </w:p>
    <w:p>
      <w:pPr>
        <w:spacing w:after="0" w:line="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currently lease facilities and equipment under non-cancellable lease agreements expiring at various times through 2027. Our lease payments are expensed on a straight-line basis over the life of the leases. Rental expense under operating leases, net of amortization of lease incentive, totaled $6.1 million, $5.0 million, and $4.7 million for 2019, 2018, and 2017, respectively.</w:t>
      </w:r>
    </w:p>
    <w:p>
      <w:pPr>
        <w:spacing w:after="0" w:line="127" w:lineRule="exact"/>
        <w:rPr>
          <w:sz w:val="20"/>
          <w:szCs w:val="20"/>
          <w:color w:val="auto"/>
        </w:rPr>
      </w:pPr>
    </w:p>
    <w:p>
      <w:pPr>
        <w:jc w:val="both"/>
        <w:ind w:right="440" w:firstLine="432"/>
        <w:spacing w:after="0" w:line="312" w:lineRule="auto"/>
        <w:rPr>
          <w:sz w:val="20"/>
          <w:szCs w:val="20"/>
          <w:color w:val="auto"/>
        </w:rPr>
      </w:pPr>
      <w:r>
        <w:rPr>
          <w:rFonts w:ascii="Arial" w:cs="Arial" w:eastAsia="Arial" w:hAnsi="Arial"/>
          <w:sz w:val="16"/>
          <w:szCs w:val="16"/>
          <w:color w:val="auto"/>
        </w:rPr>
        <w:t>In December 2019, we entered into a Sales and Purchase Agreement with the shareholders of InstruNor AS, a privately held Norwegian company (InstruNor), to purchase all of the outstanding shares of InstruNor. The purchase price was approximately $5.2 million in cash and 485,451 shares of our stock, with a fair value of $2.0 million, based on the closing price of our stock on the closing date. The transaction closed in January 2020.</w:t>
      </w:r>
    </w:p>
    <w:p>
      <w:pPr>
        <w:spacing w:after="0" w:line="9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 ended December 31, 2019, we had a foreign currency gain of $0.1 million compared to a foreign exchange loss of $0.1 million in the prior year. To date, we have not entered into any foreign currency hedging contracts although we may do so in the future. As our international operations grow, we will continue to reassess our approach to manage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15" w:right="239" w:bottom="1440" w:gutter="0" w:footer="0" w:header="0"/>
        </w:sectPr>
      </w:pPr>
    </w:p>
    <w:bookmarkStart w:id="55" w:name="page56"/>
    <w:bookmarkEnd w:id="55"/>
    <w:p>
      <w:pPr>
        <w:ind w:right="40"/>
        <w:spacing w:after="0" w:line="277" w:lineRule="auto"/>
        <w:rPr>
          <w:sz w:val="20"/>
          <w:szCs w:val="20"/>
          <w:color w:val="auto"/>
        </w:rPr>
      </w:pPr>
      <w:r>
        <w:rPr>
          <w:rFonts w:ascii="Arial" w:cs="Arial" w:eastAsia="Arial" w:hAnsi="Arial"/>
          <w:sz w:val="18"/>
          <w:szCs w:val="18"/>
          <w:color w:val="auto"/>
        </w:rPr>
        <w:t>our risk relating to fluctuations in currency rates. If foreign currency exchange rates had changed by 10% during the periods presented, it would not have had a material impact on our financial position or results of operations.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had cash and cash equivalents of $21.7 million as of December 31, 2019. These amounts were held primarily in cash on deposit with banks and money market funds which are short-term. We also held $37.0 million of investments in treasury securities at December 31, 2019.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881"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89"/>
              </w:rPr>
              <w:t>Page</w:t>
            </w:r>
          </w:p>
        </w:tc>
      </w:tr>
      <w:tr>
        <w:trPr>
          <w:trHeight w:val="324"/>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PricewaterhouseCoopers LLP-Independent Registered Public Accounting Firm</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640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as of December 31, 2019 and 2018</w:t>
              </w:r>
            </w:hyperlink>
          </w:p>
        </w:tc>
        <w:tc>
          <w:tcPr>
            <w:tcW w:w="2580" w:type="dxa"/>
            <w:vAlign w:val="bottom"/>
            <w:gridSpan w:val="4"/>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57</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years ended December 31, 2019, 2018 and 2017</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Statements of Comprehensive Loss for the years ended December 31, 2019, 2018 and 2017</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Stockholders' Equity for the years ended December 31, 2019, 2018 and 2017</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Consolidated Statements of Cash Flows for the years ended December 31, 2019, 2018 and 2017</w:t>
              </w:r>
            </w:hyperlink>
          </w:p>
        </w:tc>
        <w:tc>
          <w:tcPr>
            <w:tcW w:w="1440" w:type="dxa"/>
            <w:vAlign w:val="bottom"/>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c>
          <w:tcPr>
            <w:tcW w:w="700" w:type="dxa"/>
            <w:vAlign w:val="bottom"/>
          </w:tcPr>
          <w:p>
            <w:pPr>
              <w:spacing w:after="0"/>
              <w:rPr>
                <w:sz w:val="24"/>
                <w:szCs w:val="24"/>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6880" w:type="dxa"/>
            <w:vAlign w:val="bottom"/>
            <w:gridSpan w:val="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2100" w:type="dxa"/>
            <w:vAlign w:val="bottom"/>
            <w:gridSpan w:val="2"/>
          </w:tcPr>
          <w:p>
            <w:pPr>
              <w:spacing w:after="0"/>
              <w:rPr>
                <w:sz w:val="24"/>
                <w:szCs w:val="24"/>
                <w:color w:val="auto"/>
              </w:rPr>
            </w:pPr>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c>
          <w:tcPr>
            <w:tcW w:w="700" w:type="dxa"/>
            <w:vAlign w:val="bottom"/>
          </w:tcPr>
          <w:p>
            <w:pPr>
              <w:spacing w:after="0"/>
              <w:rPr>
                <w:sz w:val="24"/>
                <w:szCs w:val="24"/>
                <w:color w:val="auto"/>
              </w:rPr>
            </w:pPr>
          </w:p>
        </w:tc>
      </w:tr>
      <w:tr>
        <w:trPr>
          <w:trHeight w:val="736"/>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w:t>
            </w:r>
          </w:p>
        </w:tc>
        <w:tc>
          <w:tcPr>
            <w:tcW w:w="5860" w:type="dxa"/>
            <w:vAlign w:val="bottom"/>
            <w:gridSpan w:val="6"/>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Schedule II - Valuation and Qualifying Accounts for the years ended December 31, 2019, 2018 and 2017</w:t>
              </w:r>
            </w:hyperlink>
          </w:p>
        </w:tc>
        <w:tc>
          <w:tcPr>
            <w:tcW w:w="1680" w:type="dxa"/>
            <w:vAlign w:val="bottom"/>
            <w:gridSpan w:val="2"/>
          </w:tcPr>
          <w:p>
            <w:pPr>
              <w:jc w:val="center"/>
              <w:ind w:left="1412"/>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93</w:t>
              </w:r>
            </w:hyperlink>
          </w:p>
        </w:tc>
        <w:tc>
          <w:tcPr>
            <w:tcW w:w="700" w:type="dxa"/>
            <w:vAlign w:val="bottom"/>
          </w:tcPr>
          <w:p>
            <w:pPr>
              <w:spacing w:after="0"/>
              <w:rPr>
                <w:sz w:val="24"/>
                <w:szCs w:val="24"/>
                <w:color w:val="auto"/>
              </w:rPr>
            </w:pPr>
          </w:p>
        </w:tc>
      </w:tr>
      <w:tr>
        <w:trPr>
          <w:trHeight w:val="480"/>
        </w:trPr>
        <w:tc>
          <w:tcPr>
            <w:tcW w:w="60" w:type="dxa"/>
            <w:vAlign w:val="bottom"/>
          </w:tcPr>
          <w:p>
            <w:pPr>
              <w:spacing w:after="0"/>
              <w:rPr>
                <w:sz w:val="24"/>
                <w:szCs w:val="24"/>
                <w:color w:val="auto"/>
              </w:rPr>
            </w:pPr>
          </w:p>
        </w:tc>
        <w:tc>
          <w:tcPr>
            <w:tcW w:w="6400" w:type="dxa"/>
            <w:vAlign w:val="bottom"/>
            <w:tcBorders>
              <w:top w:val="single" w:sz="8" w:color="0000EE"/>
            </w:tcBorders>
            <w:gridSpan w:val="3"/>
          </w:tcPr>
          <w:p>
            <w:pPr>
              <w:jc w:val="right"/>
              <w:ind w:right="660"/>
              <w:spacing w:after="0"/>
              <w:rPr>
                <w:sz w:val="20"/>
                <w:szCs w:val="20"/>
                <w:color w:val="auto"/>
              </w:rPr>
            </w:pPr>
            <w:r>
              <w:rPr>
                <w:rFonts w:ascii="Arial" w:cs="Arial" w:eastAsia="Arial" w:hAnsi="Arial"/>
                <w:sz w:val="18"/>
                <w:szCs w:val="18"/>
                <w:color w:val="auto"/>
              </w:rPr>
              <w:t>54</w:t>
            </w: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Fluidigm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Fluidigm Corporation and its subsidiaries (the “Company”) as of December 31, 2019 and 2018, and the related consolidated statements of operations, of comprehensive loss, of stockholders’ equity, and of cash flows for each of the three years in the period ended December 31, 2019, including the related notes and financial statement schedule listed in the accompanying index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right="540" w:firstLine="405"/>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959"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Senior Convertible Notes - Estimation of Fair Value of Debt Upon Retirement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described in Notes 2 and 6 to the consolidated financial statements, in the first quarter of 2019 the Company converted $150 million of the 2018 Senior Convertible Notes into 19.5 million shares of its common stock, which resulted in the recording of a $9 million loss, representing the difference between the fair value of the notes retired and their carrying cost. Management determined the fair value of the convertible notes using valuation techniques that require management to make assumptions related to the implied discount rate.</w:t>
      </w:r>
    </w:p>
    <w:p>
      <w:pPr>
        <w:spacing w:after="0" w:line="1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principal considerations for our determination that performing procedures relating to the 2018 Senior Convertible Notes - estimation of fair value of debt upon retirement is a critical audit matter are there was significant auditor effort in performing procedures and evaluating the implied discount rate assumption used by management in determining the fair value of the convertible notes. In addition, the audit effort involved the use of professionals with specialized skill and knowledge to assist in performing these procedures and in evaluating the audit evidence obtained from these procedures.</w:t>
      </w:r>
    </w:p>
    <w:p>
      <w:pPr>
        <w:spacing w:after="0" w:line="15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convertible notes, including controls over the development of the assumptions related to the implied discount rate. These procedures also included, among others, the involvement of professionals with specialized skill and knowledge to assist in developing an independent estimate of the implied discount rate, and comparison of this independent estimate to management’s assumption.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19"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95,401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Accounts receivable (net of allowances of $6 and $126, at December 31, 2019 and 2018,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13,003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96,096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127,106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Operating lease right-of-use asset,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57,400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264,812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303,647</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7,621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37,582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172,058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13,714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6,327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231,531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Preferred stock, $0.001 par value, 10,000 shares authorized, no shares issued and outstanding at either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2019 or 2018</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3"/>
              </w:rPr>
              <w:t>Common stock: $0.001 par value, 200,000 shares authorized at December 31, 2019 and 2018; 69,956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49,338 shares issued and outstanding at December 31, 2019 and 2018,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777,765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631,605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(558,851)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72,116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264,812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303,647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71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715" w:right="239" w:bottom="1440" w:gutter="0" w:footer="0" w:header="0"/>
          <w:type w:val="continuous"/>
        </w:sectPr>
      </w:pPr>
    </w:p>
    <w:bookmarkStart w:id="60" w:name="page61"/>
    <w:bookmarkEnd w:id="60"/>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95,416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84,399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101,937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45,039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cost of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49,955</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51,982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79,516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110,342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from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(60,535)</w:t>
            </w:r>
          </w:p>
        </w:tc>
      </w:tr>
      <w:tr>
        <w:trPr>
          <w:trHeight w:val="251"/>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6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66,779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39,652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32,980</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15" w:right="239" w:bottom="1440" w:gutter="0" w:footer="0" w:header="0"/>
        </w:sectPr>
      </w:pPr>
    </w:p>
    <w:bookmarkStart w:id="61" w:name="page62"/>
    <w:bookmarkEnd w:id="61"/>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change in unrealized gain (loss) on investments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(60,349)</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1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0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12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0"/>
              <w:spacing w:after="0" w:line="14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Paid-in</w:t>
            </w:r>
          </w:p>
        </w:tc>
        <w:tc>
          <w:tcPr>
            <w:tcW w:w="18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1"/>
                <w:szCs w:val="11"/>
                <w:color w:val="auto"/>
              </w:rPr>
            </w:pPr>
          </w:p>
        </w:tc>
        <w:tc>
          <w:tcPr>
            <w:tcW w:w="108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5"/>
                <w:szCs w:val="15"/>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29,208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(439,477)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53,233</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At-the-market offering</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9,091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28,793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28,802</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Issuance of restricted stock, net of shares withheld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taxes, and other</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Issuance of common stock from option exercises</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 under ESPP</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0"/>
        </w:trPr>
        <w:tc>
          <w:tcPr>
            <w:tcW w:w="3900" w:type="dxa"/>
            <w:vAlign w:val="bottom"/>
          </w:tcPr>
          <w:p>
            <w:pPr>
              <w:ind w:left="380"/>
              <w:spacing w:after="0"/>
              <w:rPr>
                <w:sz w:val="20"/>
                <w:szCs w:val="20"/>
                <w:color w:val="auto"/>
              </w:rPr>
            </w:pPr>
            <w:r>
              <w:rPr>
                <w:rFonts w:ascii="Arial" w:cs="Arial" w:eastAsia="Arial" w:hAnsi="Arial"/>
                <w:sz w:val="16"/>
                <w:szCs w:val="16"/>
                <w:color w:val="auto"/>
              </w:rPr>
              <w:t>Cumulative-effect of new accounting standard for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380"/>
              <w:spacing w:after="0"/>
              <w:rPr>
                <w:sz w:val="20"/>
                <w:szCs w:val="20"/>
                <w:color w:val="auto"/>
              </w:rPr>
            </w:pPr>
            <w:r>
              <w:rPr>
                <w:rFonts w:ascii="Arial" w:cs="Arial" w:eastAsia="Arial" w:hAnsi="Arial"/>
                <w:sz w:val="16"/>
                <w:szCs w:val="16"/>
                <w:color w:val="auto"/>
              </w:rPr>
              <w:t>Topic 718 Stock Compensation</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(60,535)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taxes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38,787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531,666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(500,196)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30,935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 offering</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9,373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59,093</w:t>
            </w:r>
          </w:p>
        </w:tc>
        <w:tc>
          <w:tcPr>
            <w:tcW w:w="0" w:type="dxa"/>
            <w:vAlign w:val="bottom"/>
          </w:tcPr>
          <w:p>
            <w:pPr>
              <w:spacing w:after="0"/>
              <w:rPr>
                <w:sz w:val="1"/>
                <w:szCs w:val="1"/>
                <w:color w:val="auto"/>
              </w:rPr>
            </w:pPr>
          </w:p>
        </w:tc>
      </w:tr>
      <w:tr>
        <w:trPr>
          <w:trHeight w:val="220"/>
        </w:trPr>
        <w:tc>
          <w:tcPr>
            <w:tcW w:w="3900" w:type="dxa"/>
            <w:vAlign w:val="bottom"/>
          </w:tcPr>
          <w:p>
            <w:pPr>
              <w:ind w:left="380"/>
              <w:spacing w:after="0"/>
              <w:rPr>
                <w:sz w:val="20"/>
                <w:szCs w:val="20"/>
                <w:color w:val="auto"/>
              </w:rPr>
            </w:pPr>
            <w:r>
              <w:rPr>
                <w:rFonts w:ascii="Arial" w:cs="Arial" w:eastAsia="Arial" w:hAnsi="Arial"/>
                <w:sz w:val="16"/>
                <w:szCs w:val="16"/>
                <w:color w:val="auto"/>
                <w:w w:val="97"/>
              </w:rPr>
              <w:t>Issuance of restricted stock, net of shares withheld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380"/>
              <w:spacing w:after="0"/>
              <w:rPr>
                <w:sz w:val="20"/>
                <w:szCs w:val="20"/>
                <w:color w:val="auto"/>
              </w:rPr>
            </w:pPr>
            <w:r>
              <w:rPr>
                <w:rFonts w:ascii="Arial" w:cs="Arial" w:eastAsia="Arial" w:hAnsi="Arial"/>
                <w:sz w:val="16"/>
                <w:szCs w:val="16"/>
                <w:color w:val="auto"/>
              </w:rPr>
              <w:t>for taxes, and other</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 from option exercises</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Issuance of common stock under ESPP</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Conversion option on convertible debt</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29,357</w:t>
            </w:r>
          </w:p>
        </w:tc>
        <w:tc>
          <w:tcPr>
            <w:tcW w:w="0" w:type="dxa"/>
            <w:vAlign w:val="bottom"/>
          </w:tcPr>
          <w:p>
            <w:pPr>
              <w:spacing w:after="0"/>
              <w:rPr>
                <w:sz w:val="1"/>
                <w:szCs w:val="1"/>
                <w:color w:val="auto"/>
              </w:rPr>
            </w:pPr>
          </w:p>
        </w:tc>
      </w:tr>
      <w:tr>
        <w:trPr>
          <w:trHeight w:val="220"/>
        </w:trPr>
        <w:tc>
          <w:tcPr>
            <w:tcW w:w="3900" w:type="dxa"/>
            <w:vAlign w:val="bottom"/>
          </w:tcPr>
          <w:p>
            <w:pPr>
              <w:ind w:left="380"/>
              <w:spacing w:after="0"/>
              <w:rPr>
                <w:sz w:val="20"/>
                <w:szCs w:val="20"/>
                <w:color w:val="auto"/>
              </w:rPr>
            </w:pPr>
            <w:r>
              <w:rPr>
                <w:rFonts w:ascii="Arial" w:cs="Arial" w:eastAsia="Arial" w:hAnsi="Arial"/>
                <w:sz w:val="16"/>
                <w:szCs w:val="16"/>
                <w:color w:val="auto"/>
              </w:rPr>
              <w:t>Conversion cost related to conversion option 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380"/>
              <w:spacing w:after="0"/>
              <w:rPr>
                <w:sz w:val="20"/>
                <w:szCs w:val="20"/>
                <w:color w:val="auto"/>
              </w:rPr>
            </w:pPr>
            <w:r>
              <w:rPr>
                <w:rFonts w:ascii="Arial" w:cs="Arial" w:eastAsia="Arial" w:hAnsi="Arial"/>
                <w:sz w:val="16"/>
                <w:szCs w:val="16"/>
                <w:color w:val="auto"/>
              </w:rPr>
              <w:t>convertible debt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Cumulative-effect on new accounting standards for</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Topic 606 Revenue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11,023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(59,013)</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Other comprehensive income (loss), net of taxes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49,338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631,605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(558,851)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72,116</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Issuance of common stock on bond conversion</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19,460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133,280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133,299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Issuance of restricted stock, net of shares withheld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taxes, and other</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Issuance of common stock from option exercises</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 under ESPP</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11,349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11,349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(64,790)</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Other comprehensive income (loss), net of taxes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69,956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777,765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153,612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15" w:right="239" w:bottom="1440" w:gutter="0" w:footer="0" w:header="0"/>
        </w:sectPr>
      </w:pPr>
    </w:p>
    <w:bookmarkStart w:id="63" w:name="page64"/>
    <w:bookmarkEnd w:id="63"/>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Net loss</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(64,790)</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(59,013)</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(60,535)</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7,409</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9,092</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Amortization of developed technology</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11,200</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debt discounts, premiums and issuance costs</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Impairment of intangible</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Loss on disposal of property and equipment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inventory reserves, net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Other non-cash items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assets and liabilities:</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4,162</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(24,098)</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(62,370)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(6,276)</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25,550</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Purchases of intangible assets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(39,301)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17,658</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Proceeds from issuance of common stock</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59,469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28,793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debt issuance</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640" w:type="dxa"/>
            <w:vAlign w:val="bottom"/>
          </w:tcPr>
          <w:p>
            <w:pPr>
              <w:ind w:left="40"/>
              <w:spacing w:after="0"/>
              <w:rPr>
                <w:sz w:val="20"/>
                <w:szCs w:val="20"/>
                <w:color w:val="auto"/>
              </w:rPr>
            </w:pPr>
            <w:r>
              <w:rPr>
                <w:rFonts w:ascii="Arial" w:cs="Arial" w:eastAsia="Arial" w:hAnsi="Arial"/>
                <w:sz w:val="14"/>
                <w:szCs w:val="14"/>
                <w:color w:val="auto"/>
              </w:rPr>
              <w:t>Repayment of long-term debt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(51,826)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of debt and equity issuance cost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stock issuance from ESPP</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57,660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28,997</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(71,665)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95,401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58,056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35,045</w:t>
            </w:r>
          </w:p>
        </w:tc>
        <w:tc>
          <w:tcPr>
            <w:tcW w:w="0" w:type="dxa"/>
            <w:vAlign w:val="bottom"/>
          </w:tcPr>
          <w:p>
            <w:pPr>
              <w:spacing w:after="0"/>
              <w:rPr>
                <w:sz w:val="1"/>
                <w:szCs w:val="1"/>
                <w:color w:val="auto"/>
              </w:rPr>
            </w:pPr>
          </w:p>
        </w:tc>
      </w:tr>
      <w:tr>
        <w:trPr>
          <w:trHeight w:val="283"/>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23,736</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58,056</w:t>
            </w:r>
          </w:p>
        </w:tc>
        <w:tc>
          <w:tcPr>
            <w:tcW w:w="0" w:type="dxa"/>
            <w:vAlign w:val="bottom"/>
          </w:tcPr>
          <w:p>
            <w:pPr>
              <w:spacing w:after="0"/>
              <w:rPr>
                <w:sz w:val="1"/>
                <w:szCs w:val="1"/>
                <w:color w:val="auto"/>
              </w:rPr>
            </w:pPr>
          </w:p>
        </w:tc>
      </w:tr>
      <w:tr>
        <w:trPr>
          <w:trHeight w:val="239"/>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Pr>
          <w:p>
            <w:pPr>
              <w:ind w:left="40"/>
              <w:spacing w:after="0"/>
              <w:rPr>
                <w:sz w:val="20"/>
                <w:szCs w:val="20"/>
                <w:color w:val="auto"/>
              </w:rPr>
            </w:pPr>
            <w:r>
              <w:rPr>
                <w:rFonts w:ascii="Arial" w:cs="Arial" w:eastAsia="Arial" w:hAnsi="Arial"/>
                <w:sz w:val="14"/>
                <w:szCs w:val="14"/>
                <w:color w:val="auto"/>
              </w:rPr>
              <w:t>Cash paid for income taxes, net of refunds</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4"/>
        </w:trPr>
        <w:tc>
          <w:tcPr>
            <w:tcW w:w="6640" w:type="dxa"/>
            <w:vAlign w:val="bottom"/>
          </w:tcPr>
          <w:p>
            <w:pPr>
              <w:ind w:left="40"/>
              <w:spacing w:after="0" w:line="144" w:lineRule="exact"/>
              <w:rPr>
                <w:sz w:val="20"/>
                <w:szCs w:val="20"/>
                <w:color w:val="auto"/>
              </w:rPr>
            </w:pPr>
            <w:r>
              <w:rPr>
                <w:rFonts w:ascii="Arial" w:cs="Arial" w:eastAsia="Arial" w:hAnsi="Arial"/>
                <w:sz w:val="14"/>
                <w:szCs w:val="14"/>
                <w:color w:val="auto"/>
              </w:rPr>
              <w:t>Unpaid debt and equity issuance costs</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6640" w:type="dxa"/>
            <w:vAlign w:val="bottom"/>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71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15"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1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Fluidigm Corporation (the Company, we, our or us) creates, manufactures, and markets technologies and tools for life sciences research, including preparatory and analytical instruments for Mass Cytometry, PCR, Library Prep, Single Cell Genomics, and consumables, including integrated fluidic circuits (IFC), assays, and reagents. Our focus is on the most pressing needs in translational and clinical research, including cancer, immunology and immunotherapy. We sell our instruments, consumables and services to academic institutions, clinical research laboratories, and contract research organizations, as well as biopharmaceutical, biotechnology, and agricultural biotechnology companies. The Company was formerly known as Mycometrix Corporation and changed its name to Fluidigm Corporation in April 2001. Fluidigm Corporation was founded in 1999 and is headquartered in South San Francisco, California.</w:t>
      </w:r>
    </w:p>
    <w:p>
      <w:pPr>
        <w:spacing w:after="0" w:line="200" w:lineRule="exact"/>
        <w:rPr>
          <w:sz w:val="20"/>
          <w:szCs w:val="20"/>
          <w:color w:val="auto"/>
        </w:rPr>
      </w:pPr>
    </w:p>
    <w:p>
      <w:pPr>
        <w:spacing w:after="0" w:line="285" w:lineRule="exact"/>
        <w:rPr>
          <w:sz w:val="20"/>
          <w:szCs w:val="20"/>
          <w:color w:val="auto"/>
        </w:rPr>
      </w:pPr>
    </w:p>
    <w:p>
      <w:pPr>
        <w:ind w:right="7860" w:firstLine="8"/>
        <w:spacing w:after="0" w:line="566" w:lineRule="auto"/>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2019,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Certain prior period amounts in the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263238"/>
        </w:rPr>
        <w:t>We adopted ASC 606 Revenue from Contracts with Customers on January 1, 2018 and all the related amendments using the modified retrospective method. The Company recognized the cumulative effect of initially applying the new revenue standard as an adjustment to the opening balance of accumulated deficit as of January 1, 2018. The comparative information for 2017 has not been recast and continues to be reported under the accounting standards in effect for that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3" w:right="239" w:bottom="1440" w:gutter="0" w:footer="0" w:header="0"/>
        </w:sectPr>
      </w:pPr>
    </w:p>
    <w:bookmarkStart w:id="65" w:name="page66"/>
    <w:bookmarkEnd w:id="65"/>
    <w:p>
      <w:pPr>
        <w:ind w:firstLine="392"/>
        <w:spacing w:after="0" w:line="297" w:lineRule="auto"/>
        <w:rPr>
          <w:sz w:val="20"/>
          <w:szCs w:val="20"/>
          <w:color w:val="auto"/>
        </w:rPr>
      </w:pPr>
      <w:r>
        <w:rPr>
          <w:rFonts w:ascii="Arial" w:cs="Arial" w:eastAsia="Arial" w:hAnsi="Arial"/>
          <w:sz w:val="16"/>
          <w:szCs w:val="16"/>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receive grants from various entities to perform research and development activities over contractually defined periods. Revenue is generally recognized provided that the conditions under which the grants were provided have been met and any remaining performance obligations are perfunctory. Revenue is reported net of any sales, use and value-added taxes we collect from customers as required by government authorities.</w:t>
      </w:r>
    </w:p>
    <w:p>
      <w:pPr>
        <w:spacing w:after="0" w:line="158" w:lineRule="exact"/>
        <w:rPr>
          <w:sz w:val="20"/>
          <w:szCs w:val="20"/>
          <w:color w:val="auto"/>
        </w:rPr>
      </w:pPr>
    </w:p>
    <w:p>
      <w:pPr>
        <w:ind w:right="22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87"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81"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 To date, capitalized contract costs have been immaterial.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Applying the revenue recognition practices discussed above often requires significant judgment. Judgment is required when identifying performance obligations, estimating SSP and allocating purchasing consideration in multi-element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341" w:right="279" w:bottom="1440" w:gutter="0" w:footer="0" w:header="0"/>
        </w:sectPr>
      </w:pPr>
    </w:p>
    <w:bookmarkStart w:id="66" w:name="page67"/>
    <w:bookmarkEnd w:id="66"/>
    <w:p>
      <w:pPr>
        <w:jc w:val="both"/>
        <w:ind w:right="100"/>
        <w:spacing w:after="0" w:line="264" w:lineRule="auto"/>
        <w:rPr>
          <w:sz w:val="20"/>
          <w:szCs w:val="20"/>
          <w:color w:val="auto"/>
        </w:rPr>
      </w:pPr>
      <w:r>
        <w:rPr>
          <w:rFonts w:ascii="Arial" w:cs="Arial" w:eastAsia="Arial" w:hAnsi="Arial"/>
          <w:sz w:val="18"/>
          <w:szCs w:val="18"/>
          <w:color w:val="auto"/>
        </w:rPr>
        <w:t>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Short-term investments are comprised of notes from government-sponsored agencies that mature within one year.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8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2019, 2018, or 2017, and no single customer represented more than 10% of total accounts receivable at December 31, 2019, 2018, or 2017.</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Inventories are stated at the lower of cost (on a first-in, first-out basis) or net realizable value. Inventory costs include direct materials, direct labor, and normal manufacturing overhead. Finished goods that are used for research and development are expensed as consumed or depreciated over their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341"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over the estimated useful lives of the assets or the remaining term of the lease, whichever is shorter. The estimated useful lives of our property and equipment are generally as follows: computer equipment and software, three to four years; laboratory and manufacturing equipment, two to five years; and office furniture and fixtures, five years.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for the years ended December 31, 2019, 2018, and 2017 was $3.6 million, $4.2 million, and $5.9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81" w:lineRule="exact"/>
        <w:rPr>
          <w:sz w:val="20"/>
          <w:szCs w:val="20"/>
          <w:color w:val="auto"/>
        </w:rPr>
      </w:pPr>
    </w:p>
    <w:p>
      <w:pPr>
        <w:ind w:right="100" w:firstLine="392"/>
        <w:spacing w:after="0" w:line="293"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65" w:lineRule="exact"/>
        <w:rPr>
          <w:sz w:val="20"/>
          <w:szCs w:val="20"/>
          <w:color w:val="auto"/>
        </w:rPr>
      </w:pPr>
    </w:p>
    <w:p>
      <w:pPr>
        <w:ind w:right="40" w:firstLine="392"/>
        <w:spacing w:after="0" w:line="291" w:lineRule="auto"/>
        <w:rPr>
          <w:sz w:val="20"/>
          <w:szCs w:val="20"/>
          <w:color w:val="auto"/>
        </w:rPr>
      </w:pPr>
      <w:r>
        <w:rPr>
          <w:rFonts w:ascii="Arial" w:cs="Arial" w:eastAsia="Arial" w:hAnsi="Arial"/>
          <w:sz w:val="16"/>
          <w:szCs w:val="16"/>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 We did not recognize any impairment of goodwill for any of the periods presented herein.</w:t>
      </w:r>
    </w:p>
    <w:p>
      <w:pPr>
        <w:spacing w:after="0" w:line="16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In the fourth quarter of 2019, we recognized an impairment charge of $0.4 million on patents and licenses that are not used in current products and are not expected to be used in future product offerings.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right="160" w:firstLine="392"/>
        <w:spacing w:after="0" w:line="270"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8" w:name="page69"/>
    <w:bookmarkEnd w:id="68"/>
    <w:p>
      <w:pPr>
        <w:spacing w:after="0" w:line="312" w:lineRule="auto"/>
        <w:rPr>
          <w:sz w:val="20"/>
          <w:szCs w:val="20"/>
          <w:color w:val="auto"/>
        </w:rPr>
      </w:pPr>
      <w:r>
        <w:rPr>
          <w:rFonts w:ascii="Arial" w:cs="Arial" w:eastAsia="Arial" w:hAnsi="Arial"/>
          <w:sz w:val="16"/>
          <w:szCs w:val="16"/>
          <w:color w:val="auto"/>
        </w:rPr>
        <w:t>otes, using the effective interest method through the first note holder put date, of February 6, 2023. In the first quarter of 2019, the 2018 Notes were converted into 19.5 million shares of our common stock and the 2018 Notes were retired. We recorded a loss of $9.0 million on the retirement of the 2018 Notes. We have determined the fair value of the 2018 Notes using valuation techniques that require us to make assumptions related to the implied discount rate.</w:t>
      </w:r>
    </w:p>
    <w:p>
      <w:pPr>
        <w:spacing w:after="0" w:line="147"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In November 2019, we closed a private placement to qualified institutional buyers pursuant to Rule 144A under the Securities Act of $55.0 million aggregate principal amount of our 5.25% Senior Convertible Notes due 2024 (2019 Notes). The majority of the issuance proceeds were used to retire approximately $50.2 million of aggregate principal amount of our 2014 Notes, leaving approximately $1.1 million of aggregate principal amount of our 2014 Notes outstanding. We recorded a loss of $3.0 million on the extinguishment of the 2014 Notes. This amount represents the difference between the fair value of the 2019 Notes used to extinguish the debt and the carrying value of the 2014 Notes, including unamortized debt issuance costs.</w:t>
      </w:r>
    </w:p>
    <w:p>
      <w:pPr>
        <w:spacing w:after="0" w:line="173" w:lineRule="exact"/>
        <w:rPr>
          <w:sz w:val="20"/>
          <w:szCs w:val="20"/>
          <w:color w:val="auto"/>
        </w:rPr>
      </w:pPr>
    </w:p>
    <w:p>
      <w:pPr>
        <w:jc w:val="both"/>
        <w:ind w:right="180" w:firstLine="392"/>
        <w:spacing w:after="0" w:line="312" w:lineRule="auto"/>
        <w:rPr>
          <w:sz w:val="20"/>
          <w:szCs w:val="20"/>
          <w:color w:val="auto"/>
        </w:rPr>
      </w:pPr>
      <w:r>
        <w:rPr>
          <w:rFonts w:ascii="Arial" w:cs="Arial" w:eastAsia="Arial" w:hAnsi="Arial"/>
          <w:sz w:val="16"/>
          <w:szCs w:val="16"/>
          <w:color w:val="auto"/>
        </w:rPr>
        <w:t>As the 2019 Notes do not provide for a cash conversion feature, the 2019 Notes are recorded for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for a detailed discussion of the accounting treatment of the transactions and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financial instruments consist primarily of cash and cash equivalents, restricted cash, investments, accounts receivable, accounts payable, and convertible notes. Our cash equivalents, restricted cash, investments, accounts receivable, and accounts payable generally have short maturity or payment periods. Accordingly, their carrying values approximated their fair values at December 31, 2019 and 2018. The convertible notes are presented at their carrying value, with fair value disclosures made in Note 8. As a basis for considering fair value, we follow a three-tier value hierarchy, which prioritizes the inputs used in measuring fair value as follows: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$3.4 million, $2.2 million and $1.8 million during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41" w:right="259" w:bottom="1440" w:gutter="0" w:footer="0" w:header="0"/>
        </w:sectPr>
      </w:pPr>
    </w:p>
    <w:bookmarkStart w:id="69" w:name="page70"/>
    <w:bookmarkEnd w:id="69"/>
    <w:p>
      <w:pPr>
        <w:ind w:right="60"/>
        <w:spacing w:after="0" w:line="276" w:lineRule="auto"/>
        <w:rPr>
          <w:sz w:val="20"/>
          <w:szCs w:val="20"/>
          <w:color w:val="auto"/>
        </w:rPr>
      </w:pPr>
      <w:r>
        <w:rPr>
          <w:rFonts w:ascii="Arial" w:cs="Arial" w:eastAsia="Arial" w:hAnsi="Arial"/>
          <w:sz w:val="17"/>
          <w:szCs w:val="17"/>
          <w:color w:val="auto"/>
        </w:rPr>
        <w:t>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73"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account for stock options and restricted stock units granted to employees and directors and stock purchases under ESPP based on the fair value of the awards. We recognize stock-based compensation expense on a straight-line basis over the requisite service periods for non-performance-based awards. For performance-based stock awards, stock-based compensation expense is recognized over the requisite service period when the achievement of each individual performance goal becomes probable.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24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2019, 2018, and 2017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Adjustment</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(Loss) on Investments</w:t>
            </w:r>
          </w:p>
        </w:tc>
        <w:tc>
          <w:tcPr>
            <w:tcW w:w="120" w:type="dxa"/>
            <w:vAlign w:val="bottom"/>
          </w:tcPr>
          <w:p>
            <w:pPr>
              <w:spacing w:after="0"/>
              <w:rPr>
                <w:sz w:val="16"/>
                <w:szCs w:val="16"/>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consolidated statement of operations for the years ended December 31, 2019,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0" w:name="page71"/>
    <w:bookmarkEnd w:id="70"/>
    <w:p>
      <w:pPr>
        <w:ind w:right="1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6"/>
                <w:szCs w:val="16"/>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3,501</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63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63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63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3,598</w:t>
            </w:r>
          </w:p>
        </w:tc>
      </w:tr>
      <w:tr>
        <w:trPr>
          <w:trHeight w:val="27"/>
        </w:trPr>
        <w:tc>
          <w:tcPr>
            <w:tcW w:w="42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6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7,099</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9" w:lineRule="exact"/>
        <w:rPr>
          <w:sz w:val="20"/>
          <w:szCs w:val="20"/>
          <w:color w:val="auto"/>
        </w:rPr>
      </w:pPr>
    </w:p>
    <w:p>
      <w:pPr>
        <w:ind w:right="120" w:firstLine="392"/>
        <w:spacing w:after="0" w:line="297" w:lineRule="auto"/>
        <w:rPr>
          <w:sz w:val="20"/>
          <w:szCs w:val="20"/>
          <w:color w:val="auto"/>
        </w:rPr>
      </w:pPr>
      <w:r>
        <w:rPr>
          <w:rFonts w:ascii="Arial" w:cs="Arial" w:eastAsia="Arial" w:hAnsi="Arial"/>
          <w:sz w:val="16"/>
          <w:szCs w:val="16"/>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has not been updated, and the disclosures required under the new standard have not been provided for dates and periods before January 1, 2019. For dates and periods prior to January 1, 2019, the original disclosures under ASC 840 are disclosed.</w:t>
      </w:r>
    </w:p>
    <w:p>
      <w:pPr>
        <w:spacing w:after="0" w:line="1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27"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On adoption, we recognized $9.2 million of lease liabilities, based on the present value of the current minimum lease payments, discounted using our collateralized incremental borrowing rate, with corresponding ROU assets of $7.4 million. The difference between the initial lease liability and ROU asset is attributable to deferred rent. There was no impact to accumulated deficit from the adoption of ASC 842.</w:t>
      </w:r>
    </w:p>
    <w:p>
      <w:pPr>
        <w:spacing w:after="0" w:line="127" w:lineRule="exact"/>
        <w:rPr>
          <w:sz w:val="20"/>
          <w:szCs w:val="20"/>
          <w:color w:val="auto"/>
        </w:rPr>
      </w:pPr>
    </w:p>
    <w:p>
      <w:pPr>
        <w:ind w:right="140" w:firstLine="392"/>
        <w:spacing w:after="0" w:line="297" w:lineRule="auto"/>
        <w:rPr>
          <w:sz w:val="20"/>
          <w:szCs w:val="20"/>
          <w:color w:val="auto"/>
        </w:rPr>
      </w:pPr>
      <w:r>
        <w:rPr>
          <w:rFonts w:ascii="Arial" w:cs="Arial" w:eastAsia="Arial" w:hAnsi="Arial"/>
          <w:sz w:val="16"/>
          <w:szCs w:val="16"/>
          <w:color w:val="auto"/>
        </w:rPr>
        <w:t>The new standard also provides certain accounting elections for an entity’s ongoing accounting. We elected the short-term lease recognition exemption for all leases that qualify. This means that, for those leases that qualify, we will not recognize ROU assets or lease liabilities for leases with an initial lease term of one year or less. We also elected to not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 We determine whether an arrangement is a lease, or contains a lease, at inception.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November 2019, the FASB issued ASU 2019-12-Income Taxes (Topic 740): Simplifying the Accounting for Income Taxes. The amendments in this update improve consistent application of and simplifies GAAP for Topic 740 by clarifying and amending existing guidance including intra-period allocation, reporting tax law changes and losses in interim periods, state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1" w:name="page72"/>
    <w:bookmarkEnd w:id="71"/>
    <w:p>
      <w:pPr>
        <w:ind w:right="140"/>
        <w:spacing w:after="0" w:line="264" w:lineRule="auto"/>
        <w:rPr>
          <w:sz w:val="20"/>
          <w:szCs w:val="20"/>
          <w:color w:val="auto"/>
        </w:rPr>
      </w:pPr>
      <w:r>
        <w:rPr>
          <w:rFonts w:ascii="Arial" w:cs="Arial" w:eastAsia="Arial" w:hAnsi="Arial"/>
          <w:sz w:val="18"/>
          <w:szCs w:val="18"/>
          <w:color w:val="auto"/>
        </w:rPr>
        <w:t>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consolidated financial statements.</w:t>
      </w:r>
    </w:p>
    <w:p>
      <w:pPr>
        <w:spacing w:after="0" w:line="195"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is not expected to have a significant impact on our financial results.</w:t>
      </w:r>
    </w:p>
    <w:p>
      <w:pPr>
        <w:spacing w:after="0" w:line="188"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The adoption of the new guidance is not expected to have a significant impact on our financial results.</w:t>
      </w:r>
    </w:p>
    <w:p>
      <w:pPr>
        <w:spacing w:after="0" w:line="13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FASB issued two ASUs related to financial instruments – credit losses. The ASUs issued were: (1) in June 2016, ASU 2016-13, Financial Instruments-Credit Losses (Topic 326): Measurement of Credit Losses on Financial Instruments, and (2)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The modified retrospective method is required upon adoption. The adoption of the new guidance is not expected to have a significant impact on our financial results.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presents our revenue for the year ended December 31, 2019, 2018, and 2017, respectively, based on geographic area and by source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Americas</w:t>
            </w:r>
          </w:p>
        </w:tc>
        <w:tc>
          <w:tcPr>
            <w:tcW w:w="3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47,016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49,290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32,642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20,005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117,243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112,964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101,937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Source: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50,004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45,491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42,505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Consumables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41,894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93,650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84,399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101,937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right="160" w:firstLine="392"/>
        <w:spacing w:after="0" w:line="312" w:lineRule="auto"/>
        <w:rPr>
          <w:sz w:val="20"/>
          <w:szCs w:val="20"/>
          <w:color w:val="auto"/>
        </w:rPr>
      </w:pPr>
      <w:r>
        <w:rPr>
          <w:rFonts w:ascii="Arial" w:cs="Arial" w:eastAsia="Arial" w:hAnsi="Arial"/>
          <w:sz w:val="16"/>
          <w:szCs w:val="16"/>
          <w:color w:val="auto"/>
        </w:rPr>
        <w:t>We reported $17.8 million of deferred revenue on our December 31, 2018 consolidated balance sheet. During the twelve months ended December 31, 2019, $10.7 million of the opening balance was recognized as revenue and $12.9 million of net additional advance payments were received from customers, primarily associated with instrument service contracts. At December 31, 2019, we reported $20.0 million of deferred revenue.</w:t>
      </w:r>
    </w:p>
    <w:p>
      <w:pPr>
        <w:spacing w:after="0" w:line="147"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December 31, 2019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 xml:space="preserve">Expected Revenue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9" w:lineRule="exact"/>
        <w:rPr>
          <w:sz w:val="20"/>
          <w:szCs w:val="20"/>
          <w:color w:val="auto"/>
        </w:rPr>
      </w:pPr>
    </w:p>
    <w:p>
      <w:pPr>
        <w:ind w:right="600" w:firstLine="216"/>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for service contracts with an expected term of one year or less.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229"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In connection with our acquisition of DVS in February 2014, we recognized goodwill of $104.1 million. Intangible assets include developed technology related to the DVS acquisition and other intangible assets are included in other non-current assets.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(8,342)</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5"/>
              </w:rPr>
              <w:t>December 31, 2018</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3"/>
                <w:szCs w:val="13"/>
                <w:color w:val="auto"/>
              </w:rPr>
            </w:pPr>
          </w:p>
        </w:tc>
        <w:tc>
          <w:tcPr>
            <w:tcW w:w="90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57,400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 the fourth quarter of 2019, we concluded that one of our patents and licenses was impaired and reduced its carrying value to zero, recognizing a charge of $0.4 million, which is reflected in accumulated amortization. Total amortization expense for the years ended December 31, 2019, December 31, 2018, and December 31, 2017 was $12.2 million, $12.3 million and $12.4 million, respectively.</w:t>
      </w:r>
    </w:p>
    <w:p>
      <w:pPr>
        <w:spacing w:after="0" w:line="181"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December 31, 2019, the annual amortization expense is expected to be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Developed Technology</w:t>
            </w:r>
          </w:p>
        </w:tc>
        <w:tc>
          <w:tcPr>
            <w:tcW w:w="100" w:type="dxa"/>
            <w:vAlign w:val="bottom"/>
          </w:tcPr>
          <w:p>
            <w:pPr>
              <w:spacing w:after="0"/>
              <w:rPr>
                <w:sz w:val="14"/>
                <w:szCs w:val="1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4"/>
              </w:rPr>
              <w:t>Patents and Licenses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Amortization Expense</w:t>
            </w:r>
          </w:p>
        </w:tc>
        <w:tc>
          <w:tcPr>
            <w:tcW w:w="10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as of December 31,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95,401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23,736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95,401</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Short-term restricted cash of approximately $1.1 million is included in prepaid expenses and other current assets, and $1.0 million of non-current restricted cash is included in other non-current assets in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as of December 31,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13,884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tcPr>
          <w:p>
            <w:pPr>
              <w:ind w:left="440"/>
              <w:spacing w:after="0"/>
              <w:rPr>
                <w:sz w:val="20"/>
                <w:szCs w:val="20"/>
                <w:color w:val="auto"/>
              </w:rPr>
            </w:pPr>
            <w:r>
              <w:rPr>
                <w:rFonts w:ascii="Arial" w:cs="Arial" w:eastAsia="Arial" w:hAnsi="Arial"/>
                <w:sz w:val="18"/>
                <w:szCs w:val="18"/>
                <w:color w:val="auto"/>
                <w:w w:val="97"/>
              </w:rPr>
              <w:t>Property and equipment consisted of the following as of December 31, 2019 and 2018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19,325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31,660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62" w:right="239" w:bottom="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019"/>
          </w:cols>
          <w:pgMar w:left="1440" w:top="557"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Activity for our warranty accrual for the years ended December 31, 2019 and 2018, which are included in other accrued liabilities, is summarized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1,386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1,573</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(1,409)</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1,390</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Notes and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17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(2014 Notes) pursuant to an underwriting agreement, dated January 29, 2014. The 2014 Notes will mature on February 1, 2034, unless earlier converted, redeemed, or repurchased in accordance with the terms of the 2014 Notes.</w:t>
      </w:r>
    </w:p>
    <w:p>
      <w:pPr>
        <w:spacing w:after="0" w:line="181"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The initial conversion rate of the 2014 Notes is 17.8750 shares of our common stock, par value $0.001 per share, per $1,000 principal amount of 2014 Notes (which is equivalent to an initial conversion price of approximately $55.94 per share). 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terms of the 2014 Notes, holders may require us to repurchase the 2014 Notes in whole or in part for cash at a repurchase price equal to 100% of the principal amount of the 2014 Notes plus accrued and unpaid interest.</w:t>
      </w:r>
    </w:p>
    <w:p>
      <w:pPr>
        <w:spacing w:after="0" w:line="167"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 The underwriting discount and offering-related expenses are being amortized to interest expense using the effective-interest rate method. The effective interest rate on the 2014 Notes, reflecting the impact of debt discounts and issuance costs, is 3.0%.</w:t>
      </w:r>
    </w:p>
    <w:p>
      <w:pPr>
        <w:spacing w:after="0" w:line="17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have retired the majority of the 2014 Notes through the issuance of the 2018 Notes and 2019 Notes, below discussed. As of December 31, 2019, there is $1.1 million aggregate principal of the 2014 Notes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66"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2018 Notes, leaving $51.3 million of aggregate principal amount of 2014 Notes outstanding. As of the closing of the 2018 Notes on March 12, 2018, the estimated fair value was $145.5 million. The difference between the $150.0 million aggregate principal amount of the 2018 Notes and its fair value was being amortized over the expected term of the 2018 Notes using the effective interest method through the first note holder put date of February 6, 2023.</w:t>
      </w:r>
    </w:p>
    <w:p>
      <w:pPr>
        <w:spacing w:after="0" w:line="188"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debt was calculated as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6" w:name="page77"/>
    <w:bookmarkEnd w:id="76"/>
    <w:p>
      <w:pPr>
        <w:ind w:right="80"/>
        <w:spacing w:after="0" w:line="277" w:lineRule="auto"/>
        <w:rPr>
          <w:sz w:val="20"/>
          <w:szCs w:val="20"/>
          <w:color w:val="auto"/>
        </w:rPr>
      </w:pPr>
      <w:r>
        <w:rPr>
          <w:rFonts w:ascii="Arial" w:cs="Arial" w:eastAsia="Arial" w:hAnsi="Arial"/>
          <w:sz w:val="18"/>
          <w:szCs w:val="18"/>
          <w:color w:val="auto"/>
        </w:rPr>
        <w:t>difference between the reacquisition price (i.e., the fair value of the principal amount of 2018 Notes) and the net carrying value of the 2014 Notes exchanged, net of unamortized debt discount and debt issuance cost write-offs.</w:t>
      </w:r>
    </w:p>
    <w:p>
      <w:pPr>
        <w:spacing w:after="0" w:line="170" w:lineRule="exact"/>
        <w:rPr>
          <w:sz w:val="20"/>
          <w:szCs w:val="20"/>
          <w:color w:val="auto"/>
        </w:rPr>
      </w:pPr>
    </w:p>
    <w:p>
      <w:pPr>
        <w:ind w:right="80" w:firstLine="392"/>
        <w:spacing w:after="0" w:line="287" w:lineRule="auto"/>
        <w:rPr>
          <w:sz w:val="20"/>
          <w:szCs w:val="20"/>
          <w:color w:val="auto"/>
        </w:rPr>
      </w:pPr>
      <w:r>
        <w:rPr>
          <w:rFonts w:ascii="Arial" w:cs="Arial" w:eastAsia="Arial" w:hAnsi="Arial"/>
          <w:sz w:val="16"/>
          <w:szCs w:val="16"/>
          <w:color w:val="auto"/>
        </w:rPr>
        <w:t>The 2018 Notes accrued interest at a rate of 2.75%, payable semi-annually in arrears on February 1 and August 1 of each year. The 2018 Notes matured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Those certain specified events included holders who convert their 2018 Notes voluntarily prior to our exercise of the issuer's conversion option described below or in connection with a make-whole fundamental change prior to February 6, 2023, entitling the holders, under certain circumstances, to a make-whole premium in the form of an increase in the conversion rate determined by reference to a make-whole table set forth in the indenture governing the 2018 Notes. Any time prior to the maturity of the 2018 Notes, we could convert the 2018 Notes, in whole but not in part, into cash, shares of our common stock, or combination thereof, if the closing price of our common stock equaled or exceeded 110% of the conversion price then in effect for a specified number of days. On or after February 6, 2022, we could elect to redeem all or any portion of the 2018 Notes at a redemption price equal to 100% of the accreted principal amount of the 2018 Notes on the redemption date of the 2018 Notes, plus accrued and unpaid interest.</w:t>
      </w:r>
    </w:p>
    <w:p>
      <w:pPr>
        <w:spacing w:after="0" w:line="173"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Holders of the 2018 Notes had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87"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Offering-related costs for the 2018 Notes were approximately $2.8 million. Offering-related costs of $2.2 million were capitalized as debt issuance costs, recorded as an offset to the carrying value of the 2018 Notes, and were being amortized over the expected term of the 2018 Notes using the effective interest method through the first note holder put date of February 6, 2023. The effective interest rate on the 2018 Notes was 12.3%.</w:t>
      </w:r>
    </w:p>
    <w:p>
      <w:pPr>
        <w:spacing w:after="0" w:line="166" w:lineRule="exact"/>
        <w:rPr>
          <w:sz w:val="20"/>
          <w:szCs w:val="20"/>
          <w:color w:val="auto"/>
        </w:rPr>
      </w:pPr>
    </w:p>
    <w:p>
      <w:pPr>
        <w:ind w:right="360" w:firstLine="392"/>
        <w:spacing w:after="0" w:line="264" w:lineRule="auto"/>
        <w:rPr>
          <w:sz w:val="20"/>
          <w:szCs w:val="20"/>
          <w:color w:val="auto"/>
        </w:rPr>
      </w:pPr>
      <w:r>
        <w:rPr>
          <w:rFonts w:ascii="Arial" w:cs="Arial" w:eastAsia="Arial" w:hAnsi="Arial"/>
          <w:sz w:val="18"/>
          <w:szCs w:val="18"/>
          <w:color w:val="auto"/>
        </w:rPr>
        <w:t>Offering-related costs of $0.6 million were accounted for as equity issuance costs, recorded as an offset to additional paid-in capital, and were not subject to amortization. Offering-related costs were allocated between debt and equity in the same proportion as the allocation of the 2018 Notes between debt and equity.</w:t>
      </w:r>
    </w:p>
    <w:p>
      <w:pPr>
        <w:spacing w:after="0" w:line="18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19.5 million shares of our common stock and the bonds were retired. We recognized a loss of $9.0 million on the retirement of the 2018 Notes, which represents the difference between the fair value of the bonds retired and their carrying costs. The net impact on equity was $133.3 million and represents the fair value of the bonds retired.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Senior Convertible Notes (2019 Notes)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November 2019, we issued $55.0 million aggregate principal amount of 2019 Notes. Net proceeds of the 2019 Notes issuance were $52.7 million, after deductions for commissions and other debt issuance costs. Offering related costs were capitalized as debt issuance costs, recorded as an offset to the carrying value of the 2019 Notes and are being amortized over the expected term of the 2019 Notes using the effective interest method. The effective interest rate on the 2019 Notes is 6.2%.</w:t>
      </w:r>
    </w:p>
    <w:p>
      <w:pPr>
        <w:spacing w:after="0" w:line="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$51.8 million of the proceeds of the 2019 Notes was used to retire $50.2 million aggregate principal amount of our 2014 Notes. We accounted for the transaction as an extinguishment of debt due to the significance of the change in value of the embedded conversion option, resulting in a $3.0 million loss. The loss on extinguishment of debt was calculated as the difference between the reacquisition price (i.e., the fair value of the principal amount of 2019 Notes) and the net carrying value of the 2014 Notes exchanged.</w:t>
      </w:r>
    </w:p>
    <w:p>
      <w:pPr>
        <w:spacing w:after="0" w:line="187"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7" w:name="page78"/>
    <w:bookmarkEnd w:id="77"/>
    <w:p>
      <w:pPr>
        <w:ind w:right="120"/>
        <w:spacing w:after="0" w:line="276" w:lineRule="auto"/>
        <w:rPr>
          <w:sz w:val="20"/>
          <w:szCs w:val="20"/>
          <w:color w:val="auto"/>
        </w:rPr>
      </w:pPr>
      <w:r>
        <w:rPr>
          <w:rFonts w:ascii="Arial" w:cs="Arial" w:eastAsia="Arial" w:hAnsi="Arial"/>
          <w:sz w:val="17"/>
          <w:szCs w:val="17"/>
          <w:color w:val="auto"/>
        </w:rPr>
        <w:t>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73" w:lineRule="exact"/>
        <w:rPr>
          <w:sz w:val="20"/>
          <w:szCs w:val="20"/>
          <w:color w:val="auto"/>
        </w:rPr>
      </w:pPr>
    </w:p>
    <w:p>
      <w:pPr>
        <w:ind w:right="20" w:firstLine="392"/>
        <w:spacing w:after="0" w:line="273" w:lineRule="auto"/>
        <w:rPr>
          <w:sz w:val="20"/>
          <w:szCs w:val="20"/>
          <w:color w:val="auto"/>
        </w:rPr>
      </w:pPr>
      <w:r>
        <w:rPr>
          <w:rFonts w:ascii="Arial" w:cs="Arial" w:eastAsia="Arial" w:hAnsi="Arial"/>
          <w:sz w:val="17"/>
          <w:szCs w:val="17"/>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78"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Offering-related costs for the 2019 Notes were approximately $2.3 million and were capitalized as debt issuance costs, recorded as an offset to the carrying value of the 2019 Notes, and are being be amortized over the expected term of the 2019 Notes using the effective interest method through the maturity date of December 1, 2024.</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the components of the 2014 Notes, 2018 Notes and 2019 Notes are as follows (in thousands):</w:t>
      </w:r>
    </w:p>
    <w:p>
      <w:pPr>
        <w:spacing w:after="0" w:line="185"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37465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2.75% 2014 Notes due 2034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49,794</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b w:val="1"/>
                <w:bCs w:val="1"/>
                <w:color w:val="auto"/>
              </w:rPr>
              <w:t>2.75% 2018 Notes due 2034</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Premium accretion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122,264</w:t>
            </w:r>
          </w:p>
        </w:tc>
      </w:tr>
      <w:tr>
        <w:trPr>
          <w:trHeight w:val="237"/>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5.25% 2019 Notes due 2024</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220"/>
              <w:spacing w:after="0"/>
              <w:rPr>
                <w:sz w:val="20"/>
                <w:szCs w:val="20"/>
                <w:color w:val="auto"/>
              </w:rPr>
            </w:pPr>
            <w:r>
              <w:rPr>
                <w:rFonts w:ascii="Arial" w:cs="Arial" w:eastAsia="Arial" w:hAnsi="Arial"/>
                <w:sz w:val="18"/>
                <w:szCs w:val="18"/>
                <w:color w:val="auto"/>
              </w:rPr>
              <w:t>Net carrying value of all Notes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172,058</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Revolving Credit Facility</w:t>
      </w:r>
    </w:p>
    <w:p>
      <w:pPr>
        <w:spacing w:after="0" w:line="266"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On August 2, 2018, we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December 31, 2019 under the revolving credit facility was $8.9 million. There were no borrowings outstanding under the Revolving Credit Facility at December 31,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8" w:name="page79"/>
    <w:bookmarkEnd w:id="78"/>
    <w:p>
      <w:pPr>
        <w:ind w:right="160" w:firstLine="392"/>
        <w:spacing w:after="0" w:line="259" w:lineRule="auto"/>
        <w:rPr>
          <w:sz w:val="20"/>
          <w:szCs w:val="20"/>
          <w:color w:val="auto"/>
        </w:rPr>
      </w:pPr>
      <w:r>
        <w:rPr>
          <w:rFonts w:ascii="Arial" w:cs="Arial" w:eastAsia="Arial" w:hAnsi="Arial"/>
          <w:sz w:val="18"/>
          <w:szCs w:val="18"/>
          <w:color w:val="auto"/>
        </w:rPr>
        <w:t>The Revolving Credit Facility matures on August 2, 2020, and is collateralized by substantially all our property, other than intellectual property. Outstanding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we pay a quarterly unused revolving line facility fee of 0.75% per annum on the average unused facility.</w:t>
      </w:r>
    </w:p>
    <w:p>
      <w:pPr>
        <w:spacing w:after="0" w:line="187" w:lineRule="exact"/>
        <w:rPr>
          <w:sz w:val="20"/>
          <w:szCs w:val="20"/>
          <w:color w:val="auto"/>
        </w:rPr>
      </w:pPr>
    </w:p>
    <w:p>
      <w:pPr>
        <w:jc w:val="both"/>
        <w:ind w:right="220" w:firstLine="392"/>
        <w:spacing w:after="0" w:line="264" w:lineRule="auto"/>
        <w:rPr>
          <w:sz w:val="20"/>
          <w:szCs w:val="20"/>
          <w:color w:val="auto"/>
        </w:rPr>
      </w:pPr>
      <w:r>
        <w:rPr>
          <w:rFonts w:ascii="Arial" w:cs="Arial" w:eastAsia="Arial" w:hAnsi="Arial"/>
          <w:sz w:val="18"/>
          <w:szCs w:val="18"/>
          <w:color w:val="auto"/>
        </w:rPr>
        <w:t>Subject to certain exceptions, we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incurred approximately $335,000 of debt issuance costs in connection with the facility, including $225,000 in commitment fees. Half of the commitment fee was paid at the inception of the facility and the remainder was paid on August 2, 2019. Debt issuance costs were capitalized and are being amortized to interest expense over the life of the Revolving Credit Facility.</w:t>
      </w:r>
    </w:p>
    <w:p>
      <w:pPr>
        <w:spacing w:after="0" w:line="181"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were in compliance with all the terms and conditions of the Revolving Credit Facility at December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one year to eight years. Some leases contain options to extend the lease, usually for up to five years, and termination options.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lease right-of-use assets, net, consisted of the following (in thousands):</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buildings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lease right-of-use equipment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vehicles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the first half of 2019, we entered into a new operating lease for our corporate headquarters in South San Francisco, California, which is expected to commence in March 2020. The lease term is approximately 10 years. Future minimum lease payments over the life of the lease are expected to be approximately $61.1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expense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8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vMerge w:val="restart"/>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Twelve months ended December 31,</w:t>
            </w:r>
          </w:p>
        </w:tc>
        <w:tc>
          <w:tcPr>
            <w:tcW w:w="0" w:type="dxa"/>
            <w:vAlign w:val="bottom"/>
          </w:tcPr>
          <w:p>
            <w:pPr>
              <w:spacing w:after="0"/>
              <w:rPr>
                <w:sz w:val="1"/>
                <w:szCs w:val="1"/>
                <w:color w:val="auto"/>
              </w:rPr>
            </w:pPr>
          </w:p>
        </w:tc>
      </w:tr>
      <w:tr>
        <w:trPr>
          <w:trHeight w:val="192"/>
        </w:trPr>
        <w:tc>
          <w:tcPr>
            <w:tcW w:w="8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63"/>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 (including variable costs)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Variable costs including non-lease component</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311"/>
        </w:trPr>
        <w:tc>
          <w:tcPr>
            <w:tcW w:w="8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Supplemental information:</w:t>
            </w:r>
          </w:p>
        </w:tc>
        <w:tc>
          <w:tcPr>
            <w:tcW w:w="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operating lease liabilities (included in net cash used in operating</w:t>
            </w: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36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0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311"/>
        </w:trPr>
        <w:tc>
          <w:tcPr>
            <w:tcW w:w="8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commenced non-cancelable operating leases, which are as of December 31, 2019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97"/>
              </w:rPr>
              <w:t>Minimum Lease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Minimum Sublease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2"/>
                <w:szCs w:val="12"/>
                <w:color w:val="auto"/>
              </w:rPr>
            </w:pPr>
          </w:p>
        </w:tc>
        <w:tc>
          <w:tcPr>
            <w:tcW w:w="13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Operating Leases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Disclosures related to periods prior to adoption of ASC 842</w:t>
      </w:r>
    </w:p>
    <w:p>
      <w:pPr>
        <w:spacing w:after="0" w:line="17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Operating lease rent expense, net of amortization of lease incentives and sublease income was $5.0 million and $4.7 million for the twelve months ended December 31, 2018 and 2017, respectively, for the comparative prior years before the adoption of ASC 842.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83" w:right="239" w:bottom="1440" w:gutter="0" w:footer="0" w:header="0"/>
        </w:sectPr>
      </w:pPr>
    </w:p>
    <w:bookmarkStart w:id="80" w:name="page81"/>
    <w:bookmarkEnd w:id="80"/>
    <w:p>
      <w:pPr>
        <w:ind w:right="200" w:firstLine="405"/>
        <w:spacing w:after="0" w:line="277" w:lineRule="auto"/>
        <w:rPr>
          <w:sz w:val="20"/>
          <w:szCs w:val="20"/>
          <w:color w:val="auto"/>
        </w:rPr>
      </w:pPr>
      <w:r>
        <w:rPr>
          <w:rFonts w:ascii="Arial" w:cs="Arial" w:eastAsia="Arial" w:hAnsi="Arial"/>
          <w:sz w:val="18"/>
          <w:szCs w:val="18"/>
          <w:color w:val="auto"/>
        </w:rPr>
        <w:t>As of December 31, 2018, future minimum lease payment obligations and minimum sublease income, net of expenses, under noncancelable operating leases before the adoption of ASC 842 were disclosed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Minimum Lease</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Minimum Sublease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6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Operating Leases</w:t>
            </w: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payments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December 31, 2019</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Cash- Restricted</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16,614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Cash-restricted</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7"/>
        </w:trPr>
        <w:tc>
          <w:tcPr>
            <w:tcW w:w="3320" w:type="dxa"/>
            <w:vAlign w:val="bottom"/>
          </w:tcPr>
          <w:p>
            <w:pPr>
              <w:ind w:left="120"/>
              <w:spacing w:after="0"/>
              <w:rPr>
                <w:sz w:val="20"/>
                <w:szCs w:val="20"/>
                <w:color w:val="auto"/>
              </w:rPr>
            </w:pPr>
            <w:r>
              <w:rPr>
                <w:rFonts w:ascii="Arial" w:cs="Arial" w:eastAsia="Arial" w:hAnsi="Arial"/>
                <w:sz w:val="18"/>
                <w:szCs w:val="18"/>
                <w:color w:val="auto"/>
              </w:rPr>
              <w:t>Total cash</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20"/>
              <w:spacing w:after="0"/>
              <w:rPr>
                <w:sz w:val="20"/>
                <w:szCs w:val="20"/>
                <w:color w:val="auto"/>
              </w:rPr>
            </w:pPr>
            <w:r>
              <w:rPr>
                <w:rFonts w:ascii="Arial" w:cs="Arial" w:eastAsia="Arial" w:hAnsi="Arial"/>
                <w:sz w:val="18"/>
                <w:szCs w:val="18"/>
                <w:color w:val="auto"/>
              </w:rPr>
              <w:t>Level I:</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60,714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21,661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Cash and Cash</w:t>
            </w:r>
          </w:p>
        </w:tc>
        <w:tc>
          <w:tcPr>
            <w:tcW w:w="160" w:type="dxa"/>
            <w:vAlign w:val="bottom"/>
          </w:tcPr>
          <w:p>
            <w:pPr>
              <w:spacing w:after="0"/>
              <w:rPr>
                <w:sz w:val="13"/>
                <w:szCs w:val="13"/>
                <w:color w:val="auto"/>
              </w:rPr>
            </w:pPr>
          </w:p>
        </w:tc>
        <w:tc>
          <w:tcPr>
            <w:tcW w:w="98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9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17,685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20"/>
              <w:spacing w:after="0"/>
              <w:rPr>
                <w:sz w:val="20"/>
                <w:szCs w:val="20"/>
                <w:color w:val="auto"/>
              </w:rPr>
            </w:pPr>
            <w:r>
              <w:rPr>
                <w:rFonts w:ascii="Arial" w:cs="Arial" w:eastAsia="Arial" w:hAnsi="Arial"/>
                <w:sz w:val="18"/>
                <w:szCs w:val="18"/>
                <w:color w:val="auto"/>
              </w:rPr>
              <w:t>Level I:</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95,401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95,401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34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and no changes in the valuation techniques used during the years ended December 31, 2019, and 2018.</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years ended December 31, 2019, 2018, and 2017. None of our investments have been in a</w:t>
      </w:r>
    </w:p>
    <w:p>
      <w:pPr>
        <w:sectPr>
          <w:pgSz w:w="11900" w:h="16838" w:orient="portrait"/>
          <w:cols w:equalWidth="0" w:num="1">
            <w:col w:w="11420"/>
          </w:cols>
          <w:pgMar w:left="240" w:top="50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03" w:right="239" w:bottom="1440" w:gutter="0" w:footer="0" w:header="0"/>
          <w:type w:val="continuous"/>
        </w:sectPr>
      </w:pPr>
    </w:p>
    <w:bookmarkStart w:id="81" w:name="page82"/>
    <w:bookmarkEnd w:id="81"/>
    <w:p>
      <w:pPr>
        <w:ind w:right="340"/>
        <w:spacing w:after="0" w:line="277" w:lineRule="auto"/>
        <w:rPr>
          <w:sz w:val="20"/>
          <w:szCs w:val="20"/>
          <w:color w:val="auto"/>
        </w:rPr>
      </w:pPr>
      <w:r>
        <w:rPr>
          <w:rFonts w:ascii="Arial" w:cs="Arial" w:eastAsia="Arial" w:hAnsi="Arial"/>
          <w:sz w:val="18"/>
          <w:szCs w:val="18"/>
          <w:color w:val="auto"/>
        </w:rPr>
        <w:t>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For 2018, the estimated fair value of the 2014 and 2018 Notes was based on a market approach and represents a Level II valuation. When determining the estimated fair value of our long-term debt, we used a commonly accepted valuation methodology and market-based risk measurements that are indirectly observable, such as credit risk. In 2019, we significantly reduced the amount of our debt outstanding. As a result, these securities are not traded frequently, so it is difficult to estimate a reliable and accurate market price and represent Level III valuations. A fair value for these assets cannot be determined by using readily observable inputs or measures, such as market prices or models. Fair values were estimated using pricing models and risk-adjusted value ranges.</w:t>
      </w:r>
    </w:p>
    <w:p>
      <w:pPr>
        <w:spacing w:after="0" w:line="226"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following table summarizes the par value, carrying value and the estimated fair value of the 2014, 2018 and 2019 Notes at December 31, 2019 and 2018, respectively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1,079</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2018 Notes</w:t>
            </w: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149,999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122,264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171,843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Notes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56,079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53,821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75,097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201,249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8"/>
              </w:rPr>
              <w:t>172,058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215,508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right="9140" w:hanging="412"/>
        <w:spacing w:after="0" w:line="495" w:lineRule="auto"/>
        <w:tabs>
          <w:tab w:leader="none" w:pos="19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Conversion of 2018 Notes</w:t>
      </w:r>
    </w:p>
    <w:p>
      <w:pPr>
        <w:spacing w:after="0" w:line="1" w:lineRule="exact"/>
        <w:rPr>
          <w:sz w:val="20"/>
          <w:szCs w:val="20"/>
          <w:color w:val="auto"/>
        </w:rPr>
      </w:pPr>
    </w:p>
    <w:p>
      <w:pPr>
        <w:ind w:right="220" w:firstLine="392"/>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6). As a result of this issuance of our common stock, we recorded a total of $133.3 million of equity, which is equivalent to the fair value of the bonds retired.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2018 Market Offering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On December 14, 2018, we closed on an </w:t>
      </w:r>
      <w:r>
        <w:rPr>
          <w:rFonts w:ascii="Arial" w:cs="Arial" w:eastAsia="Arial" w:hAnsi="Arial"/>
          <w:sz w:val="16"/>
          <w:szCs w:val="16"/>
          <w:color w:val="232222"/>
        </w:rPr>
        <w:t>underwritten public offering of 9,372,500 shares our common stock, $0.001 par value. The common stock was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2222"/>
        </w:rPr>
        <w:t xml:space="preserve">sold at a price to the public of </w:t>
      </w:r>
      <w:r>
        <w:rPr>
          <w:rFonts w:ascii="Arial" w:cs="Arial" w:eastAsia="Arial" w:hAnsi="Arial"/>
          <w:sz w:val="18"/>
          <w:szCs w:val="18"/>
          <w:color w:val="000000"/>
        </w:rPr>
        <w:t>$6.75</w:t>
      </w:r>
      <w:r>
        <w:rPr>
          <w:rFonts w:ascii="Arial" w:cs="Arial" w:eastAsia="Arial" w:hAnsi="Arial"/>
          <w:sz w:val="18"/>
          <w:szCs w:val="18"/>
          <w:color w:val="232222"/>
        </w:rPr>
        <w:t xml:space="preserve"> per share, for aggregate gross proceeds of approximately </w:t>
      </w:r>
      <w:r>
        <w:rPr>
          <w:rFonts w:ascii="Arial" w:cs="Arial" w:eastAsia="Arial" w:hAnsi="Arial"/>
          <w:sz w:val="18"/>
          <w:szCs w:val="18"/>
          <w:color w:val="000000"/>
        </w:rPr>
        <w:t>$63.3 million</w:t>
      </w:r>
      <w:r>
        <w:rPr>
          <w:rFonts w:ascii="Arial" w:cs="Arial" w:eastAsia="Arial" w:hAnsi="Arial"/>
          <w:sz w:val="18"/>
          <w:szCs w:val="18"/>
          <w:color w:val="232222"/>
        </w:rPr>
        <w:t>, from our existing shelf registration</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2222"/>
        </w:rPr>
        <w:t xml:space="preserve">statement. Net proceeds from the offering were approximately </w:t>
      </w:r>
      <w:r>
        <w:rPr>
          <w:rFonts w:ascii="Arial" w:cs="Arial" w:eastAsia="Arial" w:hAnsi="Arial"/>
          <w:sz w:val="18"/>
          <w:szCs w:val="18"/>
          <w:color w:val="000000"/>
        </w:rPr>
        <w:t>$59.1 million</w:t>
      </w:r>
      <w:r>
        <w:rPr>
          <w:rFonts w:ascii="Arial" w:cs="Arial" w:eastAsia="Arial" w:hAnsi="Arial"/>
          <w:sz w:val="18"/>
          <w:szCs w:val="18"/>
          <w:color w:val="232222"/>
        </w:rPr>
        <w:t xml:space="preserve"> after deducting underwriting discounts and commissions of $3.8 million and the $0.4 million of estimated expenses of the offering. We intend to use the net proceeds of the offering for general corporate purposes, including working capital, capital expenditures and continued research and development with respect to products and technologies, and to fund possible investments in or acquisitions of complementary businesses, products, or technologies.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2017 At-the-Market Offering</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August 10, 2017, we sold 9,090,909 shares of our common stock, $0.001 par value per share, pursuant to an earlier Sales Agreement, for aggregate gross proceeds of $30.0 million. Our aggregate net proceeds were approximately $28.8 million, after deducting related expenses, including commissions of approximately $0.7 million and issuance costs of approximately $0.5 million. These sales fully exhausted the shares that were available for sale under the Sales Agreement.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August 1, 2017, the Tax Benefit Preservation Plan (Tax Plan) dated as of November 21, 2016 expired and all of the preferred share purchase rights distributed to the holders of our common stock pursuant to the Tax Plan expired.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03" w:right="239" w:bottom="1440" w:gutter="0" w:footer="0" w:header="0"/>
        </w:sectPr>
      </w:pPr>
    </w:p>
    <w:bookmarkStart w:id="82" w:name="page83"/>
    <w:bookmarkEnd w:id="82"/>
    <w:p>
      <w:pPr>
        <w:ind w:left="420"/>
        <w:spacing w:after="0"/>
        <w:rPr>
          <w:sz w:val="20"/>
          <w:szCs w:val="20"/>
          <w:color w:val="auto"/>
        </w:rPr>
      </w:pPr>
      <w:r>
        <w:rPr>
          <w:rFonts w:ascii="Arial" w:cs="Arial" w:eastAsia="Arial" w:hAnsi="Arial"/>
          <w:sz w:val="18"/>
          <w:szCs w:val="18"/>
          <w:color w:val="auto"/>
        </w:rPr>
        <w:t>At December 31, 2019, we had reserved shares of common stock for future issuance under equity compensation plans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 Issued</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Securities To Be Issued</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Release Of</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 Remaining</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Restricted Stock and</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000's)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Upon Exercise Of</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 Share</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Available</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 Equity Incentive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2011 Equity Incentive Plan</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1,769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2,829</w:t>
            </w:r>
          </w:p>
        </w:tc>
        <w:tc>
          <w:tcPr>
            <w:tcW w:w="1580" w:type="dxa"/>
            <w:vAlign w:val="bottom"/>
            <w:gridSpan w:val="2"/>
          </w:tcPr>
          <w:p>
            <w:pPr>
              <w:jc w:val="right"/>
              <w:ind w:right="18"/>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DVS Sciences Inc. 2010 Equity Incentive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2017 Inducement Award Plan</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Plans</w:t>
      </w:r>
    </w:p>
    <w:p>
      <w:pPr>
        <w:spacing w:after="0" w:line="175"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Our board of directors sets the terms, conditions, and restrictions related to our ESPP and the grant of stock options, RSUs and performance-based awards under our various stock-based plans. Our board of directors determines the number of awards to grant and also sets vesting criteria.</w:t>
      </w:r>
    </w:p>
    <w:p>
      <w:pPr>
        <w:spacing w:after="0" w:line="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general, RSUs vest on a quarterly basis over a period of four years from the date of grant at a rate of 25% on the first anniversary of the grant date and ratably each quarter over the remaining 12 quarters, subject to the employees' continued employment.</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 In April 2019, our board of directors authorized, and in June 2019, our stockholders approved, the amendment and restatement of the 2011 Plan to make various changes, including increasing the number of shares reserved for issuance by approximately 5.0 million shares and extending the term of the 2011 Plan until April 2029.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5, 2017, we adopted the Fluidigm Corporation 2017 Inducement Award Plan (Inducement Plan) and reserved 2 million shares of our common stock for issuance pursuant to equity awards granted under the Inducement Plan. The Inducement Plan provides for the grant of equity-based awards and its terms are substantially similar to the 2011 Plan.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3" w:name="page84"/>
    <w:bookmarkEnd w:id="83"/>
    <w:p>
      <w:pPr>
        <w:spacing w:after="0" w:line="11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accordance with Rule 5635(c)(4) of the Nasdaq Listing Rules, awards under the Inducement Plan may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when the Inducement Plan was terminated remain outstanding subject to their terms and the terms of the Inducement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The weighted average assumptions used to estimate the fair value were as follows: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23495</wp:posOffset>
            </wp:positionV>
            <wp:extent cx="307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 average 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expected term</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4.3 years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4.7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 years</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 average 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2.97</w:t>
            </w:r>
          </w:p>
        </w:tc>
      </w:tr>
    </w:tbl>
    <w:p>
      <w:pPr>
        <w:spacing w:after="0" w:line="200" w:lineRule="exact"/>
        <w:rPr>
          <w:sz w:val="20"/>
          <w:szCs w:val="20"/>
          <w:color w:val="auto"/>
        </w:rPr>
      </w:pPr>
    </w:p>
    <w:p>
      <w:pPr>
        <w:spacing w:after="0" w:line="24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life. Each of these inputs is subjective and generally requires significant judgment by us. The fair value of the underlying common stock is also required to compute the fair value calculation of options and ESPP. We account for forfeitures as they occur.</w:t>
      </w:r>
    </w:p>
    <w:p>
      <w:pPr>
        <w:spacing w:after="0" w:line="17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 Activity under the 2011 Plan, the 2009 Plan, the 1999 Plan, and the Inducement Plan is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2016</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 released</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BFE4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2017</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1,822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granted</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1,808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RSU forfeited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BFE4FF"/>
          </w:tcPr>
          <w:p>
            <w:pPr>
              <w:jc w:val="right"/>
              <w:ind w:right="16"/>
              <w:spacing w:after="0"/>
              <w:rPr>
                <w:sz w:val="20"/>
                <w:szCs w:val="20"/>
                <w:color w:val="auto"/>
              </w:rPr>
            </w:pPr>
            <w:r>
              <w:rPr>
                <w:rFonts w:ascii="Arial" w:cs="Arial" w:eastAsia="Arial" w:hAnsi="Arial"/>
                <w:sz w:val="18"/>
                <w:szCs w:val="18"/>
                <w:color w:val="auto"/>
              </w:rPr>
              <w:t>2,551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total intrinsic value of RSUs vested and released during the year ended December 31, 2019, 2018 and 2017 were approximately $5.8 million, $6.8 million and $2.3 million, respectively. The intrinsic value of vested and released RSUs is calculated by multiplying the fair market value of our common stock on the vesting date by the number of shares vested. As of December 31, 2019, the unrecognized compensation costs related to outstanding unvested RSUs under our equity incentive plans were $15.9 million. We expect to recognize those costs over a weighted average period of 3.1 years.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2018 Retention Bonus Program</w:t>
      </w:r>
    </w:p>
    <w:p>
      <w:pPr>
        <w:spacing w:after="0" w:line="22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Included in the 2018 RSU activity are 379,593 of grants and releases related to a retention bonus program. As disclosed in our Current Report on Form 8-K filed on February 10, 2017, we previously implemented a company-wide retention bonus incentive program in which our executive officers at the time also participated. The bonus program provides for the payment of cash bonuses to program participants who were employees at the time the plan was implemented and who remain with Fluidigm through January 1, 2019. On September 18, 2018, the compensation committee of our board of directors approved an exchange program for our executive officers and for employees resident in the United States and Canada who are retention bonus program participants. In the exchange program, eligible participants could elect to surrender their right to receive a cash bonus in exchange for fully vested restricted stock units issued under our 2011 Equity Incentive Plan on the terms described below. Among other reasons, our compensation committee adopted the exchange program to encourage employee stock ownership and to effectively manage cash resources.</w:t>
      </w:r>
    </w:p>
    <w:p>
      <w:pPr>
        <w:spacing w:after="0" w:line="179"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In connection with the bonus exchange program, each eligible employee could elect to exchange 25%, 50%, 75%, or 100% of the retention cash bonus otherwise payable under the terms of the program. Each employee participating in the exchange would receive a number of fully vested restricted stock units equal to the quotient, rounded up to the next whole number, determined by dividing the cash amount of the retention cash bonus that such eligible employee</w:t>
      </w:r>
    </w:p>
    <w:p>
      <w:pPr>
        <w:sectPr>
          <w:pgSz w:w="11900" w:h="16952" w:orient="portrait"/>
          <w:cols w:equalWidth="0" w:num="1">
            <w:col w:w="11420"/>
          </w:cols>
          <w:pgMar w:left="240" w:top="503" w:right="239" w:bottom="0" w:gutter="0" w:footer="0" w:header="0"/>
        </w:sectPr>
      </w:pPr>
    </w:p>
    <w:bookmarkStart w:id="84" w:name="page85"/>
    <w:bookmarkEnd w:id="84"/>
    <w:p>
      <w:pPr>
        <w:spacing w:after="0" w:line="286" w:lineRule="auto"/>
        <w:rPr>
          <w:sz w:val="20"/>
          <w:szCs w:val="20"/>
          <w:color w:val="auto"/>
        </w:rPr>
      </w:pPr>
      <w:r>
        <w:rPr>
          <w:rFonts w:ascii="Arial" w:cs="Arial" w:eastAsia="Arial" w:hAnsi="Arial"/>
          <w:sz w:val="17"/>
          <w:szCs w:val="17"/>
          <w:color w:val="auto"/>
        </w:rPr>
        <w:t>elects to exchange by an amount equal to 85% of the lower of the closing prices of one share of our common stock on the commencement date of the exchange offer or the closing date of the exchange offer. The exchange offer closed on November 5, 2018. The total value of the 379,593 shares of common stock issued under this program was $2.8 million and is included in the total intrinsic value of RSUs released in 2018.</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125" w:right="419" w:bottom="1440" w:gutter="0" w:footer="0" w:header="0"/>
        </w:sectPr>
      </w:pPr>
    </w:p>
    <w:bookmarkStart w:id="85" w:name="page86"/>
    <w:bookmarkEnd w:id="85"/>
    <w:p>
      <w:pPr>
        <w:ind w:left="420"/>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3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40" w:type="dxa"/>
            <w:vAlign w:val="bottom"/>
          </w:tcPr>
          <w:p>
            <w:pPr>
              <w:spacing w:after="0"/>
              <w:rPr>
                <w:sz w:val="12"/>
                <w:szCs w:val="12"/>
                <w:color w:val="auto"/>
              </w:rPr>
            </w:pPr>
          </w:p>
        </w:tc>
        <w:tc>
          <w:tcPr>
            <w:tcW w:w="13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Options (000's)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per Option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Value (1) in (000's)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(2,735)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Option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at December 31, 2019</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1,357</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awards at December 31, 2019</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1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Aggregate intrinsic value as of December 31, 2019 was calculated as the difference between the closing price per share of our common stock on the last trading day of 2019, which was $3.48, and the exercise price of the options, multiplied by the number of in-the-money options.</w:t>
      </w:r>
    </w:p>
    <w:p>
      <w:pPr>
        <w:spacing w:after="0" w:line="14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December 31, 2019, the unrecognized compensation costs related to outstanding unvested options under our equity incentive plans were $2.2 million. We expect to recognize those costs over a weighted average period of 1.8 years.</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2017 Stock Option Exchange</w:t>
      </w:r>
    </w:p>
    <w:p>
      <w:pPr>
        <w:spacing w:after="0" w:line="171"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Included in the 2017 option activity above is the impact of our 2017 Stock Option Exchange Program. On August 23, 2017, we launched a one-time Stock Option Exchange Program (the Program),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(the Offer), for restricted stock units or stock options (New Awards) covering a lesser number of shares than were subject to the Eligible Options exchanged immediately before being canceled in the Offer. Non-employee members of our board of directors were not eligible to participate in the Program. The Program expired on September 20, 2017, with a closing price of $5.13 per share.</w:t>
      </w:r>
    </w:p>
    <w:p>
      <w:pPr>
        <w:spacing w:after="0" w:line="111" w:lineRule="exact"/>
        <w:rPr>
          <w:sz w:val="20"/>
          <w:szCs w:val="20"/>
          <w:color w:val="auto"/>
        </w:rPr>
      </w:pPr>
    </w:p>
    <w:p>
      <w:pPr>
        <w:ind w:right="140" w:firstLine="392"/>
        <w:spacing w:after="0" w:line="302" w:lineRule="auto"/>
        <w:rPr>
          <w:sz w:val="20"/>
          <w:szCs w:val="20"/>
          <w:color w:val="auto"/>
        </w:rPr>
      </w:pPr>
      <w:r>
        <w:rPr>
          <w:rFonts w:ascii="Arial" w:cs="Arial" w:eastAsia="Arial" w:hAnsi="Arial"/>
          <w:sz w:val="16"/>
          <w:szCs w:val="16"/>
          <w:color w:val="auto"/>
        </w:rPr>
        <w:t>Employees elected to surrender Eligible Options to purchase a total of 1,204,198 shares of our common stock.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00" w:lineRule="exact"/>
        <w:rPr>
          <w:sz w:val="20"/>
          <w:szCs w:val="20"/>
          <w:color w:val="auto"/>
        </w:rPr>
      </w:pPr>
    </w:p>
    <w:p>
      <w:pPr>
        <w:ind w:right="300" w:firstLine="392"/>
        <w:spacing w:after="0" w:line="286" w:lineRule="auto"/>
        <w:rPr>
          <w:sz w:val="20"/>
          <w:szCs w:val="20"/>
          <w:color w:val="auto"/>
        </w:rPr>
      </w:pPr>
      <w:r>
        <w:rPr>
          <w:rFonts w:ascii="Arial" w:cs="Arial" w:eastAsia="Arial" w:hAnsi="Arial"/>
          <w:sz w:val="17"/>
          <w:szCs w:val="17"/>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is being recognized over the vesting periods of the New Awards.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 with Market Conditions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twelve months ended December 31, 2019 and 2018, we granted performance stock units to certain executive officers and senior level employees. The number of performance stock units ultimately earned under these awards is calculated based on the Total Shareholder Return (TSR) of our common stock as compared to the TSR of a defined group of peer companies during the applicable three-year performance period. The percentage of performance stock units that vest will depend on our relative position at the end of the performance period and can range from 0% to 200% of the number of units granted.</w:t>
      </w:r>
    </w:p>
    <w:p>
      <w:pPr>
        <w:spacing w:after="0" w:line="29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are reflected in the grant date fair value of the awards. We used a Monte Carlo simulation pricing model to incorporate the market condition effects at our grant date.</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the performance stock units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Units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BFE4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600" w:type="dxa"/>
            <w:vAlign w:val="bottom"/>
            <w:gridSpan w:val="2"/>
          </w:tcPr>
          <w:p>
            <w:pPr>
              <w:jc w:val="right"/>
              <w:ind w:right="15"/>
              <w:spacing w:after="0"/>
              <w:rPr>
                <w:sz w:val="20"/>
                <w:szCs w:val="20"/>
                <w:color w:val="auto"/>
              </w:rPr>
            </w:pPr>
            <w:r>
              <w:rPr>
                <w:rFonts w:ascii="Arial" w:cs="Arial" w:eastAsia="Arial" w:hAnsi="Arial"/>
                <w:sz w:val="18"/>
                <w:szCs w:val="18"/>
                <w:color w:val="auto"/>
              </w:rPr>
              <w:t>167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BFE4FF"/>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1600" w:type="dxa"/>
            <w:vAlign w:val="bottom"/>
            <w:gridSpan w:val="2"/>
          </w:tcPr>
          <w:p>
            <w:pPr>
              <w:jc w:val="right"/>
              <w:ind w:right="15"/>
              <w:spacing w:after="0"/>
              <w:rPr>
                <w:sz w:val="20"/>
                <w:szCs w:val="20"/>
                <w:color w:val="auto"/>
              </w:rPr>
            </w:pPr>
            <w:r>
              <w:rPr>
                <w:rFonts w:ascii="Arial" w:cs="Arial" w:eastAsia="Arial" w:hAnsi="Arial"/>
                <w:sz w:val="18"/>
                <w:szCs w:val="18"/>
                <w:color w:val="auto"/>
              </w:rPr>
              <w:t>401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PSU released</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547</w:t>
            </w:r>
          </w:p>
        </w:tc>
        <w:tc>
          <w:tcPr>
            <w:tcW w:w="260" w:type="dxa"/>
            <w:vAlign w:val="bottom"/>
            <w:tcBorders>
              <w:top w:val="single" w:sz="8" w:color="BFE4FF"/>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BFE4FF"/>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 of December 31, 2019, the unrecognized compensation costs related to these awards were $5.5 million. We expect to recognize those costs over a weighted average period of 2.0 years.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 with Performance Conditions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During 2019, we also granted performance stock units to a certain employee. The number of performance stock units that ultimately vest under these awards is dependent on achieving certain discrete operational milestones between September 30, 2019 and December 31, 2020. Activity under these performance stock units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Units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46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PSU granted</w:t>
            </w:r>
          </w:p>
        </w:tc>
        <w:tc>
          <w:tcPr>
            <w:tcW w:w="6000" w:type="dxa"/>
            <w:vAlign w:val="bottom"/>
            <w:gridSpan w:val="2"/>
          </w:tcPr>
          <w:p>
            <w:pPr>
              <w:jc w:val="right"/>
              <w:ind w:right="19"/>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PSU released</w:t>
            </w:r>
          </w:p>
        </w:tc>
        <w:tc>
          <w:tcPr>
            <w:tcW w:w="6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PSU forfeited</w:t>
            </w:r>
          </w:p>
        </w:tc>
        <w:tc>
          <w:tcPr>
            <w:tcW w:w="46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0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82</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9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August 1, 2017, our stockholders approved our 2017 Employee Stock Purchase Plan (ESPP) at the annual meeting of stockholders. Our ESPP offers U.S. and some non-U.S. employees the right to purchase shares of our common stock. Our first ESPP offering period began on October 1, 2017 with a shorter offering period ending on November 30, 2017.</w:t>
      </w:r>
    </w:p>
    <w:p>
      <w:pPr>
        <w:spacing w:after="0" w:line="12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Prior to June 2019, our ESPP program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3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in June 2019, our ESPP program was amended to offer a twelve-month offering period with two six-month purchase periods beginning on each of May 31 and November 30. Employees are eligible under the amended program to participate through payroll deductions of up to 15% of their compensation. Employees may not purchase more than $25 thousand of stock for any calendar year.</w:t>
      </w:r>
    </w:p>
    <w:p>
      <w:pPr>
        <w:spacing w:after="0" w:line="12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Under the updated program,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lower of the fair market value of the common stock on the first day of the offering period and the last day of the offering period. In the event the fair market value of the common stock at the beginning of the second purchase period is less than the fair market value on the beginning of the offering period, the purchase price for the second offering period is reset to 85% of the lower of the fair value of the common stock at the beginning of the second purchase period and last day of the offering period.</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offering period of June 1, 2019 to May 31, 2020 has two purchase periods, with one ending November 30, 2019 and the other May 31, 2020. As the fair market value of the common stock at November 30, 2019 was lower than the fair value of the common stock at the beginning of the offering period, the purchase price for the second purchase period was reset based on the lower of the November 30, 2019 price and May 31, 2019 price. The resetting of the purchase price is considered to be a modification of the original terms of the award. Under ASC 718, the incremental fair value based on the difference between the fair value of the modified award and the fair value of the original award immediately before it was modified was approximately $0.3 million. This amount is being amortized over the remaining offering period.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Retention Bonus Program</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Options, Performance Share Units, and Restricted Stock Units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8,972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Total Share-based Compensation</w:t>
            </w:r>
          </w:p>
        </w:tc>
        <w:tc>
          <w:tcPr>
            <w:tcW w:w="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9,092</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Our loss before income taxes consists of the following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80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(47,600)</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(56,885)</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95"/>
              </w:rPr>
              <w:t>(13,820)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8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(61,420)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color w:val="auto"/>
        </w:rPr>
        <w:t>Significant components of our benefit for income taxes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3,782</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benefit</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3,782</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benefit for income taxes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1,915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3,264</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Reconciliation of income taxes at the statutory rate to the benefit from income taxes recorded in the statements of operations is as follows:</w:t>
      </w:r>
    </w:p>
    <w:p>
      <w:pPr>
        <w:spacing w:after="0" w:line="242"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at federal statutory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State tax expense, net of federal benefit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benefit (expense)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(19.2)</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39.2</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research and development credit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Unrecognized tax benefit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(0.6)</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the 2017 Tax Cuts and Jobs Act</w:t>
            </w:r>
          </w:p>
        </w:tc>
        <w:tc>
          <w:tcPr>
            <w:tcW w:w="1640" w:type="dxa"/>
            <w:vAlign w:val="bottom"/>
            <w:tcBorders>
              <w:bottom w:val="single" w:sz="8" w:color="CCEEFF"/>
            </w:tcBorders>
            <w:gridSpan w:val="3"/>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(74.6)</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Non-deductible interest/premium</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Global Intangible Low-Tax Income (GILTI)</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164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(0.7)</w:t>
            </w:r>
          </w:p>
        </w:tc>
      </w:tr>
      <w:tr>
        <w:trPr>
          <w:trHeight w:val="27"/>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105,702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98,920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4,262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and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since our inception. The valuation allowance increased by $4.0 million and $6.9 million during 2019 and 2018, respectively, and decreased by $27.1 million during 2017. The changes in valuation allowance during 2019 and 2018 are mainly due to significant taxable losses and an increase in tax attributes. The change in valuation allowance during 2019 also includes a release of the valuation allowance against our deferred tax assets in Japan due to achievement of recent profitability and the expectation of future profitability in the jurisdiction, which decreased the valuation allowance by $294 thousand.</w:t>
      </w:r>
    </w:p>
    <w:p>
      <w:pPr>
        <w:spacing w:after="0" w:line="1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valuation allowances of $130.1 million and $126.1 million as of December 31, 2019 and 2018, respectively, primarily relate to temporary tax differences, net operating losses and research and development credits generated in the current and prior years. We believe it is more likely than not that U.S. federal and state of California deferred tax assets relating to temporary differences, net operating losses and research and development credits are not realizable. As such, full valuation allowances have been applied against the deferred tax assets relating to jurisdictions of the federal U.S. and the state of California.</w:t>
      </w:r>
    </w:p>
    <w:p>
      <w:pPr>
        <w:spacing w:after="0" w:line="18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 reconciliation of the beginning and ending amount of the valuation allowance for the years ended December 31, 2019, 2018, and 2017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Valuation Allowance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146,285</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119,228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6,880</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126,108</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130,084</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December 31, 2019, we had net operating loss carryforwards for U.S. federal income tax purposes of $470.0 million, which expire beginning in 2020, and U.S. federal research and development tax credits of $9.0 million, which expire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90" w:name="page91"/>
    <w:bookmarkEnd w:id="90"/>
    <w:p>
      <w:pPr>
        <w:ind w:right="40"/>
        <w:spacing w:after="0" w:line="264" w:lineRule="auto"/>
        <w:rPr>
          <w:sz w:val="20"/>
          <w:szCs w:val="20"/>
          <w:color w:val="auto"/>
        </w:rPr>
      </w:pPr>
      <w:r>
        <w:rPr>
          <w:rFonts w:ascii="Arial" w:cs="Arial" w:eastAsia="Arial" w:hAnsi="Arial"/>
          <w:sz w:val="18"/>
          <w:szCs w:val="18"/>
          <w:color w:val="auto"/>
        </w:rPr>
        <w:t>the years 2020 through 2040. As of December 31, 2019, we had net operating loss carryforwards for state income tax purposes of $176.5 million, which expire beginning in 2020 through 2040, and California research and development tax credits of $11.7 million, which do not expire. As of December 31, 2019, we had no foreign net operating loss carryforwards.</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2015, we completed a Section 382 analysis for the period from our inception in May 1999 through December 31, 2015, which excluded the net operating loss carryforwards for DVS prior to the acquisition and determined that an ownership change as defined under Section 382 occurred in November 2001, which resulted in a reduction to our U.S. federal net operating losses. In 2019, we continued the Section 382 analysis as historically performed through December 31, 2019 and determined that an ownership change did not occur during the current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2019, 2018, and 2017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9,333</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during a prior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7,833</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2019 and 2018.</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2019, there are $0.7 million unrecognized tax benefits that, if recognized, would affect our effective tax rate. We do not anticipate that our existing unrecognized tax benefits will significantly increase or decrease within the next 12 months.</w:t>
      </w:r>
    </w:p>
    <w:p>
      <w:pPr>
        <w:spacing w:after="0" w:line="170"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2009 are open to examination in various foreign countries.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sponsor a 401(k) savings plan for our employees in the United States that stipulates that eligible employees may elect to contribute to the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up to the lesser of 90% of eligible compensation or the maximum amount allowed by the U.S. Internal Revenue Service.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2015, we implemented a match formula of 100% up to $2,000 annually, following a 4-year vesting schedule. In 2019, the match was increased to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 annually. Employer matching contributions to the 401(k) plan for the years ended December 31, 2019, 2018, and 2017 were $0.6 million, $0.4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$0.5 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13.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years ended December 31, 2019, 2018 and 2017 is included in Note 3 to the consolidated financial statements.</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Sales to customers in the United States represented $43.4 million or 37%, of total revenues for the year ended December 31, 2019. Sales to customers in the United States represented $48.1 million or 43% of total revenues for the year ended December 31, 2018, and $45.8 million or 45% for the year ended December 31, 2017.</w:t>
      </w:r>
    </w:p>
    <w:p>
      <w:pPr>
        <w:spacing w:after="0" w:line="18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Sales to customers in China represented $15.4 million or 13%, of total revenues for the year ended December 31, 2019. Sales to customers in China represented $14.0 million or 12% for year ended December 31, 2018, and 11% or $11.1 million, of total revenues for 2017. Except for China, no other foreign country or jurisdiction had sales in excess of 10% of our total revenue during the years 2019, 2018 and 2017.</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individual customer represented more than 10% of our total revenues for the fiscal years ended December 31, 2019,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from our five largest customers were 17% for both the years ended December 31, 2019 and 2018, and 14% for the year ended December 31, 2017.</w:t>
      </w:r>
    </w:p>
    <w:p>
      <w:pPr>
        <w:spacing w:after="0" w:line="2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had long-lived assets consisting of property, plant and equipment, net of accumulated depreciation, in the following geographic areas for each year presented (in thousands):</w:t>
      </w:r>
    </w:p>
    <w:p>
      <w:pPr>
        <w:spacing w:after="0" w:line="176"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Canada</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4,942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3,104</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8,056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8,825</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600" w:firstLine="8"/>
        <w:spacing w:after="0" w:line="440" w:lineRule="auto"/>
        <w:tabs>
          <w:tab w:leader="none" w:pos="2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2019, these commitments were approximately $2.2 million.</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In December 2019, we also entered into a Sales and Purchase Agreement with the shareholders of InstruNor AS to purchase all of the outstanding shares of InstruNor AS. The purchase price was approximately $5.2 million in cash and 485,451 shares of our stock. The transaction closed in January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99" w:right="239" w:bottom="1440" w:gutter="0" w:footer="0" w:header="0"/>
        </w:sectPr>
      </w:pPr>
    </w:p>
    <w:bookmarkStart w:id="92" w:name="page93"/>
    <w:bookmarkEnd w:id="92"/>
    <w:p>
      <w:pPr>
        <w:ind w:right="60"/>
        <w:spacing w:after="0" w:line="255" w:lineRule="auto"/>
        <w:rPr>
          <w:sz w:val="20"/>
          <w:szCs w:val="20"/>
          <w:color w:val="auto"/>
        </w:rPr>
      </w:pPr>
      <w:r>
        <w:rPr>
          <w:rFonts w:ascii="Arial" w:cs="Arial" w:eastAsia="Arial" w:hAnsi="Arial"/>
          <w:sz w:val="18"/>
          <w:szCs w:val="18"/>
          <w:color w:val="auto"/>
        </w:rPr>
        <w:t>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3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We incurred legal expenses between October 2015 and the third quarter of 2017 to defend claims by Thermo Fisher Scientific, Inc., (Thermo) against one of our employees. In December 2015,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The costs associated with the intrusion to be approximately $0.1 million, net of insurance proceeds.</w:t>
      </w:r>
    </w:p>
    <w:p>
      <w:pPr>
        <w:spacing w:after="0" w:line="13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2019 and 2018 are as follows (in thousands, except for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32,440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400"/>
              <w:spacing w:after="0" w:line="153"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400"/>
              <w:spacing w:after="0" w:line="153" w:lineRule="exact"/>
              <w:rPr>
                <w:sz w:val="20"/>
                <w:szCs w:val="20"/>
                <w:color w:val="auto"/>
              </w:rPr>
            </w:pPr>
            <w:r>
              <w:rPr>
                <w:rFonts w:ascii="Arial" w:cs="Arial" w:eastAsia="Arial" w:hAnsi="Arial"/>
                <w:sz w:val="14"/>
                <w:szCs w:val="14"/>
                <w:b w:val="1"/>
                <w:bCs w:val="1"/>
                <w:color w:val="auto"/>
              </w:rPr>
              <w:t>Third</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217"/>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25,248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32,325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67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16. Subsequent Event</w:t>
      </w:r>
    </w:p>
    <w:p>
      <w:pPr>
        <w:spacing w:after="0" w:line="17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December 17, 2019, we entered into a Sales and Purchase Agreement with the shareholders of InstruNor AS, a privately held Norwegian company (InstruNor), to purchase all of the outstanding shares of InstruNor. The purchase price was approximately $5.2 million in cash and 485,451 shares of our stock. The transaction closed on January 17, 2020 for a total purchase price of $7.2 million.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99" w:right="319" w:bottom="1440" w:gutter="0" w:footer="0" w:header="0"/>
        </w:sectPr>
      </w:pPr>
    </w:p>
    <w:bookmarkStart w:id="94" w:name="page95"/>
    <w:bookmarkEnd w:id="94"/>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2019.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that evaluation, our management concluded that our internal control over financial reporting was effective as of December 31, 2019.</w:t>
      </w:r>
    </w:p>
    <w:p>
      <w:pPr>
        <w:spacing w:after="0" w:line="13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2019 has been audited by PricewaterhouseCoopers, LLP, an independent registered public accounting firm, as stated in their report included in this Annual Report on Form 10-K.</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2019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February 26, 2020, Nicholas Khadder notified the Company of his intention to resign from his position as Senior Vice President, General Counsel and Corporate Secretary, and from any and all other positions he holds as an officer or employee of the Company, in order to pursue another opportunity. Mr. Khadder’s resignation is effective as of March 13, 2020.</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882" w:right="299" w:bottom="1440" w:gutter="0" w:footer="0" w:header="0"/>
        </w:sectPr>
      </w:pPr>
    </w:p>
    <w:bookmarkStart w:id="95" w:name="page96"/>
    <w:bookmarkEnd w:id="95"/>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called for by this item will be set forth in our Proxy Statement for the Annual Meeting of Stockholders to be filed with the SEC within 120 days of the fiscal year ended December 31, 2019 and is incorporated herein by reference.</w:t>
      </w:r>
    </w:p>
    <w:p>
      <w:pPr>
        <w:spacing w:after="0" w:line="1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www.fluidigm.com. We will post any amendments to our code of business conduct and ethics, or waivers of its requirements, on our website.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383" w:lineRule="exact"/>
        <w:rPr>
          <w:sz w:val="20"/>
          <w:szCs w:val="20"/>
          <w:color w:val="auto"/>
        </w:rPr>
      </w:pPr>
    </w:p>
    <w:p>
      <w:pPr>
        <w:ind w:left="820" w:right="6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715" w:right="31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w:t>
      </w:r>
      <w:hyperlink w:anchor="page57">
        <w:r>
          <w:rPr>
            <w:rFonts w:ascii="Arial" w:cs="Arial" w:eastAsia="Arial" w:hAnsi="Arial"/>
            <w:sz w:val="18"/>
            <w:szCs w:val="18"/>
            <w:u w:val="single" w:color="auto"/>
            <w:color w:val="0000EE"/>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71" w:lineRule="exact"/>
        <w:rPr>
          <w:rFonts w:ascii="Arial" w:cs="Arial" w:eastAsia="Arial" w:hAnsi="Arial"/>
          <w:sz w:val="18"/>
          <w:szCs w:val="18"/>
          <w:b w:val="1"/>
          <w:bCs w:val="1"/>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w:t>
      </w:r>
      <w:hyperlink w:anchor="page57">
        <w:r>
          <w:rPr>
            <w:rFonts w:ascii="Arial" w:cs="Arial" w:eastAsia="Arial" w:hAnsi="Arial"/>
            <w:sz w:val="18"/>
            <w:szCs w:val="18"/>
            <w:u w:val="single" w:color="auto"/>
            <w:color w:val="0000EE"/>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71" w:lineRule="exact"/>
        <w:rPr>
          <w:rFonts w:ascii="Arial" w:cs="Arial" w:eastAsia="Arial" w:hAnsi="Arial"/>
          <w:sz w:val="18"/>
          <w:szCs w:val="18"/>
          <w:b w:val="1"/>
          <w:bCs w:val="1"/>
          <w:color w:val="auto"/>
        </w:rPr>
      </w:pPr>
    </w:p>
    <w:p>
      <w:pPr>
        <w:ind w:firstLine="8"/>
        <w:spacing w:after="0" w:line="282" w:lineRule="auto"/>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w:t>
      </w:r>
      <w:r>
        <w:rPr>
          <w:rFonts w:ascii="Arial" w:cs="Arial" w:eastAsia="Arial" w:hAnsi="Arial"/>
          <w:sz w:val="18"/>
          <w:szCs w:val="18"/>
          <w:b w:val="1"/>
          <w:bCs w:val="1"/>
          <w:color w:val="auto"/>
        </w:rPr>
        <w:t xml:space="preserve"> </w:t>
      </w:r>
      <w:hyperlink w:anchor="page99">
        <w:r>
          <w:rPr>
            <w:rFonts w:ascii="Arial" w:cs="Arial" w:eastAsia="Arial" w:hAnsi="Arial"/>
            <w:sz w:val="18"/>
            <w:szCs w:val="18"/>
            <w:u w:val="single" w:color="auto"/>
            <w:color w:val="0000EE"/>
          </w:rPr>
          <w:t>Index to Exhibits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are</w:t>
      </w: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 or are incorporated by reference to exhibits previously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and Exchange Commission.</w:t>
      </w:r>
    </w:p>
    <w:p>
      <w:pPr>
        <w:spacing w:after="0" w:line="35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715" w:right="29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8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8"/>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4"/>
          </w:tcPr>
          <w:p>
            <w:pPr>
              <w:jc w:val="center"/>
              <w:ind w:left="9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693"/>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3"/>
          </w:tcPr>
          <w:p>
            <w:pPr>
              <w:spacing w:after="0" w:line="196" w:lineRule="exact"/>
              <w:rPr>
                <w:rFonts w:ascii="Arial" w:cs="Arial" w:eastAsia="Arial" w:hAnsi="Arial"/>
                <w:sz w:val="18"/>
                <w:szCs w:val="18"/>
                <w:color w:val="0000FF"/>
                <w:w w:val="99"/>
              </w:rPr>
            </w:pPr>
            <w:hyperlink r:id="rId14">
              <w:r>
                <w:rPr>
                  <w:rFonts w:ascii="Arial" w:cs="Arial" w:eastAsia="Arial" w:hAnsi="Arial"/>
                  <w:sz w:val="18"/>
                  <w:szCs w:val="18"/>
                  <w:color w:val="0000FF"/>
                  <w:w w:val="99"/>
                </w:rPr>
                <w:t>Agreement and Plan of Merger dated January 28, 2014 by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among Fluidigm Corporation, DVS Sciences, Inc., Dawid Merger</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3"/>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Sub, Inc. and Shareholder Representative Services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Borders>
              <w:bottom w:val="single" w:sz="8" w:color="0000FF"/>
            </w:tcBorders>
            <w:gridSpan w:val="20"/>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Eighth Amended and Restated Certificate of Incorporation of</w:t>
              </w:r>
            </w:hyperlink>
          </w:p>
        </w:tc>
        <w:tc>
          <w:tcPr>
            <w:tcW w:w="5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Fluidigm Corporation filed on February 15, 2011.</w:t>
              </w:r>
            </w:hyperlink>
          </w:p>
        </w:tc>
        <w:tc>
          <w:tcPr>
            <w:tcW w:w="13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w w:val="96"/>
              </w:rPr>
            </w:pPr>
            <w:hyperlink r:id="rId16">
              <w:r>
                <w:rPr>
                  <w:rFonts w:ascii="Arial" w:cs="Arial" w:eastAsia="Arial" w:hAnsi="Arial"/>
                  <w:sz w:val="18"/>
                  <w:szCs w:val="18"/>
                  <w:color w:val="0000FF"/>
                  <w:w w:val="96"/>
                </w:rPr>
                <w:t>Amended and Restated Bylaws of Fluidigm Corporation effective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as of February 9, 2011.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tcBorders>
              <w:bottom w:val="single" w:sz="8" w:color="0000FF"/>
            </w:tcBorders>
            <w:gridSpan w:val="29"/>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Designation of Rights, Preferences and Privileges of</w:t>
              </w:r>
            </w:hyperlink>
          </w:p>
        </w:tc>
        <w:tc>
          <w:tcPr>
            <w:tcW w:w="2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Series A Participating Preferred Stock.</w:t>
              </w:r>
            </w:hyperlink>
          </w:p>
        </w:tc>
        <w:tc>
          <w:tcPr>
            <w:tcW w:w="2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w w:val="95"/>
              </w:rPr>
            </w:pPr>
            <w:hyperlink r:id="rId18">
              <w:r>
                <w:rPr>
                  <w:rFonts w:ascii="Arial" w:cs="Arial" w:eastAsia="Arial" w:hAnsi="Arial"/>
                  <w:sz w:val="18"/>
                  <w:szCs w:val="18"/>
                  <w:color w:val="0000FF"/>
                  <w:w w:val="95"/>
                </w:rPr>
                <w:t>Certificate of Elimination of Series A Participating Preferred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of Fluidigm Corporation.</w:t>
              </w:r>
            </w:hyperlink>
          </w:p>
        </w:tc>
        <w:tc>
          <w:tcPr>
            <w:tcW w:w="3020" w:type="dxa"/>
            <w:vAlign w:val="bottom"/>
            <w:tcBorders>
              <w:top w:val="single" w:sz="8" w:color="0000FF"/>
            </w:tcBorders>
            <w:gridSpan w:val="28"/>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rPr>
            </w:pPr>
            <w:hyperlink r:id="rId19">
              <w:r>
                <w:rPr>
                  <w:rFonts w:ascii="Arial" w:cs="Arial" w:eastAsia="Arial" w:hAnsi="Arial"/>
                  <w:sz w:val="18"/>
                  <w:szCs w:val="18"/>
                  <w:color w:val="0000FF"/>
                </w:rPr>
                <w:t>Specimen Common Stock Certificate of Fluidigm Corporation.</w:t>
              </w:r>
            </w:hyperlink>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Indenture, dated February 4, 2014, by and between Fluidigm</w:t>
              </w:r>
            </w:hyperlink>
          </w:p>
        </w:tc>
        <w:tc>
          <w:tcPr>
            <w:tcW w:w="160" w:type="dxa"/>
            <w:vAlign w:val="bottom"/>
            <w:tcBorders>
              <w:top w:val="single" w:sz="8" w:color="0000FF"/>
            </w:tcBorders>
            <w:gridSpan w:val="4"/>
          </w:tcPr>
          <w:p>
            <w:pPr>
              <w:spacing w:after="0"/>
              <w:rPr>
                <w:sz w:val="21"/>
                <w:szCs w:val="21"/>
                <w:color w:val="auto"/>
              </w:rPr>
            </w:pPr>
          </w:p>
        </w:tc>
        <w:tc>
          <w:tcPr>
            <w:tcW w:w="44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Corporation and U.S. Bank National Association.</w:t>
              </w:r>
            </w:hyperlink>
          </w:p>
        </w:tc>
        <w:tc>
          <w:tcPr>
            <w:tcW w:w="14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1"/>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First Supplemental Indenture, dated February 4, 2014, by and</w:t>
              </w:r>
            </w:hyperlink>
          </w:p>
        </w:tc>
        <w:tc>
          <w:tcPr>
            <w:tcW w:w="50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21">
              <w:r>
                <w:rPr>
                  <w:rFonts w:ascii="Arial" w:cs="Arial" w:eastAsia="Arial" w:hAnsi="Arial"/>
                  <w:sz w:val="18"/>
                  <w:szCs w:val="18"/>
                  <w:color w:val="0000FF"/>
                  <w:w w:val="93"/>
                </w:rPr>
                <w:t>between Fluidigm Corporation and U.S. Bank National</w:t>
              </w:r>
            </w:hyperlink>
          </w:p>
        </w:tc>
        <w:tc>
          <w:tcPr>
            <w:tcW w:w="9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Association.</w:t>
              </w:r>
            </w:hyperlink>
          </w:p>
        </w:tc>
        <w:tc>
          <w:tcPr>
            <w:tcW w:w="40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bottom w:val="single" w:sz="8" w:color="0000FF"/>
            </w:tcBorders>
            <w:gridSpan w:val="11"/>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Form of Global Note (included in Exhibit 4.3).</w:t>
              </w:r>
            </w:hyperlink>
          </w:p>
        </w:tc>
        <w:tc>
          <w:tcPr>
            <w:tcW w:w="16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Description of Securities.</w:t>
              </w:r>
            </w:hyperlink>
          </w:p>
        </w:tc>
        <w:tc>
          <w:tcPr>
            <w:tcW w:w="3140" w:type="dxa"/>
            <w:vAlign w:val="bottom"/>
            <w:gridSpan w:val="2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tcBorders>
              <w:bottom w:val="single" w:sz="8" w:color="0000FF"/>
            </w:tcBorders>
            <w:gridSpan w:val="24"/>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Indenture, dated November 22, 2019, by and between Fluidigm</w:t>
              </w:r>
            </w:hyperlink>
          </w:p>
        </w:tc>
        <w:tc>
          <w:tcPr>
            <w:tcW w:w="4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Corporation and U.S. Bank National Association.</w:t>
              </w:r>
            </w:hyperlink>
          </w:p>
        </w:tc>
        <w:tc>
          <w:tcPr>
            <w:tcW w:w="14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rPr>
            </w:pPr>
            <w:hyperlink r:id="rId22">
              <w:r>
                <w:rPr>
                  <w:rFonts w:ascii="Arial" w:cs="Arial" w:eastAsia="Arial" w:hAnsi="Arial"/>
                  <w:sz w:val="18"/>
                  <w:szCs w:val="18"/>
                  <w:color w:val="0000FF"/>
                </w:rPr>
                <w:t>Form of 5.25% Convertible Senior Note due 2024 (included in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Exhibit 4.7).</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5"/>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Form of Indemnification Agreement between Fluidigm</w:t>
              </w:r>
            </w:hyperlink>
          </w:p>
        </w:tc>
        <w:tc>
          <w:tcPr>
            <w:tcW w:w="10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Corporation and its directors and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rPr>
            </w:pPr>
            <w:hyperlink r:id="rId24">
              <w:r>
                <w:rPr>
                  <w:rFonts w:ascii="Arial" w:cs="Arial" w:eastAsia="Arial" w:hAnsi="Arial"/>
                  <w:sz w:val="18"/>
                  <w:szCs w:val="18"/>
                  <w:color w:val="0000FF"/>
                </w:rPr>
                <w:t>Lease between AP3-SF3 CT North, LLC and Fluidigm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Corporation, dated March 20, 2019.</w:t>
              </w:r>
            </w:hyperlink>
          </w:p>
        </w:tc>
        <w:tc>
          <w:tcPr>
            <w:tcW w:w="10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20" w:type="dxa"/>
            <w:vAlign w:val="bottom"/>
          </w:tcPr>
          <w:p>
            <w:pPr>
              <w:spacing w:after="0"/>
              <w:rPr>
                <w:sz w:val="21"/>
                <w:szCs w:val="21"/>
                <w:color w:val="auto"/>
              </w:rPr>
            </w:pPr>
          </w:p>
        </w:tc>
        <w:tc>
          <w:tcPr>
            <w:tcW w:w="4760" w:type="dxa"/>
            <w:vAlign w:val="bottom"/>
            <w:tcBorders>
              <w:bottom w:val="single" w:sz="8" w:color="0000FF"/>
            </w:tcBorders>
            <w:gridSpan w:val="28"/>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First Amendment to Lease between AP3-SF3 CT North, LLC and</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Fluidigm Corporation, dated April 26,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2009 Equity Incentive Plan of Fluidigm Corporation, as amended.</w:t>
              </w:r>
            </w:hyperlink>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20" w:type="dxa"/>
            <w:vAlign w:val="bottom"/>
          </w:tcPr>
          <w:p>
            <w:pPr>
              <w:spacing w:after="0"/>
              <w:rPr>
                <w:sz w:val="21"/>
                <w:szCs w:val="21"/>
                <w:color w:val="auto"/>
              </w:rPr>
            </w:pPr>
          </w:p>
        </w:tc>
        <w:tc>
          <w:tcPr>
            <w:tcW w:w="430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Forms of agreements under the 2009 Equity Incentive Plan.</w:t>
              </w:r>
            </w:hyperlink>
          </w:p>
        </w:tc>
        <w:tc>
          <w:tcPr>
            <w:tcW w:w="460" w:type="dxa"/>
            <w:vAlign w:val="bottom"/>
            <w:tcBorders>
              <w:top w:val="single" w:sz="8" w:color="0000FF"/>
            </w:tcBorders>
            <w:gridSpan w:val="10"/>
          </w:tcPr>
          <w:p>
            <w:pPr>
              <w:spacing w:after="0"/>
              <w:rPr>
                <w:sz w:val="21"/>
                <w:szCs w:val="21"/>
                <w:color w:val="auto"/>
              </w:rPr>
            </w:pPr>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20" w:type="dxa"/>
            <w:vAlign w:val="bottom"/>
            <w:tcBorders>
              <w:bottom w:val="single" w:sz="8" w:color="0000FF"/>
            </w:tcBorders>
            <w:gridSpan w:val="30"/>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Fluidigm Corporation 2011 Equity Incentive Plan, as amended and</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restated effective June 3, 2019.</w:t>
              </w:r>
            </w:hyperlink>
          </w:p>
        </w:tc>
        <w:tc>
          <w:tcPr>
            <w:tcW w:w="27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10.4A#</w:t>
            </w:r>
          </w:p>
        </w:tc>
        <w:tc>
          <w:tcPr>
            <w:tcW w:w="20" w:type="dxa"/>
            <w:vAlign w:val="bottom"/>
          </w:tcPr>
          <w:p>
            <w:pPr>
              <w:spacing w:after="0"/>
              <w:rPr>
                <w:sz w:val="21"/>
                <w:szCs w:val="21"/>
                <w:color w:val="auto"/>
              </w:rPr>
            </w:pPr>
          </w:p>
        </w:tc>
        <w:tc>
          <w:tcPr>
            <w:tcW w:w="4980" w:type="dxa"/>
            <w:vAlign w:val="bottom"/>
            <w:gridSpan w:val="33"/>
          </w:tcPr>
          <w:p>
            <w:pPr>
              <w:spacing w:after="0"/>
              <w:rPr>
                <w:rFonts w:ascii="Arial" w:cs="Arial" w:eastAsia="Arial" w:hAnsi="Arial"/>
                <w:sz w:val="18"/>
                <w:szCs w:val="18"/>
                <w:color w:val="0000FF"/>
              </w:rPr>
            </w:pPr>
            <w:hyperlink r:id="rId29">
              <w:r>
                <w:rPr>
                  <w:rFonts w:ascii="Arial" w:cs="Arial" w:eastAsia="Arial" w:hAnsi="Arial"/>
                  <w:sz w:val="18"/>
                  <w:szCs w:val="18"/>
                  <w:color w:val="0000FF"/>
                </w:rPr>
                <w:t>Forms of agreements under the 2011 Equity Incentive Plan.</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260" w:type="dxa"/>
            <w:vAlign w:val="bottom"/>
            <w:gridSpan w:val="12"/>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10.4B#</w:t>
            </w:r>
          </w:p>
        </w:tc>
        <w:tc>
          <w:tcPr>
            <w:tcW w:w="20" w:type="dxa"/>
            <w:vAlign w:val="bottom"/>
          </w:tcPr>
          <w:p>
            <w:pPr>
              <w:spacing w:after="0"/>
              <w:rPr>
                <w:sz w:val="21"/>
                <w:szCs w:val="21"/>
                <w:color w:val="auto"/>
              </w:rPr>
            </w:pPr>
          </w:p>
        </w:tc>
        <w:tc>
          <w:tcPr>
            <w:tcW w:w="4680" w:type="dxa"/>
            <w:vAlign w:val="bottom"/>
            <w:tcBorders>
              <w:bottom w:val="single" w:sz="8" w:color="0000FF"/>
            </w:tcBorders>
            <w:gridSpan w:val="26"/>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Amendments to the Fluidigm Corporation 2011 Equity Incentive</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Plan and 2009 Equity Incentive Plan and the DVS Sciences, Inc.</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2010 Equity Incentive Plan.</w:t>
              </w:r>
            </w:hyperlink>
          </w:p>
        </w:tc>
        <w:tc>
          <w:tcPr>
            <w:tcW w:w="29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18"/>
          </w:tcPr>
          <w:p>
            <w:pPr>
              <w:jc w:val="right"/>
              <w:ind w:right="12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11/22/2019</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11/22/2019</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10.3A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6/5/2019</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10.4A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bl>
    <w:p>
      <w:pPr>
        <w:sectPr>
          <w:pgSz w:w="11900" w:h="16838" w:orient="portrait"/>
          <w:cols w:equalWidth="0" w:num="2">
            <w:col w:w="6620" w:space="20"/>
            <w:col w:w="4760"/>
          </w:cols>
          <w:pgMar w:left="240" w:top="715" w:right="259" w:bottom="1440" w:gutter="0" w:footer="0" w:header="0"/>
        </w:sectPr>
      </w:pPr>
    </w:p>
    <w:bookmarkStart w:id="99" w:name="page100"/>
    <w:bookmarkEnd w:id="9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2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10.4C#</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Forms of U.S. agreements under the 2011 Equity Incentive Plan.</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10.4D</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Restricted Stock Unit Awards Granted to French Participants.</w:t>
              </w:r>
            </w:hyperlink>
          </w:p>
        </w:tc>
        <w:tc>
          <w:tcPr>
            <w:tcW w:w="300" w:type="dxa"/>
            <w:vAlign w:val="bottom"/>
            <w:tcBorders>
              <w:top w:val="single" w:sz="8" w:color="0000FF"/>
            </w:tcBorders>
            <w:gridSpan w:val="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10.4E</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Options Granted to French Participants.</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10.4F</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UK Sub-plan to the Fluidigm Corporation 2011 Equity Incentive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Plan.</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10.4G#</w:t>
            </w:r>
          </w:p>
        </w:tc>
        <w:tc>
          <w:tcPr>
            <w:tcW w:w="20" w:type="dxa"/>
            <w:vAlign w:val="bottom"/>
          </w:tcPr>
          <w:p>
            <w:pPr>
              <w:spacing w:after="0"/>
              <w:rPr>
                <w:sz w:val="21"/>
                <w:szCs w:val="21"/>
                <w:color w:val="auto"/>
              </w:rPr>
            </w:pPr>
          </w:p>
        </w:tc>
        <w:tc>
          <w:tcPr>
            <w:tcW w:w="4540" w:type="dxa"/>
            <w:vAlign w:val="bottom"/>
            <w:tcBorders>
              <w:bottom w:val="single" w:sz="8" w:color="0000FF"/>
            </w:tcBorders>
            <w:gridSpan w:val="23"/>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Restricted Stock Unit Agreement-Non-U.S. under the</w:t>
              </w:r>
            </w:hyperlink>
          </w:p>
        </w:tc>
        <w:tc>
          <w:tcPr>
            <w:tcW w:w="3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2011 Equity Incentive Plan.</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10.4H#</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Stock Option Agreement-Non-U.S. under the 2011 Equity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Incentive Plan.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25"/>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Fluidigm Corporation 2017 Inducement Award Plan and related</w:t>
              </w:r>
            </w:hyperlink>
          </w:p>
        </w:tc>
        <w:tc>
          <w:tcPr>
            <w:tcW w:w="28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form agreements.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FF"/>
            </w:tcBorders>
            <w:gridSpan w:val="12"/>
          </w:tcPr>
          <w:p>
            <w:pPr>
              <w:spacing w:after="0"/>
              <w:rPr>
                <w:rFonts w:ascii="Arial" w:cs="Arial" w:eastAsia="Arial" w:hAnsi="Arial"/>
                <w:sz w:val="18"/>
                <w:szCs w:val="18"/>
                <w:color w:val="0000FF"/>
                <w:w w:val="88"/>
              </w:rPr>
            </w:pPr>
            <w:hyperlink r:id="rId38">
              <w:r>
                <w:rPr>
                  <w:rFonts w:ascii="Arial" w:cs="Arial" w:eastAsia="Arial" w:hAnsi="Arial"/>
                  <w:sz w:val="18"/>
                  <w:szCs w:val="18"/>
                  <w:color w:val="0000FF"/>
                  <w:w w:val="88"/>
                </w:rPr>
                <w:t>2017 Employee Stock Purchase Plan.</w:t>
              </w:r>
            </w:hyperlink>
          </w:p>
        </w:tc>
        <w:tc>
          <w:tcPr>
            <w:tcW w:w="21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bottom w:val="single" w:sz="8" w:color="0000FF"/>
            </w:tcBorders>
            <w:gridSpan w:val="9"/>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Executive Bonus Plan.</w:t>
              </w:r>
            </w:hyperlink>
          </w:p>
        </w:tc>
        <w:tc>
          <w:tcPr>
            <w:tcW w:w="324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w w:val="99"/>
              </w:rPr>
            </w:pPr>
            <w:hyperlink r:id="rId40">
              <w:r>
                <w:rPr>
                  <w:rFonts w:ascii="Arial" w:cs="Arial" w:eastAsia="Arial" w:hAnsi="Arial"/>
                  <w:sz w:val="18"/>
                  <w:szCs w:val="18"/>
                  <w:color w:val="0000FF"/>
                  <w:w w:val="99"/>
                </w:rPr>
                <w:t>Second Amended and Restated License Agreement between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California Institute of Technology and Fluidigm Corporation,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effective as of May 1, 2004.</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10.8A†</w:t>
            </w:r>
          </w:p>
        </w:tc>
        <w:tc>
          <w:tcPr>
            <w:tcW w:w="20" w:type="dxa"/>
            <w:vAlign w:val="bottom"/>
          </w:tcPr>
          <w:p>
            <w:pPr>
              <w:spacing w:after="0"/>
              <w:rPr>
                <w:sz w:val="21"/>
                <w:szCs w:val="21"/>
                <w:color w:val="auto"/>
              </w:rPr>
            </w:pPr>
          </w:p>
        </w:tc>
        <w:tc>
          <w:tcPr>
            <w:tcW w:w="4340" w:type="dxa"/>
            <w:vAlign w:val="bottom"/>
            <w:tcBorders>
              <w:bottom w:val="single" w:sz="8" w:color="0000FF"/>
            </w:tcBorders>
            <w:gridSpan w:val="19"/>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First Addendum, effective as of March 29, 2007, to Second</w:t>
              </w:r>
            </w:hyperlink>
          </w:p>
        </w:tc>
        <w:tc>
          <w:tcPr>
            <w:tcW w:w="5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Amended and Restated License Agreement between California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Institute of Technology and Fluidigm Corporation effective as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May 1, 2004.</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4720" w:type="dxa"/>
            <w:vAlign w:val="bottom"/>
            <w:tcBorders>
              <w:bottom w:val="single" w:sz="8" w:color="0000FF"/>
            </w:tcBorders>
            <w:gridSpan w:val="28"/>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of Harvard College and Fluidigm Corporation effective as of</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10.9A†</w:t>
            </w:r>
          </w:p>
        </w:tc>
        <w:tc>
          <w:tcPr>
            <w:tcW w:w="20" w:type="dxa"/>
            <w:vAlign w:val="bottom"/>
          </w:tcPr>
          <w:p>
            <w:pPr>
              <w:spacing w:after="0"/>
              <w:rPr>
                <w:sz w:val="21"/>
                <w:szCs w:val="21"/>
                <w:color w:val="auto"/>
              </w:rPr>
            </w:pPr>
          </w:p>
        </w:tc>
        <w:tc>
          <w:tcPr>
            <w:tcW w:w="4580" w:type="dxa"/>
            <w:vAlign w:val="bottom"/>
            <w:tcBorders>
              <w:bottom w:val="single" w:sz="8" w:color="0000FF"/>
            </w:tcBorders>
            <w:gridSpan w:val="24"/>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First Amendment to Co-Exclusive License Agreement between</w:t>
              </w:r>
            </w:hyperlink>
          </w:p>
        </w:tc>
        <w:tc>
          <w:tcPr>
            <w:tcW w:w="3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President and Fellows of Harvard College and Fluidigm</w:t>
              </w:r>
            </w:hyperlink>
          </w:p>
        </w:tc>
        <w:tc>
          <w:tcPr>
            <w:tcW w:w="8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Corporation effective as of October 15, 2000.</w:t>
              </w:r>
            </w:hyperlink>
          </w:p>
        </w:tc>
        <w:tc>
          <w:tcPr>
            <w:tcW w:w="1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1"/>
                <w:szCs w:val="21"/>
                <w:color w:val="auto"/>
              </w:rPr>
            </w:pPr>
          </w:p>
        </w:tc>
        <w:tc>
          <w:tcPr>
            <w:tcW w:w="4720" w:type="dxa"/>
            <w:vAlign w:val="bottom"/>
            <w:tcBorders>
              <w:bottom w:val="single" w:sz="8" w:color="0000FF"/>
            </w:tcBorders>
            <w:gridSpan w:val="28"/>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of Harvard College and Fluidigm Corporation effective as of</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October 15, 2000.</w:t>
              </w:r>
            </w:hyperlink>
          </w:p>
        </w:tc>
        <w:tc>
          <w:tcPr>
            <w:tcW w:w="35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1"/>
                <w:szCs w:val="21"/>
                <w:color w:val="auto"/>
              </w:rPr>
            </w:pPr>
          </w:p>
        </w:tc>
        <w:tc>
          <w:tcPr>
            <w:tcW w:w="4720" w:type="dxa"/>
            <w:vAlign w:val="bottom"/>
            <w:tcBorders>
              <w:bottom w:val="single" w:sz="8" w:color="0000FF"/>
            </w:tcBorders>
            <w:gridSpan w:val="28"/>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of Harvard College and Fluidigm Corporation effective as of</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1"/>
                <w:szCs w:val="21"/>
                <w:color w:val="auto"/>
              </w:rPr>
            </w:pPr>
          </w:p>
        </w:tc>
        <w:tc>
          <w:tcPr>
            <w:tcW w:w="4880" w:type="dxa"/>
            <w:vAlign w:val="bottom"/>
            <w:gridSpan w:val="32"/>
          </w:tcPr>
          <w:p>
            <w:pPr>
              <w:spacing w:after="0"/>
              <w:rPr>
                <w:rFonts w:ascii="Arial" w:cs="Arial" w:eastAsia="Arial" w:hAnsi="Arial"/>
                <w:sz w:val="18"/>
                <w:szCs w:val="18"/>
                <w:color w:val="0000FF"/>
              </w:rPr>
            </w:pPr>
            <w:hyperlink r:id="rId46">
              <w:r>
                <w:rPr>
                  <w:rFonts w:ascii="Arial" w:cs="Arial" w:eastAsia="Arial" w:hAnsi="Arial"/>
                  <w:sz w:val="18"/>
                  <w:szCs w:val="18"/>
                  <w:color w:val="0000FF"/>
                </w:rPr>
                <w:t>Letter Agreement between President and Fellows of Harvard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College and Fluidigm Corporation dated December 22, 2004.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28"/>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Loan and Security Agreement, dated as of August 2, 2018 by and</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between Fluidigm Corporation and Silicon Valley Bank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80" w:type="dxa"/>
            <w:vAlign w:val="bottom"/>
            <w:gridSpan w:val="2"/>
          </w:tcPr>
          <w:p>
            <w:pPr>
              <w:spacing w:after="0"/>
              <w:rPr>
                <w:sz w:val="20"/>
                <w:szCs w:val="20"/>
                <w:color w:val="auto"/>
              </w:rPr>
            </w:pPr>
            <w:r>
              <w:rPr>
                <w:rFonts w:ascii="Arial" w:cs="Arial" w:eastAsia="Arial" w:hAnsi="Arial"/>
                <w:sz w:val="18"/>
                <w:szCs w:val="18"/>
                <w:color w:val="auto"/>
              </w:rPr>
              <w:t>10.13A</w:t>
            </w:r>
          </w:p>
        </w:tc>
        <w:tc>
          <w:tcPr>
            <w:tcW w:w="20" w:type="dxa"/>
            <w:vAlign w:val="bottom"/>
          </w:tcPr>
          <w:p>
            <w:pPr>
              <w:spacing w:after="0"/>
              <w:rPr>
                <w:sz w:val="24"/>
                <w:szCs w:val="24"/>
                <w:color w:val="auto"/>
              </w:rPr>
            </w:pPr>
          </w:p>
        </w:tc>
        <w:tc>
          <w:tcPr>
            <w:tcW w:w="4880" w:type="dxa"/>
            <w:vAlign w:val="bottom"/>
            <w:gridSpan w:val="3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Default Waiver and First Amendment to Loan and Security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w w:val="92"/>
              </w:rPr>
            </w:pPr>
            <w:hyperlink w:anchor="page107">
              <w:r>
                <w:rPr>
                  <w:rFonts w:ascii="Arial" w:cs="Arial" w:eastAsia="Arial" w:hAnsi="Arial"/>
                  <w:sz w:val="18"/>
                  <w:szCs w:val="18"/>
                  <w:color w:val="0000FF"/>
                  <w:w w:val="92"/>
                </w:rPr>
                <w:t>Agreement, dated September 1, 2018, between the Company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Silicon Valley Bank.</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80" w:type="dxa"/>
            <w:vAlign w:val="bottom"/>
            <w:gridSpan w:val="2"/>
          </w:tcPr>
          <w:p>
            <w:pPr>
              <w:spacing w:after="0"/>
              <w:rPr>
                <w:sz w:val="20"/>
                <w:szCs w:val="20"/>
                <w:color w:val="auto"/>
              </w:rPr>
            </w:pPr>
            <w:r>
              <w:rPr>
                <w:rFonts w:ascii="Arial" w:cs="Arial" w:eastAsia="Arial" w:hAnsi="Arial"/>
                <w:sz w:val="18"/>
                <w:szCs w:val="18"/>
                <w:color w:val="auto"/>
              </w:rPr>
              <w:t>10.13B</w:t>
            </w:r>
          </w:p>
        </w:tc>
        <w:tc>
          <w:tcPr>
            <w:tcW w:w="20" w:type="dxa"/>
            <w:vAlign w:val="bottom"/>
          </w:tcPr>
          <w:p>
            <w:pPr>
              <w:spacing w:after="0"/>
              <w:rPr>
                <w:sz w:val="24"/>
                <w:szCs w:val="24"/>
                <w:color w:val="auto"/>
              </w:rPr>
            </w:pPr>
          </w:p>
        </w:tc>
        <w:tc>
          <w:tcPr>
            <w:tcW w:w="4880" w:type="dxa"/>
            <w:vAlign w:val="bottom"/>
            <w:gridSpan w:val="32"/>
          </w:tcPr>
          <w:p>
            <w:pPr>
              <w:spacing w:after="0"/>
              <w:rPr>
                <w:rFonts w:ascii="Arial" w:cs="Arial" w:eastAsia="Arial" w:hAnsi="Arial"/>
                <w:sz w:val="18"/>
                <w:szCs w:val="18"/>
                <w:color w:val="0000FF"/>
              </w:rPr>
            </w:pPr>
            <w:hyperlink r:id="rId48">
              <w:r>
                <w:rPr>
                  <w:rFonts w:ascii="Arial" w:cs="Arial" w:eastAsia="Arial" w:hAnsi="Arial"/>
                  <w:sz w:val="18"/>
                  <w:szCs w:val="18"/>
                  <w:color w:val="0000FF"/>
                </w:rPr>
                <w:t>Second Amendment to Loan and Security Agreement, dated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November 20, 2019, between the Company and Silicon Valley</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Bank.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Borders>
              <w:bottom w:val="single" w:sz="8" w:color="0000FF"/>
            </w:tcBorders>
            <w:gridSpan w:val="31"/>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Purchase Agreement, dated November 20, 2019, between Fluidigm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Corporation and Barclays Capital Inc., as representative of the</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several initial purchasers named in Schedule I thereto.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(d)(6)</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1/11/2017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10.5A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10.6A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8/2/2018</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11/22/2019</w:t>
            </w:r>
          </w:p>
        </w:tc>
        <w:tc>
          <w:tcPr>
            <w:tcW w:w="0" w:type="dxa"/>
            <w:vAlign w:val="bottom"/>
          </w:tcPr>
          <w:p>
            <w:pPr>
              <w:spacing w:after="0"/>
              <w:rPr>
                <w:sz w:val="1"/>
                <w:szCs w:val="1"/>
                <w:color w:val="auto"/>
              </w:rPr>
            </w:pPr>
          </w:p>
        </w:tc>
      </w:tr>
      <w:tr>
        <w:trPr>
          <w:trHeight w:val="87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11/22/2019</w:t>
            </w:r>
          </w:p>
        </w:tc>
        <w:tc>
          <w:tcPr>
            <w:tcW w:w="0" w:type="dxa"/>
            <w:vAlign w:val="bottom"/>
          </w:tcPr>
          <w:p>
            <w:pPr>
              <w:spacing w:after="0"/>
              <w:rPr>
                <w:sz w:val="1"/>
                <w:szCs w:val="1"/>
                <w:color w:val="auto"/>
              </w:rPr>
            </w:pPr>
          </w:p>
        </w:tc>
      </w:tr>
    </w:tbl>
    <w:p>
      <w:pPr>
        <w:spacing w:after="0" w:line="605" w:lineRule="exact"/>
        <w:rPr>
          <w:sz w:val="20"/>
          <w:szCs w:val="20"/>
          <w:color w:val="auto"/>
        </w:rPr>
      </w:pPr>
    </w:p>
    <w:p>
      <w:pPr>
        <w:sectPr>
          <w:pgSz w:w="11900" w:h="16838" w:orient="portrait"/>
          <w:cols w:equalWidth="0" w:num="2">
            <w:col w:w="6480" w:space="120"/>
            <w:col w:w="4760"/>
          </w:cols>
          <w:pgMar w:left="280" w:top="861"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60"/>
          </w:cols>
          <w:pgMar w:left="280" w:top="861" w:right="259" w:bottom="1440" w:gutter="0" w:footer="0" w:header="0"/>
          <w:type w:val="continuous"/>
        </w:sectPr>
      </w:pPr>
    </w:p>
    <w:bookmarkStart w:id="100" w:name="page101"/>
    <w:bookmarkEnd w:id="10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31"/>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3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87"/>
              </w:rPr>
              <w:t>10.15#</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Form of Amended and Restated Employment and Severance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Agreement between Fluidigm Corporation and each of its</w:t>
              </w:r>
            </w:hyperlink>
          </w:p>
        </w:tc>
        <w:tc>
          <w:tcPr>
            <w:tcW w:w="200" w:type="dxa"/>
            <w:vAlign w:val="bottom"/>
            <w:tcBorders>
              <w:top w:val="single" w:sz="8" w:color="0000FF"/>
            </w:tcBorders>
            <w:gridSpan w:val="8"/>
          </w:tcPr>
          <w:p>
            <w:pPr>
              <w:spacing w:after="0"/>
              <w:rPr>
                <w:sz w:val="17"/>
                <w:szCs w:val="17"/>
                <w:color w:val="auto"/>
              </w:rPr>
            </w:pPr>
          </w:p>
        </w:tc>
        <w:tc>
          <w:tcPr>
            <w:tcW w:w="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executive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8"/>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Fluidigm Corporation Change of Control and Severance Plan.</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Endorsement Split-Dollar Life Insurance Agreement.</w:t>
              </w:r>
            </w:hyperlink>
          </w:p>
        </w:tc>
        <w:tc>
          <w:tcPr>
            <w:tcW w:w="620" w:type="dxa"/>
            <w:vAlign w:val="bottom"/>
            <w:tcBorders>
              <w:top w:val="single" w:sz="8" w:color="0000FF"/>
            </w:tcBorders>
            <w:gridSpan w:val="16"/>
          </w:tcPr>
          <w:p>
            <w:pPr>
              <w:spacing w:after="0"/>
              <w:rPr>
                <w:sz w:val="21"/>
                <w:szCs w:val="21"/>
                <w:color w:val="auto"/>
              </w:rPr>
            </w:pPr>
          </w:p>
        </w:tc>
        <w:tc>
          <w:tcPr>
            <w:tcW w:w="4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tcBorders>
              <w:bottom w:val="single" w:sz="8" w:color="0000FF"/>
            </w:tcBorders>
            <w:gridSpan w:val="28"/>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Offer Letter to Stephen Christopher Linthwaite, dated July 14,</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53">
              <w:r>
                <w:rPr>
                  <w:rFonts w:ascii="Arial" w:cs="Arial" w:eastAsia="Arial" w:hAnsi="Arial"/>
                  <w:sz w:val="18"/>
                  <w:szCs w:val="18"/>
                  <w:color w:val="0000FF"/>
                  <w:w w:val="84"/>
                </w:rPr>
                <w:t>2016.</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10.19#</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3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Employment and Severance Agreement, effective as of August 1,</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2016, by and between Fluidigm Corporation and Stephen</w:t>
              </w:r>
            </w:hyperlink>
          </w:p>
        </w:tc>
        <w:tc>
          <w:tcPr>
            <w:tcW w:w="7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Christopher Linthwaite</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8"/>
          </w:tcPr>
          <w:p>
            <w:pPr>
              <w:spacing w:after="0"/>
              <w:rPr>
                <w:rFonts w:ascii="Arial" w:cs="Arial" w:eastAsia="Arial" w:hAnsi="Arial"/>
                <w:sz w:val="18"/>
                <w:szCs w:val="18"/>
                <w:color w:val="0000FF"/>
              </w:rPr>
            </w:pPr>
            <w:hyperlink r:id="rId55">
              <w:r>
                <w:rPr>
                  <w:rFonts w:ascii="Arial" w:cs="Arial" w:eastAsia="Arial" w:hAnsi="Arial"/>
                  <w:sz w:val="18"/>
                  <w:szCs w:val="18"/>
                  <w:color w:val="0000FF"/>
                </w:rPr>
                <w:t>Offer Letter to Vikram Jog dated January 29, 2008.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80" w:type="dxa"/>
            <w:vAlign w:val="bottom"/>
            <w:tcBorders>
              <w:bottom w:val="single" w:sz="8" w:color="0000FF"/>
            </w:tcBorders>
            <w:gridSpan w:val="1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Offer Letter to Bradley A. Kreger dated February 13, 2018.</w:t>
              </w:r>
            </w:hyperlink>
          </w:p>
        </w:tc>
        <w:tc>
          <w:tcPr>
            <w:tcW w:w="60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8"/>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Lease Agreement between ARE - San Francisco No. 17 LLC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tcBorders>
            <w:gridSpan w:val="33"/>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Fluidigm Corporation, dated September 14, 2010, as amended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September 22, 2010.</w:t>
              </w:r>
            </w:hyperlink>
          </w:p>
        </w:tc>
        <w:tc>
          <w:tcPr>
            <w:tcW w:w="2980" w:type="dxa"/>
            <w:vAlign w:val="bottom"/>
            <w:tcBorders>
              <w:top w:val="single" w:sz="8" w:color="0000FF"/>
            </w:tcBorders>
            <w:gridSpan w:val="21"/>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10.22A</w:t>
            </w:r>
          </w:p>
        </w:tc>
        <w:tc>
          <w:tcPr>
            <w:tcW w:w="20" w:type="dxa"/>
            <w:vAlign w:val="bottom"/>
          </w:tcPr>
          <w:p>
            <w:pPr>
              <w:spacing w:after="0"/>
              <w:rPr>
                <w:sz w:val="21"/>
                <w:szCs w:val="21"/>
                <w:color w:val="auto"/>
              </w:rPr>
            </w:pPr>
          </w:p>
        </w:tc>
        <w:tc>
          <w:tcPr>
            <w:tcW w:w="4880" w:type="dxa"/>
            <w:vAlign w:val="bottom"/>
            <w:gridSpan w:val="38"/>
          </w:tcPr>
          <w:p>
            <w:pPr>
              <w:spacing w:after="0"/>
              <w:rPr>
                <w:rFonts w:ascii="Arial" w:cs="Arial" w:eastAsia="Arial" w:hAnsi="Arial"/>
                <w:sz w:val="18"/>
                <w:szCs w:val="18"/>
                <w:color w:val="0000FF"/>
              </w:rPr>
            </w:pPr>
            <w:hyperlink r:id="rId58">
              <w:r>
                <w:rPr>
                  <w:rFonts w:ascii="Arial" w:cs="Arial" w:eastAsia="Arial" w:hAnsi="Arial"/>
                  <w:sz w:val="18"/>
                  <w:szCs w:val="18"/>
                  <w:color w:val="0000FF"/>
                </w:rPr>
                <w:t>Second Amendment to Lease Agreement between ARE-San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33"/>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Francisco No. 17, LLC and Fluidigm Corporation, dated April 9,</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58">
              <w:r>
                <w:rPr>
                  <w:rFonts w:ascii="Arial" w:cs="Arial" w:eastAsia="Arial" w:hAnsi="Arial"/>
                  <w:sz w:val="18"/>
                  <w:szCs w:val="18"/>
                  <w:color w:val="0000FF"/>
                  <w:w w:val="84"/>
                </w:rPr>
                <w:t>2013.</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10.22B</w:t>
            </w:r>
          </w:p>
        </w:tc>
        <w:tc>
          <w:tcPr>
            <w:tcW w:w="20" w:type="dxa"/>
            <w:vAlign w:val="bottom"/>
          </w:tcPr>
          <w:p>
            <w:pPr>
              <w:spacing w:after="0"/>
              <w:rPr>
                <w:sz w:val="21"/>
                <w:szCs w:val="21"/>
                <w:color w:val="auto"/>
              </w:rPr>
            </w:pPr>
          </w:p>
        </w:tc>
        <w:tc>
          <w:tcPr>
            <w:tcW w:w="4340" w:type="dxa"/>
            <w:vAlign w:val="bottom"/>
            <w:tcBorders>
              <w:bottom w:val="single" w:sz="8" w:color="0000FF"/>
            </w:tcBorders>
            <w:gridSpan w:val="2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Fourth Amendment to Lease Agreement between ARE-San</w:t>
              </w:r>
            </w:hyperlink>
          </w:p>
        </w:tc>
        <w:tc>
          <w:tcPr>
            <w:tcW w:w="54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w w:val="96"/>
              </w:rPr>
            </w:pPr>
            <w:hyperlink r:id="rId59">
              <w:r>
                <w:rPr>
                  <w:rFonts w:ascii="Arial" w:cs="Arial" w:eastAsia="Arial" w:hAnsi="Arial"/>
                  <w:sz w:val="18"/>
                  <w:szCs w:val="18"/>
                  <w:color w:val="0000FF"/>
                  <w:w w:val="96"/>
                </w:rPr>
                <w:t>Francisco No. 17, LLC and Fluidigm Corporation, dated June 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59">
              <w:r>
                <w:rPr>
                  <w:rFonts w:ascii="Arial" w:cs="Arial" w:eastAsia="Arial" w:hAnsi="Arial"/>
                  <w:sz w:val="18"/>
                  <w:szCs w:val="18"/>
                  <w:color w:val="0000FF"/>
                  <w:w w:val="84"/>
                </w:rPr>
                <w:t>2014.</w:t>
              </w:r>
            </w:hyperlink>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10.22C</w:t>
            </w:r>
          </w:p>
        </w:tc>
        <w:tc>
          <w:tcPr>
            <w:tcW w:w="20" w:type="dxa"/>
            <w:vAlign w:val="bottom"/>
          </w:tcPr>
          <w:p>
            <w:pPr>
              <w:spacing w:after="0"/>
              <w:rPr>
                <w:sz w:val="21"/>
                <w:szCs w:val="21"/>
                <w:color w:val="auto"/>
              </w:rPr>
            </w:pPr>
          </w:p>
        </w:tc>
        <w:tc>
          <w:tcPr>
            <w:tcW w:w="4180" w:type="dxa"/>
            <w:vAlign w:val="bottom"/>
            <w:tcBorders>
              <w:bottom w:val="single" w:sz="8" w:color="0000FF"/>
            </w:tcBorders>
            <w:gridSpan w:val="14"/>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Fifth Amendment to Lease Agreement between ARE-San</w:t>
              </w:r>
            </w:hyperlink>
          </w:p>
        </w:tc>
        <w:tc>
          <w:tcPr>
            <w:tcW w:w="70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Francisco No. 17, LLC and Fluidigm Corporation, dated</w:t>
              </w:r>
            </w:hyperlink>
          </w:p>
        </w:tc>
        <w:tc>
          <w:tcPr>
            <w:tcW w:w="8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September 15, 2014.</w:t>
              </w:r>
            </w:hyperlink>
          </w:p>
        </w:tc>
        <w:tc>
          <w:tcPr>
            <w:tcW w:w="33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10.22D</w:t>
            </w:r>
          </w:p>
        </w:tc>
        <w:tc>
          <w:tcPr>
            <w:tcW w:w="20" w:type="dxa"/>
            <w:vAlign w:val="bottom"/>
          </w:tcPr>
          <w:p>
            <w:pPr>
              <w:spacing w:after="0"/>
              <w:rPr>
                <w:sz w:val="21"/>
                <w:szCs w:val="21"/>
                <w:color w:val="auto"/>
              </w:rPr>
            </w:pPr>
          </w:p>
        </w:tc>
        <w:tc>
          <w:tcPr>
            <w:tcW w:w="4200" w:type="dxa"/>
            <w:vAlign w:val="bottom"/>
            <w:tcBorders>
              <w:bottom w:val="single" w:sz="8" w:color="0000FF"/>
            </w:tcBorders>
            <w:gridSpan w:val="15"/>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Sixth Amendment to Lease Agreement between ARE-San</w:t>
              </w:r>
            </w:hyperlink>
          </w:p>
        </w:tc>
        <w:tc>
          <w:tcPr>
            <w:tcW w:w="68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Francisco No. 17, LLC and Fluidigm Corporation, dated</w:t>
              </w:r>
            </w:hyperlink>
          </w:p>
        </w:tc>
        <w:tc>
          <w:tcPr>
            <w:tcW w:w="8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December 8, 2015.</w:t>
              </w:r>
            </w:hyperlink>
          </w:p>
        </w:tc>
        <w:tc>
          <w:tcPr>
            <w:tcW w:w="35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10.22E</w:t>
            </w:r>
          </w:p>
        </w:tc>
        <w:tc>
          <w:tcPr>
            <w:tcW w:w="20" w:type="dxa"/>
            <w:vAlign w:val="bottom"/>
          </w:tcPr>
          <w:p>
            <w:pPr>
              <w:spacing w:after="0"/>
              <w:rPr>
                <w:sz w:val="21"/>
                <w:szCs w:val="21"/>
                <w:color w:val="auto"/>
              </w:rPr>
            </w:pPr>
          </w:p>
        </w:tc>
        <w:tc>
          <w:tcPr>
            <w:tcW w:w="4400" w:type="dxa"/>
            <w:vAlign w:val="bottom"/>
            <w:tcBorders>
              <w:bottom w:val="single" w:sz="8" w:color="0000FF"/>
            </w:tcBorders>
            <w:gridSpan w:val="23"/>
          </w:tcPr>
          <w:p>
            <w:pPr>
              <w:spacing w:after="0"/>
              <w:rPr>
                <w:rFonts w:ascii="Arial" w:cs="Arial" w:eastAsia="Arial" w:hAnsi="Arial"/>
                <w:sz w:val="18"/>
                <w:szCs w:val="18"/>
                <w:color w:val="0000FF"/>
                <w:w w:val="89"/>
              </w:rPr>
            </w:pPr>
            <w:hyperlink r:id="rId62">
              <w:r>
                <w:rPr>
                  <w:rFonts w:ascii="Arial" w:cs="Arial" w:eastAsia="Arial" w:hAnsi="Arial"/>
                  <w:sz w:val="18"/>
                  <w:szCs w:val="18"/>
                  <w:color w:val="0000FF"/>
                  <w:w w:val="89"/>
                </w:rPr>
                <w:t>Seventh Amendment to Lease Agreement between ARE-San</w:t>
              </w:r>
            </w:hyperlink>
          </w:p>
        </w:tc>
        <w:tc>
          <w:tcPr>
            <w:tcW w:w="4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Francisco No. 17, LLC and Fluidigm Corporation, dated March</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23,2017.</w:t>
              </w:r>
            </w:hyperlink>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10.22F</w:t>
            </w:r>
          </w:p>
        </w:tc>
        <w:tc>
          <w:tcPr>
            <w:tcW w:w="20" w:type="dxa"/>
            <w:vAlign w:val="bottom"/>
          </w:tcPr>
          <w:p>
            <w:pPr>
              <w:spacing w:after="0"/>
              <w:rPr>
                <w:sz w:val="21"/>
                <w:szCs w:val="21"/>
                <w:color w:val="auto"/>
              </w:rPr>
            </w:pPr>
          </w:p>
        </w:tc>
        <w:tc>
          <w:tcPr>
            <w:tcW w:w="4300" w:type="dxa"/>
            <w:vAlign w:val="bottom"/>
            <w:tcBorders>
              <w:bottom w:val="single" w:sz="8" w:color="0000FF"/>
            </w:tcBorders>
            <w:gridSpan w:val="19"/>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Eighth Amendment to Lease Agreement between ARE-San</w:t>
              </w:r>
            </w:hyperlink>
          </w:p>
        </w:tc>
        <w:tc>
          <w:tcPr>
            <w:tcW w:w="5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Francisco No. 17, LLC and Fluidigm Corporation, dated August 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63">
              <w:r>
                <w:rPr>
                  <w:rFonts w:ascii="Arial" w:cs="Arial" w:eastAsia="Arial" w:hAnsi="Arial"/>
                  <w:sz w:val="18"/>
                  <w:szCs w:val="18"/>
                  <w:color w:val="0000FF"/>
                  <w:w w:val="84"/>
                </w:rPr>
                <w:t>2017.</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10.22G</w:t>
            </w:r>
          </w:p>
        </w:tc>
        <w:tc>
          <w:tcPr>
            <w:tcW w:w="20" w:type="dxa"/>
            <w:vAlign w:val="bottom"/>
          </w:tcPr>
          <w:p>
            <w:pPr>
              <w:spacing w:after="0"/>
              <w:rPr>
                <w:sz w:val="21"/>
                <w:szCs w:val="21"/>
                <w:color w:val="auto"/>
              </w:rPr>
            </w:pPr>
          </w:p>
        </w:tc>
        <w:tc>
          <w:tcPr>
            <w:tcW w:w="4240" w:type="dxa"/>
            <w:vAlign w:val="bottom"/>
            <w:tcBorders>
              <w:bottom w:val="single" w:sz="8" w:color="0000FF"/>
            </w:tcBorders>
            <w:gridSpan w:val="17"/>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Ninth Amendment to Lease Agreement between ARE-San</w:t>
              </w:r>
            </w:hyperlink>
          </w:p>
        </w:tc>
        <w:tc>
          <w:tcPr>
            <w:tcW w:w="64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Francisco No. 17, LLC and Fluidigm Corporation, dated May 31,</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64">
              <w:r>
                <w:rPr>
                  <w:rFonts w:ascii="Arial" w:cs="Arial" w:eastAsia="Arial" w:hAnsi="Arial"/>
                  <w:sz w:val="18"/>
                  <w:szCs w:val="18"/>
                  <w:color w:val="0000FF"/>
                  <w:w w:val="84"/>
                </w:rPr>
                <w:t>2018.</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10.22H</w:t>
            </w:r>
          </w:p>
        </w:tc>
        <w:tc>
          <w:tcPr>
            <w:tcW w:w="20" w:type="dxa"/>
            <w:vAlign w:val="bottom"/>
          </w:tcPr>
          <w:p>
            <w:pPr>
              <w:spacing w:after="0"/>
              <w:rPr>
                <w:sz w:val="21"/>
                <w:szCs w:val="21"/>
                <w:color w:val="auto"/>
              </w:rPr>
            </w:pPr>
          </w:p>
        </w:tc>
        <w:tc>
          <w:tcPr>
            <w:tcW w:w="4220" w:type="dxa"/>
            <w:vAlign w:val="bottom"/>
            <w:tcBorders>
              <w:bottom w:val="single" w:sz="8" w:color="0000FF"/>
            </w:tcBorders>
            <w:gridSpan w:val="16"/>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Tenth Amendment to Lease Agreement between ARE-San</w:t>
              </w:r>
            </w:hyperlink>
          </w:p>
        </w:tc>
        <w:tc>
          <w:tcPr>
            <w:tcW w:w="66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Francisco No. 17, LLC and Fluidigm Corporation, dated August</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65">
              <w:r>
                <w:rPr>
                  <w:rFonts w:ascii="Arial" w:cs="Arial" w:eastAsia="Arial" w:hAnsi="Arial"/>
                  <w:sz w:val="18"/>
                  <w:szCs w:val="18"/>
                  <w:color w:val="0000FF"/>
                  <w:w w:val="87"/>
                </w:rPr>
                <w:t>14, 2019.</w:t>
              </w:r>
            </w:hyperlink>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25"/>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Tenancy for Flatted Factory Space in Singapore between JTC</w:t>
              </w:r>
            </w:hyperlink>
          </w:p>
        </w:tc>
        <w:tc>
          <w:tcPr>
            <w:tcW w:w="4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Corporation and Fluidigm Corporation dated July 27, 2005, as</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amended August 12, 2008 and May 31, 2010.</w:t>
              </w:r>
            </w:hyperlink>
          </w:p>
        </w:tc>
        <w:tc>
          <w:tcPr>
            <w:tcW w:w="15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Borders>
              <w:bottom w:val="single" w:sz="8" w:color="0000FF"/>
            </w:tcBorders>
            <w:gridSpan w:val="32"/>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Offer of Tenancy for Facility Lease between Fluidigm Singapore</w:t>
              </w:r>
            </w:hyperlink>
          </w:p>
        </w:tc>
        <w:tc>
          <w:tcPr>
            <w:tcW w:w="2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Pte. Ltd. and SBC Institutional Trust Services (Singapore)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as trustee of Ascendas Real Estate Investment Trust dated October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r:id="rId67">
              <w:r>
                <w:rPr>
                  <w:rFonts w:ascii="Arial" w:cs="Arial" w:eastAsia="Arial" w:hAnsi="Arial"/>
                  <w:sz w:val="18"/>
                  <w:szCs w:val="18"/>
                  <w:color w:val="0000FF"/>
                  <w:w w:val="87"/>
                </w:rPr>
                <w:t>14, 2013.</w:t>
              </w:r>
            </w:hyperlink>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8"/>
          </w:tcPr>
          <w:p>
            <w:pPr>
              <w:spacing w:after="0"/>
              <w:rPr>
                <w:rFonts w:ascii="Arial" w:cs="Arial" w:eastAsia="Arial" w:hAnsi="Arial"/>
                <w:sz w:val="18"/>
                <w:szCs w:val="18"/>
                <w:color w:val="0000FF"/>
              </w:rPr>
            </w:pPr>
            <w:hyperlink r:id="rId68">
              <w:r>
                <w:rPr>
                  <w:rFonts w:ascii="Arial" w:cs="Arial" w:eastAsia="Arial" w:hAnsi="Arial"/>
                  <w:sz w:val="18"/>
                  <w:szCs w:val="18"/>
                  <w:color w:val="0000FF"/>
                </w:rPr>
                <w:t>Offer of Tenancy for Lease of Additional Space at Singapore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Facility between Fluidigm Singapore Pte. Ltd. and HSBC</w:t>
              </w:r>
            </w:hyperlink>
          </w:p>
        </w:tc>
        <w:tc>
          <w:tcPr>
            <w:tcW w:w="220" w:type="dxa"/>
            <w:vAlign w:val="bottom"/>
            <w:tcBorders>
              <w:top w:val="single" w:sz="8" w:color="0000FF"/>
            </w:tcBorders>
            <w:gridSpan w:val="9"/>
          </w:tcPr>
          <w:p>
            <w:pPr>
              <w:spacing w:after="0"/>
              <w:rPr>
                <w:sz w:val="17"/>
                <w:szCs w:val="17"/>
                <w:color w:val="auto"/>
              </w:rPr>
            </w:pPr>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Institutional Trust Services (Singapore) Limited, as trustee of</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Ascendas Real Estate Investment Trust, dated April 2, 2015.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12/11/2012</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3/18/2019</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1/7/2011</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10.19A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5/9/2013</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11/6/2014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12/14/2015</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8/8/2018</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11/8/2019</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0" w:type="dxa"/>
            <w:vAlign w:val="bottom"/>
          </w:tcPr>
          <w:p>
            <w:pPr>
              <w:spacing w:after="0"/>
              <w:rPr>
                <w:sz w:val="1"/>
                <w:szCs w:val="1"/>
                <w:color w:val="auto"/>
              </w:rPr>
            </w:pPr>
          </w:p>
        </w:tc>
      </w:tr>
    </w:tbl>
    <w:p>
      <w:pPr>
        <w:spacing w:after="0" w:line="821" w:lineRule="exact"/>
        <w:rPr>
          <w:sz w:val="20"/>
          <w:szCs w:val="20"/>
          <w:color w:val="auto"/>
        </w:rPr>
      </w:pPr>
    </w:p>
    <w:p>
      <w:pPr>
        <w:sectPr>
          <w:pgSz w:w="11900" w:h="16838" w:orient="portrait"/>
          <w:cols w:equalWidth="0" w:num="2">
            <w:col w:w="6480" w:space="120"/>
            <w:col w:w="4760"/>
          </w:cols>
          <w:pgMar w:left="280" w:top="861"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60"/>
          </w:cols>
          <w:pgMar w:left="280" w:top="861" w:right="2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gridSpan w:val="13"/>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1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gridSpan w:val="13"/>
            <w:vMerge w:val="continue"/>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00" w:type="dxa"/>
            <w:vAlign w:val="bottom"/>
            <w:gridSpan w:val="3"/>
            <w:vMerge w:val="restart"/>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5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6"/>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Office Lease by and among Rodick Equities Inc., Fluidigm Canada</w:t>
              </w:r>
            </w:hyperlink>
          </w:p>
        </w:tc>
        <w:tc>
          <w:tcPr>
            <w:tcW w:w="1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11/9/2015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Inc., and Fluidigm Corporation, dated August 17, 2015.</w:t>
              </w:r>
            </w:hyperlink>
          </w:p>
        </w:tc>
        <w:tc>
          <w:tcPr>
            <w:tcW w:w="820" w:type="dxa"/>
            <w:vAlign w:val="bottom"/>
            <w:tcBorders>
              <w:top w:val="single" w:sz="8" w:color="0000FF"/>
            </w:tcBorders>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Borders>
              <w:bottom w:val="single" w:sz="8" w:color="0000FF"/>
            </w:tcBorders>
            <w:gridSpan w:val="9"/>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License Agreement between MDS Analytical Technologies, a</w:t>
              </w:r>
            </w:hyperlink>
          </w:p>
        </w:tc>
        <w:tc>
          <w:tcPr>
            <w:tcW w:w="540" w:type="dxa"/>
            <w:vAlign w:val="bottom"/>
            <w:gridSpan w:val="7"/>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business unit of MDS INC., and DVS Sciences Inc., dated July 17,</w:t>
              </w:r>
            </w:hyperlink>
          </w:p>
        </w:tc>
        <w:tc>
          <w:tcPr>
            <w:tcW w:w="18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70">
              <w:r>
                <w:rPr>
                  <w:rFonts w:ascii="Arial" w:cs="Arial" w:eastAsia="Arial" w:hAnsi="Arial"/>
                  <w:sz w:val="18"/>
                  <w:szCs w:val="18"/>
                  <w:color w:val="0000FF"/>
                  <w:w w:val="84"/>
                </w:rPr>
                <w:t>2008.</w:t>
              </w:r>
            </w:hyperlink>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Sublicense Agreement between DVS Sciences Inc. and Fluidigm</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Corporation, dated January 28, 2014.</w:t>
              </w:r>
            </w:hyperlink>
          </w:p>
        </w:tc>
        <w:tc>
          <w:tcPr>
            <w:tcW w:w="2000" w:type="dxa"/>
            <w:vAlign w:val="bottom"/>
            <w:tcBorders>
              <w:top w:val="single" w:sz="8" w:color="0000FF"/>
            </w:tcBorders>
            <w:gridSpan w:val="7"/>
          </w:tcPr>
          <w:p>
            <w:pPr>
              <w:spacing w:after="0"/>
              <w:rPr>
                <w:sz w:val="17"/>
                <w:szCs w:val="17"/>
                <w:color w:val="auto"/>
              </w:rPr>
            </w:pPr>
          </w:p>
        </w:tc>
        <w:tc>
          <w:tcPr>
            <w:tcW w:w="320" w:type="dxa"/>
            <w:vAlign w:val="bottom"/>
            <w:gridSpan w:val="5"/>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rPr>
            </w:pPr>
            <w:hyperlink r:id="rId72">
              <w:r>
                <w:rPr>
                  <w:rFonts w:ascii="Arial" w:cs="Arial" w:eastAsia="Arial" w:hAnsi="Arial"/>
                  <w:sz w:val="18"/>
                  <w:szCs w:val="18"/>
                  <w:color w:val="0000FF"/>
                </w:rPr>
                <w:t>Subsidiaries of Fluidigm Corporation.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Consent of PricewaterhouseCoopers LLP, Independent Registered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Public Accounting Firm.</w:t>
              </w:r>
            </w:hyperlink>
          </w:p>
        </w:tc>
        <w:tc>
          <w:tcPr>
            <w:tcW w:w="24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left w:val="single" w:sz="8" w:color="0000FF"/>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Power of Attorney (contained in the signature page to this</w:t>
              </w:r>
            </w:hyperlink>
          </w:p>
        </w:tc>
        <w:tc>
          <w:tcPr>
            <w:tcW w:w="820" w:type="dxa"/>
            <w:vAlign w:val="bottom"/>
            <w:gridSpan w:val="9"/>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Form 10-K).</w:t>
              </w:r>
            </w:hyperlink>
          </w:p>
        </w:tc>
        <w:tc>
          <w:tcPr>
            <w:tcW w:w="4080" w:type="dxa"/>
            <w:vAlign w:val="bottom"/>
            <w:gridSpan w:val="1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Pursuant to Section 302 of the Sarbanes-Oxley Act of 2002 of</w:t>
              </w:r>
            </w:hyperlink>
          </w:p>
        </w:tc>
        <w:tc>
          <w:tcPr>
            <w:tcW w:w="520" w:type="dxa"/>
            <w:vAlign w:val="bottom"/>
            <w:gridSpan w:val="6"/>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6"/>
          </w:tcPr>
          <w:p>
            <w:pPr>
              <w:spacing w:after="0" w:line="196" w:lineRule="exact"/>
              <w:rPr>
                <w:rFonts w:ascii="Arial" w:cs="Arial" w:eastAsia="Arial" w:hAnsi="Arial"/>
                <w:sz w:val="18"/>
                <w:szCs w:val="18"/>
                <w:color w:val="0000FF"/>
              </w:rPr>
            </w:pPr>
            <w:hyperlink w:anchor="page115">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Pursuant to Section 302 of the Sarbanes-Oxley Act of 2002 of</w:t>
              </w:r>
            </w:hyperlink>
          </w:p>
        </w:tc>
        <w:tc>
          <w:tcPr>
            <w:tcW w:w="520" w:type="dxa"/>
            <w:vAlign w:val="bottom"/>
            <w:gridSpan w:val="6"/>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rFonts w:ascii="Arial" w:cs="Arial" w:eastAsia="Arial" w:hAnsi="Arial"/>
                <w:sz w:val="18"/>
                <w:szCs w:val="18"/>
                <w:color w:val="0000FF"/>
                <w:w w:val="94"/>
              </w:rPr>
            </w:pPr>
            <w:hyperlink w:anchor="page116">
              <w:r>
                <w:rPr>
                  <w:rFonts w:ascii="Arial" w:cs="Arial" w:eastAsia="Arial" w:hAnsi="Arial"/>
                  <w:sz w:val="18"/>
                  <w:szCs w:val="18"/>
                  <w:color w:val="0000FF"/>
                  <w:w w:val="94"/>
                </w:rPr>
                <w:t>Chief Financial Officer.</w:t>
              </w:r>
            </w:hyperlink>
          </w:p>
        </w:tc>
        <w:tc>
          <w:tcPr>
            <w:tcW w:w="3240" w:type="dxa"/>
            <w:vAlign w:val="bottom"/>
            <w:gridSpan w:val="13"/>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8"/>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Pursuant to Section 906 of the Sarbanes-Oxley Act of 2002 of</w:t>
              </w:r>
            </w:hyperlink>
          </w:p>
        </w:tc>
        <w:tc>
          <w:tcPr>
            <w:tcW w:w="520" w:type="dxa"/>
            <w:vAlign w:val="bottom"/>
            <w:gridSpan w:val="6"/>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6"/>
          </w:tcPr>
          <w:p>
            <w:pPr>
              <w:spacing w:after="0" w:line="196" w:lineRule="exact"/>
              <w:rPr>
                <w:rFonts w:ascii="Arial" w:cs="Arial" w:eastAsia="Arial" w:hAnsi="Arial"/>
                <w:sz w:val="18"/>
                <w:szCs w:val="18"/>
                <w:color w:val="0000FF"/>
              </w:rPr>
            </w:pPr>
            <w:hyperlink w:anchor="page117">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16"/>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8"/>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Pursuant to Section 906 of the Sarbanes-Oxley Act of 2002 of</w:t>
              </w:r>
            </w:hyperlink>
          </w:p>
        </w:tc>
        <w:tc>
          <w:tcPr>
            <w:tcW w:w="520" w:type="dxa"/>
            <w:vAlign w:val="bottom"/>
            <w:gridSpan w:val="6"/>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16"/>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Instance Document - the instance document does not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Taxonomy Extension Label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hanging="131"/>
        <w:spacing w:after="0"/>
        <w:tabs>
          <w:tab w:leader="none" w:pos="1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113" w:lineRule="exact"/>
        <w:rPr>
          <w:rFonts w:ascii="Arial" w:cs="Arial" w:eastAsia="Arial" w:hAnsi="Arial"/>
          <w:sz w:val="16"/>
          <w:szCs w:val="16"/>
          <w:color w:val="auto"/>
        </w:rPr>
      </w:pPr>
    </w:p>
    <w:p>
      <w:pPr>
        <w:ind w:left="120" w:hanging="112"/>
        <w:spacing w:after="0"/>
        <w:tabs>
          <w:tab w:leader="none" w:pos="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113" w:lineRule="exact"/>
        <w:rPr>
          <w:sz w:val="20"/>
          <w:szCs w:val="20"/>
          <w:color w:val="auto"/>
        </w:rPr>
      </w:pPr>
    </w:p>
    <w:p>
      <w:pPr>
        <w:ind w:left="180" w:hanging="172"/>
        <w:spacing w:after="0" w:line="278" w:lineRule="auto"/>
        <w:tabs>
          <w:tab w:leader="none" w:pos="146"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61" w:right="2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440" w:val="left"/>
        </w:tabs>
        <w:rPr>
          <w:sz w:val="20"/>
          <w:szCs w:val="20"/>
          <w:color w:val="auto"/>
        </w:rPr>
      </w:pPr>
      <w:r>
        <w:rPr>
          <w:rFonts w:ascii="Arial" w:cs="Arial" w:eastAsia="Arial" w:hAnsi="Arial"/>
          <w:sz w:val="18"/>
          <w:szCs w:val="18"/>
          <w:color w:val="auto"/>
        </w:rPr>
        <w:t>Dated: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Stephen Christopher Linthwaite</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1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President and Chief Executive Officer (Principal Executive</w:t>
            </w:r>
          </w:p>
        </w:tc>
        <w:tc>
          <w:tcPr>
            <w:tcW w:w="148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466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Stephen Christopher Linthwaite</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95"/>
        </w:trPr>
        <w:tc>
          <w:tcPr>
            <w:tcW w:w="4800" w:type="dxa"/>
            <w:vAlign w:val="bottom"/>
          </w:tcPr>
          <w:p>
            <w:pPr>
              <w:spacing w:after="0"/>
              <w:rPr>
                <w:sz w:val="24"/>
                <w:szCs w:val="24"/>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Chief Financial Officer (Principal Financial and Accounting</w:t>
            </w:r>
          </w:p>
        </w:tc>
        <w:tc>
          <w:tcPr>
            <w:tcW w:w="1480" w:type="dxa"/>
            <w:vAlign w:val="bottom"/>
          </w:tcPr>
          <w:p>
            <w:pPr>
              <w:spacing w:after="0"/>
              <w:rPr>
                <w:sz w:val="24"/>
                <w:szCs w:val="24"/>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660" w:type="dxa"/>
            <w:vAlign w:val="bottom"/>
          </w:tcPr>
          <w:p>
            <w:pPr>
              <w:ind w:left="160"/>
              <w:spacing w:after="0"/>
              <w:rPr>
                <w:sz w:val="20"/>
                <w:szCs w:val="20"/>
                <w:color w:val="auto"/>
              </w:rPr>
            </w:pPr>
            <w:r>
              <w:rPr>
                <w:rFonts w:ascii="Arial" w:cs="Arial" w:eastAsia="Arial" w:hAnsi="Arial"/>
                <w:sz w:val="18"/>
                <w:szCs w:val="18"/>
                <w:color w:val="auto"/>
              </w:rPr>
              <w:t>Officer)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66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Nicolas M. Barthelemy</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Nicolas M. Barthelemy</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Laura M. Clague</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7"/>
              </w:rPr>
              <w:t>Laura M. Clague</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Bill W. Colston</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Bill W. Colston</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Carlos V. Paya</w:t>
            </w:r>
          </w:p>
        </w:tc>
        <w:tc>
          <w:tcPr>
            <w:tcW w:w="46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27, 2020</w:t>
            </w:r>
          </w:p>
        </w:tc>
      </w:tr>
      <w:tr>
        <w:trPr>
          <w:trHeight w:val="27"/>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2"/>
              </w:rPr>
              <w:t>Carlos V. Paya</w:t>
            </w:r>
          </w:p>
        </w:tc>
        <w:tc>
          <w:tcPr>
            <w:tcW w:w="4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98"/>
        </w:trPr>
        <w:tc>
          <w:tcPr>
            <w:tcW w:w="4800" w:type="dxa"/>
            <w:vAlign w:val="bottom"/>
          </w:tcPr>
          <w:p>
            <w:pPr>
              <w:spacing w:after="0"/>
              <w:rPr>
                <w:sz w:val="24"/>
                <w:szCs w:val="24"/>
                <w:color w:val="auto"/>
              </w:rPr>
            </w:pPr>
          </w:p>
        </w:tc>
        <w:tc>
          <w:tcPr>
            <w:tcW w:w="4660" w:type="dxa"/>
            <w:vAlign w:val="bottom"/>
          </w:tcPr>
          <w:p>
            <w:pPr>
              <w:ind w:left="820"/>
              <w:spacing w:after="0"/>
              <w:rPr>
                <w:sz w:val="20"/>
                <w:szCs w:val="20"/>
                <w:color w:val="auto"/>
              </w:rPr>
            </w:pPr>
            <w:r>
              <w:rPr>
                <w:rFonts w:ascii="Arial" w:cs="Arial" w:eastAsia="Arial" w:hAnsi="Arial"/>
                <w:sz w:val="18"/>
                <w:szCs w:val="18"/>
                <w:color w:val="auto"/>
              </w:rPr>
              <w:t>98</w:t>
            </w:r>
          </w:p>
        </w:tc>
        <w:tc>
          <w:tcPr>
            <w:tcW w:w="1480" w:type="dxa"/>
            <w:vAlign w:val="bottom"/>
          </w:tcPr>
          <w:p>
            <w:pPr>
              <w:spacing w:after="0"/>
              <w:rPr>
                <w:sz w:val="24"/>
                <w:szCs w:val="24"/>
                <w:color w:val="auto"/>
              </w:rPr>
            </w:pPr>
          </w:p>
        </w:tc>
      </w:tr>
    </w:tbl>
    <w:p>
      <w:pPr>
        <w:sectPr>
          <w:pgSz w:w="11900" w:h="16838" w:orient="portrait"/>
          <w:cols w:equalWidth="0" w:num="1">
            <w:col w:w="11360"/>
          </w:cols>
          <w:pgMar w:left="240" w:top="715" w:right="2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As of February 27, 2020, Fluidigm Corporation ("we," "us," "our," or the "Company") has one class of securities registered under Section 12 of the Securities Exchange Act of 1934, as amended (the “Exchange Act”), our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7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Eighth Amended and Restated Certificate of Incorporation, as amended (the “Certificate of Incorporation”) and our Amended and Restated Bylaws (the “Bylaws”), each of which are incorporated by reference as an exhibit to the Annual Report on Form 10-K of which this Exhibit 4.5 is a part. We encourage you to read our Certificate of Incorporation, our Bylaws and the applicable provisions of the Delaware General Corporation Law,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(“Common Stock”), and 10,000,000 shares of preferred stock, $0.001 par value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Holders of Common Stock have no preemptive, conversion or subscription rights. There are no redemption or sinking fund provisions applicable to the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Our Board of Directors has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ectPr>
          <w:pgSz w:w="11900" w:h="16838" w:orient="portrait"/>
          <w:cols w:equalWidth="0" w:num="1">
            <w:col w:w="11420"/>
          </w:cols>
          <w:pgMar w:left="240" w:top="756" w:right="239" w:bottom="1440" w:gutter="0" w:footer="0" w:header="0"/>
        </w:sectPr>
      </w:pP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diluting the voting power of the holders of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reducing the likelihood that holders of Common Stock will receive dividend payments;</w:t>
      </w:r>
    </w:p>
    <w:p>
      <w:pPr>
        <w:spacing w:after="0" w:line="77" w:lineRule="exact"/>
        <w:rPr>
          <w:sz w:val="20"/>
          <w:szCs w:val="20"/>
          <w:color w:val="auto"/>
        </w:rPr>
      </w:pPr>
    </w:p>
    <w:p>
      <w:pPr>
        <w:ind w:right="520"/>
        <w:spacing w:after="0" w:line="356" w:lineRule="auto"/>
        <w:rPr>
          <w:sz w:val="20"/>
          <w:szCs w:val="20"/>
          <w:color w:val="auto"/>
        </w:rPr>
      </w:pPr>
      <w:r>
        <w:rPr>
          <w:rFonts w:ascii="Arial" w:cs="Arial" w:eastAsia="Arial" w:hAnsi="Arial"/>
          <w:sz w:val="18"/>
          <w:szCs w:val="18"/>
          <w:color w:val="auto"/>
        </w:rPr>
        <w:t>reducing the likelihood that holders of Common Stock will receive payments in the event of our liquidation, dissolution, or winding up; and delaying, deterring or preventing a change-in-control or other corporate takeover.</w:t>
      </w:r>
    </w:p>
    <w:p>
      <w:pPr>
        <w:sectPr>
          <w:pgSz w:w="11900" w:h="16838" w:orient="portrait"/>
          <w:cols w:equalWidth="0" w:num="2">
            <w:col w:w="580" w:space="240"/>
            <w:col w:w="10600"/>
          </w:cols>
          <w:pgMar w:left="240" w:top="756"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Voting Rights</w:t>
      </w:r>
    </w:p>
    <w:p>
      <w:pPr>
        <w:spacing w:after="0" w:line="94"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29" w:lineRule="exact"/>
        <w:rPr>
          <w:sz w:val="20"/>
          <w:szCs w:val="20"/>
          <w:color w:val="auto"/>
        </w:rPr>
      </w:pPr>
    </w:p>
    <w:p>
      <w:pPr>
        <w:ind w:left="820" w:right="440" w:hanging="326"/>
        <w:spacing w:after="0" w:line="258" w:lineRule="auto"/>
        <w:tabs>
          <w:tab w:leader="none" w:pos="820" w:val="left"/>
        </w:tabs>
        <w:numPr>
          <w:ilvl w:val="0"/>
          <w:numId w:val="31"/>
        </w:numPr>
        <w:rPr>
          <w:rFonts w:ascii="Arial" w:cs="Arial" w:eastAsia="Arial" w:hAnsi="Arial"/>
          <w:sz w:val="24"/>
          <w:szCs w:val="24"/>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48" w:lineRule="exact"/>
        <w:rPr>
          <w:rFonts w:ascii="Arial" w:cs="Arial" w:eastAsia="Arial" w:hAnsi="Arial"/>
          <w:sz w:val="24"/>
          <w:szCs w:val="24"/>
          <w:color w:val="auto"/>
        </w:rPr>
      </w:pPr>
    </w:p>
    <w:p>
      <w:pPr>
        <w:ind w:left="820" w:right="240" w:hanging="326"/>
        <w:spacing w:after="0" w:line="293" w:lineRule="auto"/>
        <w:tabs>
          <w:tab w:leader="none" w:pos="820" w:val="left"/>
        </w:tabs>
        <w:numPr>
          <w:ilvl w:val="0"/>
          <w:numId w:val="31"/>
        </w:numPr>
        <w:rPr>
          <w:rFonts w:ascii="Arial" w:cs="Arial" w:eastAsia="Arial" w:hAnsi="Arial"/>
          <w:sz w:val="24"/>
          <w:szCs w:val="24"/>
          <w:color w:val="auto"/>
        </w:rPr>
      </w:pPr>
      <w:r>
        <w:rPr>
          <w:rFonts w:ascii="Arial" w:cs="Arial" w:eastAsia="Arial" w:hAnsi="Arial"/>
          <w:sz w:val="18"/>
          <w:szCs w:val="18"/>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9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Certain provisions of Delaware law and our Certificate of Incorporation and Bylaws contain provisions that could have the effect of delaying, deferring or discouraging another party from acquiring control of the Company.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Certificate of Incorporation and Bylaws include provisions that:</w:t>
      </w:r>
    </w:p>
    <w:p>
      <w:pPr>
        <w:sectPr>
          <w:pgSz w:w="11900" w:h="16838" w:orient="portrait"/>
          <w:cols w:equalWidth="0" w:num="1">
            <w:col w:w="11400"/>
          </w:cols>
          <w:pgMar w:left="240" w:top="837" w:right="259" w:bottom="1440" w:gutter="0" w:footer="0" w:header="0"/>
        </w:sectPr>
      </w:pPr>
    </w:p>
    <w:p>
      <w:pPr>
        <w:spacing w:after="0" w:line="2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80"/>
        <w:spacing w:after="0" w:line="315" w:lineRule="auto"/>
        <w:rPr>
          <w:sz w:val="20"/>
          <w:szCs w:val="20"/>
          <w:color w:val="auto"/>
        </w:rPr>
      </w:pPr>
      <w:r>
        <w:rPr>
          <w:rFonts w:ascii="Arial" w:cs="Arial" w:eastAsia="Arial" w:hAnsi="Arial"/>
          <w:sz w:val="18"/>
          <w:szCs w:val="18"/>
          <w:color w:val="auto"/>
        </w:rPr>
        <w:t>authorize our board of directors to issue, without further action by the stockholders, up to 10,000,000 shares of undesignated preferred stock; require that any action to be taken by our stockholders be effected at a duly called annual or special meeting and not by written consent; specify that special meetings of our stockholders can be called only by our Board of Directors, the Chairman of the Board, the Chief Executive Officer or the President;</w:t>
      </w:r>
    </w:p>
    <w:p>
      <w:pPr>
        <w:spacing w:after="0" w:line="48" w:lineRule="exact"/>
        <w:rPr>
          <w:sz w:val="20"/>
          <w:szCs w:val="20"/>
          <w:color w:val="auto"/>
        </w:rPr>
      </w:pPr>
    </w:p>
    <w:p>
      <w:pPr>
        <w:sectPr>
          <w:pgSz w:w="11900" w:h="16838" w:orient="portrait"/>
          <w:cols w:equalWidth="0" w:num="2">
            <w:col w:w="580" w:space="240"/>
            <w:col w:w="10580"/>
          </w:cols>
          <w:pgMar w:left="240" w:top="837" w:right="259" w:bottom="1440" w:gutter="0" w:footer="0" w:header="0"/>
          <w:type w:val="continuous"/>
        </w:sectPr>
      </w:pPr>
    </w:p>
    <w:p>
      <w:pPr>
        <w:ind w:left="820" w:right="180" w:hanging="326"/>
        <w:spacing w:after="0" w:line="258" w:lineRule="auto"/>
        <w:tabs>
          <w:tab w:leader="none" w:pos="820" w:val="left"/>
        </w:tabs>
        <w:numPr>
          <w:ilvl w:val="0"/>
          <w:numId w:val="32"/>
        </w:numPr>
        <w:rPr>
          <w:rFonts w:ascii="Arial" w:cs="Arial" w:eastAsia="Arial" w:hAnsi="Arial"/>
          <w:sz w:val="24"/>
          <w:szCs w:val="24"/>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ectPr>
          <w:pgSz w:w="11900" w:h="16838" w:orient="portrait"/>
          <w:cols w:equalWidth="0" w:num="1">
            <w:col w:w="11400"/>
          </w:cols>
          <w:pgMar w:left="240" w:top="837" w:right="259" w:bottom="1440" w:gutter="0" w:footer="0" w:header="0"/>
          <w:type w:val="continuous"/>
        </w:sectPr>
      </w:pP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provide that directors may be removed only for cause;</w:t>
      </w:r>
    </w:p>
    <w:p>
      <w:pPr>
        <w:spacing w:after="0" w:line="77" w:lineRule="exact"/>
        <w:rPr>
          <w:sz w:val="20"/>
          <w:szCs w:val="20"/>
          <w:color w:val="auto"/>
        </w:rPr>
      </w:pPr>
    </w:p>
    <w:p>
      <w:pPr>
        <w:ind w:right="400"/>
        <w:spacing w:after="0" w:line="337" w:lineRule="auto"/>
        <w:rPr>
          <w:sz w:val="20"/>
          <w:szCs w:val="20"/>
          <w:color w:val="auto"/>
        </w:rPr>
      </w:pPr>
      <w:r>
        <w:rPr>
          <w:rFonts w:ascii="Arial" w:cs="Arial" w:eastAsia="Arial" w:hAnsi="Arial"/>
          <w:sz w:val="18"/>
          <w:szCs w:val="18"/>
          <w:color w:val="auto"/>
        </w:rPr>
        <w:t>provide that vacancies on our Board of Directors may be filled only by a majority of directors then in office, even though less than a quorum; establish that our Board of Directors is divided into three classes, Class I, Class II, and Class III, with each class serving staggered terms; specify that no stockholder is permitted to cumulate votes at any election of the Board of Directors; and require a super majority of votes to amend certain of the above-mentioned provisions.</w:t>
      </w:r>
    </w:p>
    <w:p>
      <w:pPr>
        <w:spacing w:after="0" w:line="174" w:lineRule="exact"/>
        <w:rPr>
          <w:sz w:val="20"/>
          <w:szCs w:val="20"/>
          <w:color w:val="auto"/>
        </w:rPr>
      </w:pPr>
    </w:p>
    <w:p>
      <w:pPr>
        <w:sectPr>
          <w:pgSz w:w="11900" w:h="16838" w:orient="portrait"/>
          <w:cols w:equalWidth="0" w:num="2">
            <w:col w:w="580" w:space="240"/>
            <w:col w:w="10580"/>
          </w:cols>
          <w:pgMar w:left="240" w:top="837" w:right="25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ind w:right="180" w:firstLine="446"/>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29" w:lineRule="exact"/>
        <w:rPr>
          <w:sz w:val="20"/>
          <w:szCs w:val="20"/>
          <w:color w:val="auto"/>
        </w:rPr>
      </w:pPr>
    </w:p>
    <w:p>
      <w:pPr>
        <w:ind w:left="820" w:right="280" w:hanging="326"/>
        <w:spacing w:after="0" w:line="276" w:lineRule="auto"/>
        <w:tabs>
          <w:tab w:leader="none" w:pos="820" w:val="left"/>
        </w:tabs>
        <w:numPr>
          <w:ilvl w:val="0"/>
          <w:numId w:val="33"/>
        </w:numPr>
        <w:rPr>
          <w:rFonts w:ascii="Arial" w:cs="Arial" w:eastAsia="Arial" w:hAnsi="Arial"/>
          <w:sz w:val="24"/>
          <w:szCs w:val="24"/>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837" w:right="259" w:bottom="1440" w:gutter="0" w:footer="0" w:header="0"/>
          <w:type w:val="continuous"/>
        </w:sectPr>
      </w:pPr>
    </w:p>
    <w:bookmarkStart w:id="105" w:name="page106"/>
    <w:bookmarkEnd w:id="105"/>
    <w:p>
      <w:pPr>
        <w:ind w:left="5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100"/>
        <w:spacing w:after="0" w:line="369" w:lineRule="auto"/>
        <w:rPr>
          <w:sz w:val="20"/>
          <w:szCs w:val="20"/>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4" w:lineRule="exact"/>
        <w:rPr>
          <w:sz w:val="20"/>
          <w:szCs w:val="20"/>
          <w:color w:val="auto"/>
        </w:rPr>
      </w:pPr>
    </w:p>
    <w:p>
      <w:pPr>
        <w:spacing w:after="0" w:line="342" w:lineRule="auto"/>
        <w:rPr>
          <w:sz w:val="20"/>
          <w:szCs w:val="20"/>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88" w:lineRule="exact"/>
        <w:rPr>
          <w:sz w:val="20"/>
          <w:szCs w:val="20"/>
          <w:color w:val="auto"/>
        </w:rPr>
      </w:pPr>
    </w:p>
    <w:p>
      <w:pPr>
        <w:sectPr>
          <w:pgSz w:w="11900" w:h="16838" w:orient="portrait"/>
          <w:cols w:equalWidth="0" w:num="2">
            <w:col w:w="580" w:space="240"/>
            <w:col w:w="10560"/>
          </w:cols>
          <w:pgMar w:left="240" w:top="592" w:right="279" w:bottom="1440" w:gutter="0" w:footer="0" w:header="0"/>
        </w:sectPr>
      </w:pPr>
    </w:p>
    <w:p>
      <w:pPr>
        <w:ind w:right="140" w:firstLine="44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04"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462 South 4th Street, Suite 1600, Louisville, KY 40202, and its telephone number is (800) 662-7232 or (781) 575-2879.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traded on The Nasdaq Global Select Market under the trading symbol “FLDM.”</w:t>
      </w: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592" w:right="27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10.13A</w:t>
      </w:r>
    </w:p>
    <w:p>
      <w:pPr>
        <w:spacing w:after="0" w:line="68"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DEFAULT WAIVER AND FIRST AMENDMENT</w:t>
      </w:r>
    </w:p>
    <w:p>
      <w:pPr>
        <w:spacing w:after="0" w:line="71"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TO</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LOAN AND SECURITY AGREEMENT</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DEFAULT WAIVER AND FIRST AMENDMENT</w:t>
      </w:r>
      <w:r>
        <w:rPr>
          <w:rFonts w:ascii="Arial" w:cs="Arial" w:eastAsia="Arial" w:hAnsi="Arial"/>
          <w:sz w:val="22"/>
          <w:szCs w:val="22"/>
          <w:color w:val="auto"/>
        </w:rPr>
        <w:t xml:space="preserve"> to Loan and Security Agreement (this “Agreement”) is entered into this </w:t>
      </w:r>
      <w:r>
        <w:rPr>
          <w:rFonts w:ascii="Arial" w:cs="Arial" w:eastAsia="Arial" w:hAnsi="Arial"/>
          <w:sz w:val="22"/>
          <w:szCs w:val="22"/>
          <w:u w:val="single" w:color="auto"/>
          <w:color w:val="auto"/>
        </w:rPr>
        <w:t>7th</w:t>
      </w:r>
      <w:r>
        <w:rPr>
          <w:rFonts w:ascii="Arial" w:cs="Arial" w:eastAsia="Arial" w:hAnsi="Arial"/>
          <w:sz w:val="22"/>
          <w:szCs w:val="22"/>
          <w:color w:val="auto"/>
        </w:rPr>
        <w:t xml:space="preserve"> day of September, 2018 (the “First Amendment Effective Date”), by and between Silicon Valley Bank (“Bank”) and FLUIDIGM CORPORATION, a Delaware corporation (“Borrower”).</w:t>
      </w:r>
    </w:p>
    <w:p>
      <w:pPr>
        <w:spacing w:after="0" w:line="217"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226" w:lineRule="exact"/>
        <w:rPr>
          <w:sz w:val="20"/>
          <w:szCs w:val="20"/>
          <w:color w:val="auto"/>
        </w:rPr>
      </w:pPr>
    </w:p>
    <w:p>
      <w:pPr>
        <w:jc w:val="both"/>
        <w:ind w:firstLine="644"/>
        <w:spacing w:after="0" w:line="223" w:lineRule="auto"/>
        <w:tabs>
          <w:tab w:leader="none" w:pos="1507"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Bank and Borrower have entered into that certain Loan and Security Agreement dated as of August 2, 2018 (as the same may from time to time be amended, modified, supplemented or restated, the “Loan Agreement”). Bank has extended credit to Borrower for the purposes permitted in the Loan Agreement.</w:t>
      </w:r>
    </w:p>
    <w:p>
      <w:pPr>
        <w:spacing w:after="0" w:line="172" w:lineRule="exact"/>
        <w:rPr>
          <w:rFonts w:ascii="Arial" w:cs="Arial" w:eastAsia="Arial" w:hAnsi="Arial"/>
          <w:sz w:val="22"/>
          <w:szCs w:val="22"/>
          <w:b w:val="1"/>
          <w:bCs w:val="1"/>
          <w:color w:val="auto"/>
        </w:rPr>
      </w:pPr>
    </w:p>
    <w:p>
      <w:pPr>
        <w:jc w:val="both"/>
        <w:ind w:firstLine="644"/>
        <w:spacing w:after="0" w:line="216" w:lineRule="auto"/>
        <w:tabs>
          <w:tab w:leader="none" w:pos="1495"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In addition, Borrower acknowledges it is currently in default of the Loan Agreement for failing to (a) deliver to Bank duly executed original signatures to the Control Agreement(s) entered into for the benefit of Bank with respect to the Bank of America Lockbox Accounts pursuant to Section 3.3(d) of the Loan Agreement and (b) opening additional cash collateral accounts with Bank of America not permitted by Section 6.8 of the Loan Agreement (each of the defaults under (a) and (b), collectively, the “Waived Defaults”).</w:t>
      </w:r>
    </w:p>
    <w:p>
      <w:pPr>
        <w:spacing w:after="0" w:line="158" w:lineRule="exact"/>
        <w:rPr>
          <w:rFonts w:ascii="Arial" w:cs="Arial" w:eastAsia="Arial" w:hAnsi="Arial"/>
          <w:sz w:val="22"/>
          <w:szCs w:val="22"/>
          <w:b w:val="1"/>
          <w:bCs w:val="1"/>
          <w:color w:val="auto"/>
        </w:rPr>
      </w:pPr>
    </w:p>
    <w:p>
      <w:pPr>
        <w:jc w:val="both"/>
        <w:ind w:firstLine="644"/>
        <w:spacing w:after="0" w:line="229" w:lineRule="auto"/>
        <w:tabs>
          <w:tab w:leader="none" w:pos="1507" w:val="left"/>
        </w:tabs>
        <w:numPr>
          <w:ilvl w:val="0"/>
          <w:numId w:val="34"/>
        </w:numPr>
        <w:rPr>
          <w:rFonts w:ascii="Arial" w:cs="Arial" w:eastAsia="Arial" w:hAnsi="Arial"/>
          <w:sz w:val="21"/>
          <w:szCs w:val="21"/>
          <w:b w:val="1"/>
          <w:bCs w:val="1"/>
          <w:color w:val="auto"/>
        </w:rPr>
      </w:pPr>
      <w:r>
        <w:rPr>
          <w:rFonts w:ascii="Arial" w:cs="Arial" w:eastAsia="Arial" w:hAnsi="Arial"/>
          <w:sz w:val="21"/>
          <w:szCs w:val="21"/>
          <w:color w:val="auto"/>
        </w:rPr>
        <w:t>Borrower has requested that Bank waive its rights and remedies against Borrower, limited specifically to the Waived Defaults. Although Bank is under no obligation to do so, Bank is willing to not exercise its rights and remedies against Borrower related to the specific Waived Defaults on the terms and conditions set forth in this Agreement, so long as Borrower complies with the terms, covenants and conditions set forth in this Agreement.</w:t>
      </w:r>
    </w:p>
    <w:p>
      <w:pPr>
        <w:spacing w:after="0" w:line="172" w:lineRule="exact"/>
        <w:rPr>
          <w:rFonts w:ascii="Arial" w:cs="Arial" w:eastAsia="Arial" w:hAnsi="Arial"/>
          <w:sz w:val="21"/>
          <w:szCs w:val="21"/>
          <w:b w:val="1"/>
          <w:bCs w:val="1"/>
          <w:color w:val="auto"/>
        </w:rPr>
      </w:pPr>
    </w:p>
    <w:p>
      <w:pPr>
        <w:jc w:val="both"/>
        <w:ind w:firstLine="644"/>
        <w:spacing w:after="0" w:line="218" w:lineRule="auto"/>
        <w:tabs>
          <w:tab w:leader="none" w:pos="1507"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Borrower has further requested that Bank amend the Loan Agreement to (1) revise the postclosing requirements and (2) make certain other revisions to the Loan Agreement as more fully set forth herein. Bank has agreed to so amend certain provisions of the Loan Agreement, but only to the extent, in accordance with the terms, subject to the conditions and in reliance upon the representations and warranties set forth below.</w:t>
      </w:r>
    </w:p>
    <w:p>
      <w:pPr>
        <w:spacing w:after="0" w:line="182"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GREEMENT</w:t>
      </w:r>
    </w:p>
    <w:p>
      <w:pPr>
        <w:spacing w:after="0" w:line="247" w:lineRule="exact"/>
        <w:rPr>
          <w:sz w:val="20"/>
          <w:szCs w:val="20"/>
          <w:color w:val="auto"/>
        </w:rPr>
      </w:pPr>
    </w:p>
    <w:p>
      <w:pPr>
        <w:ind w:firstLine="648"/>
        <w:spacing w:after="0" w:line="32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6"/>
          <w:szCs w:val="16"/>
          <w:b w:val="1"/>
          <w:bCs w:val="1"/>
          <w:color w:val="auto"/>
        </w:rPr>
        <w:t>OW</w:t>
      </w:r>
      <w:r>
        <w:rPr>
          <w:rFonts w:ascii="Arial" w:cs="Arial" w:eastAsia="Arial" w:hAnsi="Arial"/>
          <w:sz w:val="21"/>
          <w:szCs w:val="21"/>
          <w:b w:val="1"/>
          <w:bCs w:val="1"/>
          <w:color w:val="auto"/>
        </w:rPr>
        <w:t>, T</w:t>
      </w:r>
      <w:r>
        <w:rPr>
          <w:rFonts w:ascii="Arial" w:cs="Arial" w:eastAsia="Arial" w:hAnsi="Arial"/>
          <w:sz w:val="16"/>
          <w:szCs w:val="16"/>
          <w:b w:val="1"/>
          <w:bCs w:val="1"/>
          <w:color w:val="auto"/>
        </w:rPr>
        <w:t>HEREFORE</w:t>
      </w:r>
      <w:r>
        <w:rPr>
          <w:rFonts w:ascii="Arial" w:cs="Arial" w:eastAsia="Arial" w:hAnsi="Arial"/>
          <w:sz w:val="21"/>
          <w:szCs w:val="21"/>
          <w:b w:val="1"/>
          <w:bCs w:val="1"/>
          <w:color w:val="auto"/>
        </w:rPr>
        <w:t xml:space="preserve">, </w:t>
      </w:r>
      <w:r>
        <w:rPr>
          <w:rFonts w:ascii="Arial" w:cs="Arial" w:eastAsia="Arial" w:hAnsi="Arial"/>
          <w:sz w:val="21"/>
          <w:szCs w:val="21"/>
          <w:color w:val="auto"/>
        </w:rPr>
        <w:t>in consideration of the foregoing recitals and other good and valuable consideration, the receipt and</w:t>
      </w:r>
      <w:r>
        <w:rPr>
          <w:rFonts w:ascii="Arial" w:cs="Arial" w:eastAsia="Arial" w:hAnsi="Arial"/>
          <w:sz w:val="21"/>
          <w:szCs w:val="21"/>
          <w:b w:val="1"/>
          <w:bCs w:val="1"/>
          <w:color w:val="auto"/>
        </w:rPr>
        <w:t xml:space="preserve"> </w:t>
      </w:r>
      <w:r>
        <w:rPr>
          <w:rFonts w:ascii="Arial" w:cs="Arial" w:eastAsia="Arial" w:hAnsi="Arial"/>
          <w:sz w:val="21"/>
          <w:szCs w:val="21"/>
          <w:color w:val="auto"/>
        </w:rPr>
        <w:t>adequacy of which is hereby acknowledged, and intending to be legally bound, the parties hereto agree as follows:</w:t>
      </w:r>
    </w:p>
    <w:p>
      <w:pPr>
        <w:spacing w:after="0" w:line="112" w:lineRule="exact"/>
        <w:rPr>
          <w:sz w:val="20"/>
          <w:szCs w:val="20"/>
          <w:color w:val="auto"/>
        </w:rPr>
      </w:pPr>
    </w:p>
    <w:p>
      <w:pPr>
        <w:ind w:firstLine="644"/>
        <w:spacing w:after="0" w:line="282" w:lineRule="auto"/>
        <w:tabs>
          <w:tab w:leader="none" w:pos="1044"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Agreement shall have the meanings given to them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Agreement.</w:t>
      </w:r>
    </w:p>
    <w:p>
      <w:pPr>
        <w:sectPr>
          <w:pgSz w:w="11900" w:h="16838" w:orient="portrait"/>
          <w:cols w:equalWidth="0" w:num="1">
            <w:col w:w="11300"/>
          </w:cols>
          <w:pgMar w:left="360" w:top="405" w:right="239" w:bottom="1440" w:gutter="0" w:footer="0" w:header="0"/>
        </w:sectPr>
      </w:pPr>
    </w:p>
    <w:bookmarkStart w:id="107" w:name="page108"/>
    <w:bookmarkEnd w:id="107"/>
    <w:p>
      <w:pPr>
        <w:jc w:val="both"/>
        <w:ind w:left="4" w:firstLine="644"/>
        <w:spacing w:after="0" w:line="357" w:lineRule="auto"/>
        <w:tabs>
          <w:tab w:leader="none" w:pos="1048"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of Default. </w:t>
      </w:r>
      <w:r>
        <w:rPr>
          <w:rFonts w:ascii="Arial" w:cs="Arial" w:eastAsia="Arial" w:hAnsi="Arial"/>
          <w:sz w:val="19"/>
          <w:szCs w:val="19"/>
          <w:color w:val="auto"/>
        </w:rPr>
        <w:t>Bank hereby waives filing any legal action or instituting or enforcing any rights and remedies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have against Borrower with respect </w:t>
      </w:r>
      <w:r>
        <w:rPr>
          <w:rFonts w:ascii="Arial" w:cs="Arial" w:eastAsia="Arial" w:hAnsi="Arial"/>
          <w:sz w:val="17"/>
          <w:szCs w:val="17"/>
          <w:color w:val="auto"/>
        </w:rPr>
        <w:t>to the Waived Defaults. Bank’s waiver of Borrower’s compliance with Sections 3.3(d) and 6.8</w:t>
      </w:r>
      <w:r>
        <w:rPr>
          <w:rFonts w:ascii="Arial" w:cs="Arial" w:eastAsia="Arial" w:hAnsi="Arial"/>
          <w:sz w:val="19"/>
          <w:szCs w:val="19"/>
          <w:color w:val="auto"/>
        </w:rPr>
        <w:t xml:space="preserve"> </w:t>
      </w:r>
      <w:r>
        <w:rPr>
          <w:rFonts w:ascii="Arial" w:cs="Arial" w:eastAsia="Arial" w:hAnsi="Arial"/>
          <w:sz w:val="17"/>
          <w:szCs w:val="17"/>
          <w:color w:val="auto"/>
        </w:rPr>
        <w:t>shall apply only with respect to Borrower’s failure to do so as of the First Amendment Effective Date. Accordingly, hereinafter, Borrower shall be in compliance with such sections. Bank’s agreement to waive the Waived Defaults (a) in no way shall be deemed an agreement by Bank to waive Borrower’s compliance with the above-referenced sections as of all other dates after the First Amendment Effective Date, and</w:t>
      </w:r>
    </w:p>
    <w:p>
      <w:pPr>
        <w:ind w:left="4" w:hanging="4"/>
        <w:spacing w:after="0" w:line="331" w:lineRule="auto"/>
        <w:tabs>
          <w:tab w:leader="none" w:pos="301" w:val="left"/>
        </w:tabs>
        <w:numPr>
          <w:ilvl w:val="0"/>
          <w:numId w:val="37"/>
        </w:numPr>
        <w:rPr>
          <w:rFonts w:ascii="Arial" w:cs="Arial" w:eastAsia="Arial" w:hAnsi="Arial"/>
          <w:sz w:val="20"/>
          <w:szCs w:val="20"/>
          <w:color w:val="auto"/>
        </w:rPr>
      </w:pPr>
      <w:r>
        <w:rPr>
          <w:rFonts w:ascii="Arial" w:cs="Arial" w:eastAsia="Arial" w:hAnsi="Arial"/>
          <w:sz w:val="20"/>
          <w:szCs w:val="20"/>
          <w:color w:val="auto"/>
        </w:rPr>
        <w:t>shall not limit or impair the Bank’s right to demand strict performance of such sections as of all other dates after the First Amendment Effective Date.</w:t>
      </w:r>
    </w:p>
    <w:p>
      <w:pPr>
        <w:spacing w:after="0" w:line="151" w:lineRule="exact"/>
        <w:rPr>
          <w:rFonts w:ascii="Arial" w:cs="Arial" w:eastAsia="Arial" w:hAnsi="Arial"/>
          <w:sz w:val="20"/>
          <w:szCs w:val="20"/>
          <w:color w:val="auto"/>
        </w:rPr>
      </w:pPr>
    </w:p>
    <w:p>
      <w:pPr>
        <w:ind w:left="1304" w:hanging="656"/>
        <w:spacing w:after="0"/>
        <w:tabs>
          <w:tab w:leader="none" w:pos="1304"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r>
        <w:rPr>
          <w:rFonts w:ascii="Arial" w:cs="Arial" w:eastAsia="Arial" w:hAnsi="Arial"/>
          <w:sz w:val="22"/>
          <w:szCs w:val="22"/>
          <w:color w:val="auto"/>
        </w:rPr>
        <w:t>.</w:t>
      </w:r>
    </w:p>
    <w:p>
      <w:pPr>
        <w:spacing w:after="0" w:line="220" w:lineRule="exact"/>
        <w:rPr>
          <w:sz w:val="20"/>
          <w:szCs w:val="20"/>
          <w:color w:val="auto"/>
        </w:rPr>
      </w:pPr>
    </w:p>
    <w:p>
      <w:pPr>
        <w:ind w:left="4" w:firstLine="1297"/>
        <w:spacing w:after="0" w:line="282" w:lineRule="auto"/>
        <w:rPr>
          <w:sz w:val="20"/>
          <w:szCs w:val="20"/>
          <w:color w:val="auto"/>
        </w:rPr>
      </w:pPr>
      <w:r>
        <w:rPr>
          <w:rFonts w:ascii="Arial" w:cs="Arial" w:eastAsia="Arial" w:hAnsi="Arial"/>
          <w:sz w:val="22"/>
          <w:szCs w:val="22"/>
          <w:b w:val="1"/>
          <w:bCs w:val="1"/>
          <w:color w:val="auto"/>
        </w:rPr>
        <w:t>3.1 Section 3.3 (Covenant to Deliver)</w:t>
      </w:r>
      <w:r>
        <w:rPr>
          <w:rFonts w:ascii="Arial" w:cs="Arial" w:eastAsia="Arial" w:hAnsi="Arial"/>
          <w:sz w:val="22"/>
          <w:szCs w:val="22"/>
          <w:color w:val="auto"/>
        </w:rPr>
        <w:t>. Sections 3.3(b), (c) and (d) of the Loan Agreement are amended in their</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and replaced with the following:</w:t>
      </w:r>
    </w:p>
    <w:p>
      <w:pPr>
        <w:spacing w:after="0" w:line="154" w:lineRule="exact"/>
        <w:rPr>
          <w:sz w:val="20"/>
          <w:szCs w:val="20"/>
          <w:color w:val="auto"/>
        </w:rPr>
      </w:pPr>
    </w:p>
    <w:p>
      <w:pPr>
        <w:jc w:val="both"/>
        <w:ind w:left="644"/>
        <w:spacing w:after="0" w:line="312" w:lineRule="auto"/>
        <w:rPr>
          <w:sz w:val="20"/>
          <w:szCs w:val="20"/>
          <w:color w:val="auto"/>
        </w:rPr>
      </w:pPr>
      <w:r>
        <w:rPr>
          <w:rFonts w:ascii="Arial" w:cs="Arial" w:eastAsia="Arial" w:hAnsi="Arial"/>
          <w:sz w:val="19"/>
          <w:szCs w:val="19"/>
          <w:color w:val="auto"/>
        </w:rPr>
        <w:t>“(b) As soon as possible, but in any event not later than sixty (60) days after the Effective Date, Borrower shall deliver to Bank a landlord’s consent in favor of Bank for Borrower’s leased location at 7000 Shoreline Court, Suite 100, San Francisco, CA 94080, by the respective landlord thereof, together with the duly executed original signatures thereto.</w:t>
      </w:r>
    </w:p>
    <w:p>
      <w:pPr>
        <w:spacing w:after="0" w:line="107" w:lineRule="exact"/>
        <w:rPr>
          <w:sz w:val="20"/>
          <w:szCs w:val="20"/>
          <w:color w:val="auto"/>
        </w:rPr>
      </w:pPr>
    </w:p>
    <w:p>
      <w:pPr>
        <w:jc w:val="both"/>
        <w:ind w:left="644" w:firstLine="4"/>
        <w:spacing w:after="0" w:line="216" w:lineRule="auto"/>
        <w:tabs>
          <w:tab w:leader="none" w:pos="1532"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soon as possible, but in any event not later than sixty (60) days after the Effective Date, Borrower shall deliver to Bank a bailee’s waiver in favor of Bank for each location where Borrower maintains property with a third party, by each such third party, together with the duly executed original signatures thereto. For the avoidance of doubt, only Inventory stored at a location that is subject to a landlord consent or bailee waiver in favor of Bank shall be considered Eligible Inventory.</w:t>
      </w:r>
    </w:p>
    <w:p>
      <w:pPr>
        <w:spacing w:after="0" w:line="158" w:lineRule="exact"/>
        <w:rPr>
          <w:rFonts w:ascii="Arial" w:cs="Arial" w:eastAsia="Arial" w:hAnsi="Arial"/>
          <w:sz w:val="22"/>
          <w:szCs w:val="22"/>
          <w:color w:val="auto"/>
        </w:rPr>
      </w:pPr>
    </w:p>
    <w:p>
      <w:pPr>
        <w:jc w:val="both"/>
        <w:ind w:left="644" w:firstLine="4"/>
        <w:spacing w:after="0" w:line="223" w:lineRule="auto"/>
        <w:tabs>
          <w:tab w:leader="none" w:pos="15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soon as possible, but in any event not later than sixty (60) days after the Effective Date, Bank shall have received duly executed original signatures to the Control Agreement(s) entered into for the benefit of Bank with respect to the Bank of America Lockbox Accounts.”</w:t>
      </w:r>
    </w:p>
    <w:p>
      <w:pPr>
        <w:spacing w:after="0" w:line="194" w:lineRule="exact"/>
        <w:rPr>
          <w:sz w:val="20"/>
          <w:szCs w:val="20"/>
          <w:color w:val="auto"/>
        </w:rPr>
      </w:pPr>
    </w:p>
    <w:p>
      <w:pPr>
        <w:ind w:left="1304"/>
        <w:spacing w:after="0"/>
        <w:tabs>
          <w:tab w:leader="none" w:pos="1784"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Section 6.8 (Accounts)</w:t>
      </w:r>
      <w:r>
        <w:rPr>
          <w:rFonts w:ascii="Arial" w:cs="Arial" w:eastAsia="Arial" w:hAnsi="Arial"/>
          <w:sz w:val="19"/>
          <w:szCs w:val="19"/>
          <w:color w:val="auto"/>
        </w:rPr>
        <w:t>. Section 6.8(a) of the Loan Agreement is amended in its entirety and replaced with</w:t>
      </w:r>
    </w:p>
    <w:p>
      <w:pPr>
        <w:spacing w:after="0" w:line="28"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following:</w:t>
      </w:r>
    </w:p>
    <w:p>
      <w:pPr>
        <w:spacing w:after="0" w:line="215" w:lineRule="exact"/>
        <w:rPr>
          <w:sz w:val="20"/>
          <w:szCs w:val="20"/>
          <w:color w:val="auto"/>
        </w:rPr>
      </w:pPr>
    </w:p>
    <w:p>
      <w:pPr>
        <w:ind w:left="644" w:firstLine="648"/>
        <w:spacing w:after="0" w:line="251" w:lineRule="auto"/>
        <w:rPr>
          <w:sz w:val="20"/>
          <w:szCs w:val="20"/>
          <w:color w:val="auto"/>
        </w:rPr>
      </w:pPr>
      <w:r>
        <w:rPr>
          <w:rFonts w:ascii="Arial" w:cs="Arial" w:eastAsia="Arial" w:hAnsi="Arial"/>
          <w:sz w:val="22"/>
          <w:szCs w:val="22"/>
          <w:color w:val="auto"/>
        </w:rPr>
        <w:t>“(a) Maintain its and all of its Subsidiaries’ operating and other deposit accounts, the Cash Collateral Account and excess cash with Bank and Bank’s Affiliates; provided, however, notwithstanding the foregoing,</w:t>
      </w:r>
    </w:p>
    <w:p>
      <w:pPr>
        <w:spacing w:after="0" w:line="2" w:lineRule="exact"/>
        <w:rPr>
          <w:sz w:val="20"/>
          <w:szCs w:val="20"/>
          <w:color w:val="auto"/>
        </w:rPr>
      </w:pPr>
    </w:p>
    <w:p>
      <w:pPr>
        <w:jc w:val="both"/>
        <w:ind w:left="644" w:firstLine="4"/>
        <w:spacing w:after="0" w:line="244" w:lineRule="auto"/>
        <w:tabs>
          <w:tab w:leader="none" w:pos="9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Borrower may maintain (a) subject to a Control Agreement entered into for the benefit of Bank, its existing collections accounts at Bank of America listed on the Perfection Certificate delivered by Borrower to Bank on or prior to the Effective Date (the “</w:t>
      </w:r>
      <w:r>
        <w:rPr>
          <w:rFonts w:ascii="Arial" w:cs="Arial" w:eastAsia="Arial" w:hAnsi="Arial"/>
          <w:sz w:val="22"/>
          <w:szCs w:val="22"/>
          <w:b w:val="1"/>
          <w:bCs w:val="1"/>
          <w:color w:val="auto"/>
        </w:rPr>
        <w:t>Bank of America Lockbox Accounts</w:t>
      </w:r>
      <w:r>
        <w:rPr>
          <w:rFonts w:ascii="Arial" w:cs="Arial" w:eastAsia="Arial" w:hAnsi="Arial"/>
          <w:sz w:val="22"/>
          <w:szCs w:val="22"/>
          <w:color w:val="auto"/>
        </w:rPr>
        <w:t>”) so long as such accounts are blocked and all amounts in such accounts are swept to the Cash Collateral Account on a daily basis, (b) subject to a Control Agreement entered into for the benefit of Bank, depository accounts (other</w:t>
      </w:r>
    </w:p>
    <w:p>
      <w:pPr>
        <w:sectPr>
          <w:pgSz w:w="11900" w:h="16838" w:orient="portrait"/>
          <w:cols w:equalWidth="0" w:num="1">
            <w:col w:w="11304"/>
          </w:cols>
          <w:pgMar w:left="356" w:top="423" w:right="239" w:bottom="1440" w:gutter="0" w:footer="0" w:header="0"/>
        </w:sectPr>
      </w:pPr>
    </w:p>
    <w:bookmarkStart w:id="108" w:name="page109"/>
    <w:bookmarkEnd w:id="108"/>
    <w:p>
      <w:pPr>
        <w:jc w:val="both"/>
        <w:ind w:left="640"/>
        <w:spacing w:after="0" w:line="285" w:lineRule="auto"/>
        <w:rPr>
          <w:sz w:val="20"/>
          <w:szCs w:val="20"/>
          <w:color w:val="auto"/>
        </w:rPr>
      </w:pPr>
      <w:r>
        <w:rPr>
          <w:rFonts w:ascii="Arial" w:cs="Arial" w:eastAsia="Arial" w:hAnsi="Arial"/>
          <w:sz w:val="19"/>
          <w:szCs w:val="19"/>
          <w:color w:val="auto"/>
        </w:rPr>
        <w:t>than the Bank of America Payroll Account) at Bank of America (the “</w:t>
      </w:r>
      <w:r>
        <w:rPr>
          <w:rFonts w:ascii="Arial" w:cs="Arial" w:eastAsia="Arial" w:hAnsi="Arial"/>
          <w:sz w:val="19"/>
          <w:szCs w:val="19"/>
          <w:b w:val="1"/>
          <w:bCs w:val="1"/>
          <w:color w:val="auto"/>
        </w:rPr>
        <w:t>Bank of America Deposit Accounts</w:t>
      </w:r>
      <w:r>
        <w:rPr>
          <w:rFonts w:ascii="Arial" w:cs="Arial" w:eastAsia="Arial" w:hAnsi="Arial"/>
          <w:sz w:val="19"/>
          <w:szCs w:val="19"/>
          <w:color w:val="auto"/>
        </w:rPr>
        <w:t>”) so long as the aggregate amount of cash in such accounts does not, at any time, exceed Three Million Five Hundred Thousand Dollars ($3,500,000) in the aggregate, (c) its existing payroll account at Bank of America listed on the Perfection Certificate delivered by Borrower to Bank on or prior to the Effective Date (the “</w:t>
      </w:r>
      <w:r>
        <w:rPr>
          <w:rFonts w:ascii="Arial" w:cs="Arial" w:eastAsia="Arial" w:hAnsi="Arial"/>
          <w:sz w:val="19"/>
          <w:szCs w:val="19"/>
          <w:b w:val="1"/>
          <w:bCs w:val="1"/>
          <w:color w:val="auto"/>
        </w:rPr>
        <w:t>Bank of America Payroll Account</w:t>
      </w:r>
      <w:r>
        <w:rPr>
          <w:rFonts w:ascii="Arial" w:cs="Arial" w:eastAsia="Arial" w:hAnsi="Arial"/>
          <w:sz w:val="19"/>
          <w:szCs w:val="19"/>
          <w:color w:val="auto"/>
        </w:rPr>
        <w:t>”) so long as the aggregate amount of cash in such accounts does not, at any time, exceed an amount equal to one hundred percent (100%) of the next payroll (including but not limited to any bonuses payable), (d) for a period of time not to exceed twelve (12) months following the Effective Date, its existing account at Wells Fargo Bank listed on the Perfection Certificate delivered by Borrower to Bank on or prior to the Effective Date (the “</w:t>
      </w:r>
      <w:r>
        <w:rPr>
          <w:rFonts w:ascii="Arial" w:cs="Arial" w:eastAsia="Arial" w:hAnsi="Arial"/>
          <w:sz w:val="19"/>
          <w:szCs w:val="19"/>
          <w:b w:val="1"/>
          <w:bCs w:val="1"/>
          <w:color w:val="auto"/>
        </w:rPr>
        <w:t>Wells Fargo Account</w:t>
      </w:r>
      <w:r>
        <w:rPr>
          <w:rFonts w:ascii="Arial" w:cs="Arial" w:eastAsia="Arial" w:hAnsi="Arial"/>
          <w:sz w:val="19"/>
          <w:szCs w:val="19"/>
          <w:color w:val="auto"/>
        </w:rPr>
        <w:t>”) so long as the aggregate amount of cash in such account does not, at any time, exceed Four Hundred Thousand Dollars ($400,000) in the aggregate, (e) for a period of time not to exceed (12) months following the Effective Date, its existing account at Bridge Bank listed on the Perfection Certificate delivered by Borrower to Bank on or prior to the Effective Date (the “</w:t>
      </w:r>
      <w:r>
        <w:rPr>
          <w:rFonts w:ascii="Arial" w:cs="Arial" w:eastAsia="Arial" w:hAnsi="Arial"/>
          <w:sz w:val="19"/>
          <w:szCs w:val="19"/>
          <w:b w:val="1"/>
          <w:bCs w:val="1"/>
          <w:color w:val="auto"/>
        </w:rPr>
        <w:t>Bridge</w:t>
      </w:r>
      <w:r>
        <w:rPr>
          <w:rFonts w:ascii="Arial" w:cs="Arial" w:eastAsia="Arial" w:hAnsi="Arial"/>
          <w:sz w:val="19"/>
          <w:szCs w:val="19"/>
          <w:color w:val="auto"/>
        </w:rPr>
        <w:t xml:space="preserve"> </w:t>
      </w:r>
      <w:r>
        <w:rPr>
          <w:rFonts w:ascii="Arial" w:cs="Arial" w:eastAsia="Arial" w:hAnsi="Arial"/>
          <w:sz w:val="19"/>
          <w:szCs w:val="19"/>
          <w:b w:val="1"/>
          <w:bCs w:val="1"/>
          <w:color w:val="auto"/>
        </w:rPr>
        <w:t>Bank Account</w:t>
      </w:r>
      <w:r>
        <w:rPr>
          <w:rFonts w:ascii="Arial" w:cs="Arial" w:eastAsia="Arial" w:hAnsi="Arial"/>
          <w:sz w:val="19"/>
          <w:szCs w:val="19"/>
          <w:color w:val="auto"/>
        </w:rPr>
        <w:t>”) so long as the aggregate amount of cash in such account does not, at any time, exceed Sixty Thousand</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($60,000) in the aggregate, and (f) accounts securing Indebtedness described in subsection (j) of the defined term Permitted Indebtedness so long as the aggregate amount of cash in such accounts does not, at any time, exceed Eight Hundred Forty Thousand Dollars ($840,000) in the aggregate and (II) Borrower’s Foreign Subsidiaries may maintain accounts with banks outside of the United States so long as the aggregate amount of cash in such account does not, at any time, exceed the lesser of (i) Eight Million Dollars ($8,000,000) or (ii) thirty percent (30%) of all of Borrower’s and its Subsidiaries’ cash in the aggregate. In addition, Borrower (i) shall use its best efforts to use Bank Services provided such Bank Services meet Borrower’s ordinary course of business needs and (ii) Borrower shall maintain all its credit cards with Bank.”</w:t>
      </w:r>
    </w:p>
    <w:p>
      <w:pPr>
        <w:spacing w:after="0" w:line="200" w:lineRule="exact"/>
        <w:rPr>
          <w:sz w:val="20"/>
          <w:szCs w:val="20"/>
          <w:color w:val="auto"/>
        </w:rPr>
      </w:pPr>
    </w:p>
    <w:p>
      <w:pPr>
        <w:spacing w:after="0" w:line="218" w:lineRule="exact"/>
        <w:rPr>
          <w:sz w:val="20"/>
          <w:szCs w:val="20"/>
          <w:color w:val="auto"/>
        </w:rPr>
      </w:pPr>
    </w:p>
    <w:p>
      <w:pPr>
        <w:ind w:firstLine="1297"/>
        <w:spacing w:after="0" w:line="282" w:lineRule="auto"/>
        <w:rPr>
          <w:sz w:val="20"/>
          <w:szCs w:val="20"/>
          <w:color w:val="auto"/>
        </w:rPr>
      </w:pPr>
      <w:r>
        <w:rPr>
          <w:rFonts w:ascii="Arial" w:cs="Arial" w:eastAsia="Arial" w:hAnsi="Arial"/>
          <w:sz w:val="22"/>
          <w:szCs w:val="22"/>
          <w:b w:val="1"/>
          <w:bCs w:val="1"/>
          <w:color w:val="auto"/>
        </w:rPr>
        <w:t>3.3 Section 13 (Definitions)</w:t>
      </w:r>
      <w:r>
        <w:rPr>
          <w:rFonts w:ascii="Arial" w:cs="Arial" w:eastAsia="Arial" w:hAnsi="Arial"/>
          <w:sz w:val="22"/>
          <w:szCs w:val="22"/>
          <w:color w:val="auto"/>
        </w:rPr>
        <w:t>. Subsection (j) of the defined term Permitted Indebtedness set forth in Section 13.1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Loan Agreement, as appropriate, as follows:</w:t>
      </w:r>
    </w:p>
    <w:p>
      <w:pPr>
        <w:spacing w:after="0" w:line="154" w:lineRule="exact"/>
        <w:rPr>
          <w:sz w:val="20"/>
          <w:szCs w:val="20"/>
          <w:color w:val="auto"/>
        </w:rPr>
      </w:pPr>
    </w:p>
    <w:p>
      <w:pPr>
        <w:jc w:val="both"/>
        <w:ind w:left="640" w:firstLine="648"/>
        <w:spacing w:after="0" w:line="253" w:lineRule="auto"/>
        <w:rPr>
          <w:sz w:val="20"/>
          <w:szCs w:val="20"/>
          <w:color w:val="auto"/>
        </w:rPr>
      </w:pPr>
      <w:r>
        <w:rPr>
          <w:rFonts w:ascii="Arial" w:cs="Arial" w:eastAsia="Arial" w:hAnsi="Arial"/>
          <w:sz w:val="22"/>
          <w:szCs w:val="22"/>
          <w:color w:val="auto"/>
        </w:rPr>
        <w:t>“(j) Indebtedness consisting of reimbursement obligations in respect of letters of credit, bank guarantees or bankers</w:t>
      </w:r>
      <w:r>
        <w:rPr>
          <w:rFonts w:ascii="Arial" w:cs="Arial" w:eastAsia="Arial" w:hAnsi="Arial"/>
          <w:sz w:val="22"/>
          <w:szCs w:val="22"/>
          <w:b w:val="1"/>
          <w:bCs w:val="1"/>
          <w:color w:val="auto"/>
        </w:rPr>
        <w:t>’</w:t>
      </w:r>
      <w:r>
        <w:rPr>
          <w:rFonts w:ascii="Arial" w:cs="Arial" w:eastAsia="Arial" w:hAnsi="Arial"/>
          <w:sz w:val="22"/>
          <w:szCs w:val="22"/>
          <w:color w:val="auto"/>
        </w:rPr>
        <w:t xml:space="preserve"> acceptances issued for the benefit of customers, suppliers or distributors located in foreign jurisdictions in a face amount not to exceed Seven Hundred Thousand Dollars ($700,000);”</w:t>
      </w:r>
    </w:p>
    <w:p>
      <w:pPr>
        <w:spacing w:after="0" w:line="180" w:lineRule="exact"/>
        <w:rPr>
          <w:sz w:val="20"/>
          <w:szCs w:val="20"/>
          <w:color w:val="auto"/>
        </w:rPr>
      </w:pPr>
    </w:p>
    <w:p>
      <w:pPr>
        <w:ind w:firstLine="1297"/>
        <w:spacing w:after="0" w:line="282" w:lineRule="auto"/>
        <w:rPr>
          <w:sz w:val="20"/>
          <w:szCs w:val="20"/>
          <w:color w:val="auto"/>
        </w:rPr>
      </w:pPr>
      <w:r>
        <w:rPr>
          <w:rFonts w:ascii="Arial" w:cs="Arial" w:eastAsia="Arial" w:hAnsi="Arial"/>
          <w:sz w:val="22"/>
          <w:szCs w:val="22"/>
          <w:b w:val="1"/>
          <w:bCs w:val="1"/>
          <w:color w:val="auto"/>
        </w:rPr>
        <w:t>3.4 Exhibit A</w:t>
      </w:r>
      <w:r>
        <w:rPr>
          <w:rFonts w:ascii="Arial" w:cs="Arial" w:eastAsia="Arial" w:hAnsi="Arial"/>
          <w:sz w:val="22"/>
          <w:szCs w:val="22"/>
          <w:color w:val="auto"/>
        </w:rPr>
        <w:t>. Exhibit A to the Loan Agreement shall be amended and restated in its entirety in the form attached</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as Exhibit A.</w:t>
      </w:r>
    </w:p>
    <w:p>
      <w:pPr>
        <w:spacing w:after="0" w:line="148" w:lineRule="exact"/>
        <w:rPr>
          <w:sz w:val="20"/>
          <w:szCs w:val="20"/>
          <w:color w:val="auto"/>
        </w:rPr>
      </w:pPr>
    </w:p>
    <w:p>
      <w:pPr>
        <w:ind w:left="640"/>
        <w:spacing w:after="0"/>
        <w:tabs>
          <w:tab w:leader="none" w:pos="9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Limitation</w:t>
      </w:r>
      <w:r>
        <w:rPr>
          <w:rFonts w:ascii="Arial" w:cs="Arial" w:eastAsia="Arial" w:hAnsi="Arial"/>
          <w:sz w:val="17"/>
          <w:szCs w:val="17"/>
          <w:color w:val="auto"/>
        </w:rPr>
        <w:t>.</w:t>
      </w:r>
    </w:p>
    <w:p>
      <w:pPr>
        <w:sectPr>
          <w:pgSz w:w="11900" w:h="16838" w:orient="portrait"/>
          <w:cols w:equalWidth="0" w:num="1">
            <w:col w:w="11300"/>
          </w:cols>
          <w:pgMar w:left="360" w:top="342" w:right="239" w:bottom="1440" w:gutter="0" w:footer="0" w:header="0"/>
        </w:sectPr>
      </w:pPr>
    </w:p>
    <w:bookmarkStart w:id="109" w:name="page110"/>
    <w:bookmarkEnd w:id="109"/>
    <w:p>
      <w:pPr>
        <w:jc w:val="both"/>
        <w:ind w:left="4" w:firstLine="1297"/>
        <w:spacing w:after="0" w:line="256"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This Agreement is effective for the purposes set forth herein and shall be limited precisely as written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7" w:lineRule="exact"/>
        <w:rPr>
          <w:sz w:val="20"/>
          <w:szCs w:val="20"/>
          <w:color w:val="auto"/>
        </w:rPr>
      </w:pPr>
    </w:p>
    <w:p>
      <w:pPr>
        <w:jc w:val="both"/>
        <w:ind w:left="4" w:right="20" w:firstLine="1297"/>
        <w:spacing w:after="0" w:line="262"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This Agreement shall be construed in connection with and as part of the Loan Documents, and all terms,</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representations, warranties, covenants and agreements set forth in the Loan Documents are hereby ratified and confirmed and shall remain in full force and effect.</w:t>
      </w:r>
    </w:p>
    <w:p>
      <w:pPr>
        <w:spacing w:after="0" w:line="184" w:lineRule="exact"/>
        <w:rPr>
          <w:sz w:val="20"/>
          <w:szCs w:val="20"/>
          <w:color w:val="auto"/>
        </w:rPr>
      </w:pPr>
    </w:p>
    <w:p>
      <w:pPr>
        <w:ind w:left="984" w:hanging="336"/>
        <w:spacing w:after="0"/>
        <w:tabs>
          <w:tab w:leader="none" w:pos="984"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Borrower represents and warrants to Bank as follows:</w:t>
      </w:r>
    </w:p>
    <w:p>
      <w:pPr>
        <w:spacing w:after="0" w:line="233" w:lineRule="exact"/>
        <w:rPr>
          <w:sz w:val="20"/>
          <w:szCs w:val="20"/>
          <w:color w:val="auto"/>
        </w:rPr>
      </w:pPr>
    </w:p>
    <w:p>
      <w:pPr>
        <w:jc w:val="both"/>
        <w:ind w:left="4" w:firstLine="1297"/>
        <w:spacing w:after="0" w:line="256"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(a) the representations and warranties contained in the Loan Documents are true, accurate and complete in all</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respects as of the date hereof (except to the extent such representations and warranties relate to an earlier date, in which case they are true and correct as of such date), and (b) no Event of Default other than and the Waived Defaults has occurred and is continuing;</w:t>
      </w:r>
    </w:p>
    <w:p>
      <w:pPr>
        <w:spacing w:after="0" w:line="177" w:lineRule="exact"/>
        <w:rPr>
          <w:sz w:val="20"/>
          <w:szCs w:val="20"/>
          <w:color w:val="auto"/>
        </w:rPr>
      </w:pPr>
    </w:p>
    <w:p>
      <w:pPr>
        <w:jc w:val="both"/>
        <w:ind w:left="4" w:firstLine="1297"/>
        <w:spacing w:after="0" w:line="282"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Borrower has the power and authority to execute and deliver this Agreement and to perform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Loan Agreement;</w:t>
      </w:r>
    </w:p>
    <w:p>
      <w:pPr>
        <w:spacing w:after="0" w:line="148" w:lineRule="exact"/>
        <w:rPr>
          <w:sz w:val="20"/>
          <w:szCs w:val="20"/>
          <w:color w:val="auto"/>
        </w:rPr>
      </w:pPr>
    </w:p>
    <w:p>
      <w:pPr>
        <w:jc w:val="both"/>
        <w:ind w:left="4" w:firstLine="1297"/>
        <w:spacing w:after="0" w:line="364"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color w:val="auto"/>
        </w:rPr>
        <w:t>The organizational documents of Borrower delivered to Bank on the Effective Date remain true, accurate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and have not been amended, supplemented or restated and are and continue to be in full force and effect;</w:t>
      </w:r>
    </w:p>
    <w:p>
      <w:pPr>
        <w:spacing w:after="0" w:line="80" w:lineRule="exact"/>
        <w:rPr>
          <w:sz w:val="20"/>
          <w:szCs w:val="20"/>
          <w:color w:val="auto"/>
        </w:rPr>
      </w:pPr>
    </w:p>
    <w:p>
      <w:pPr>
        <w:jc w:val="both"/>
        <w:ind w:left="4" w:firstLine="1297"/>
        <w:spacing w:after="0" w:line="28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The execution and delivery by Borrower of this Agreement and the performance by Borrower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have been duly authorized by all necessary action on the part of Borrower;</w:t>
      </w:r>
    </w:p>
    <w:p>
      <w:pPr>
        <w:spacing w:after="0" w:line="148" w:lineRule="exact"/>
        <w:rPr>
          <w:sz w:val="20"/>
          <w:szCs w:val="20"/>
          <w:color w:val="auto"/>
        </w:rPr>
      </w:pPr>
    </w:p>
    <w:p>
      <w:pPr>
        <w:jc w:val="both"/>
        <w:ind w:left="4" w:firstLine="1297"/>
        <w:spacing w:after="0" w:line="302"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color w:val="auto"/>
        </w:rPr>
        <w:t>The execution and delivery by Borrower of this Agreement and the performance by Borrower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the Loan Agreement do not and will not contravene (a) any law or regulation binding on or affecting Borrower,</w:t>
      </w:r>
    </w:p>
    <w:p>
      <w:pPr>
        <w:spacing w:after="0" w:line="1" w:lineRule="exact"/>
        <w:rPr>
          <w:sz w:val="20"/>
          <w:szCs w:val="20"/>
          <w:color w:val="auto"/>
        </w:rPr>
      </w:pPr>
    </w:p>
    <w:p>
      <w:pPr>
        <w:jc w:val="both"/>
        <w:ind w:left="4" w:hanging="4"/>
        <w:spacing w:after="0" w:line="245" w:lineRule="auto"/>
        <w:tabs>
          <w:tab w:leader="none" w:pos="351"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201" w:lineRule="exact"/>
        <w:rPr>
          <w:sz w:val="20"/>
          <w:szCs w:val="20"/>
          <w:color w:val="auto"/>
        </w:rPr>
      </w:pPr>
    </w:p>
    <w:p>
      <w:pPr>
        <w:jc w:val="both"/>
        <w:ind w:left="4" w:firstLine="1297"/>
        <w:spacing w:after="0" w:line="256"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The execution and delivery by Borrower of this Agreement and the performance by Borrower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63" w:lineRule="exact"/>
        <w:rPr>
          <w:sz w:val="20"/>
          <w:szCs w:val="20"/>
          <w:color w:val="auto"/>
        </w:rPr>
      </w:pPr>
    </w:p>
    <w:p>
      <w:pPr>
        <w:jc w:val="both"/>
        <w:ind w:left="4" w:firstLine="1297"/>
        <w:spacing w:after="0" w:line="262" w:lineRule="auto"/>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color w:val="auto"/>
        </w:rPr>
        <w:t>This Agreement has been duly executed and delivered by Borrower and is the binding obligation of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against Borrower in accordance with its terms, except as such enforceability may be limited by bankruptcy, insolvency,</w:t>
      </w:r>
    </w:p>
    <w:p>
      <w:pPr>
        <w:sectPr>
          <w:pgSz w:w="11900" w:h="16838" w:orient="portrait"/>
          <w:cols w:equalWidth="0" w:num="1">
            <w:col w:w="11304"/>
          </w:cols>
          <w:pgMar w:left="356" w:top="342" w:right="239" w:bottom="1440" w:gutter="0" w:footer="0" w:header="0"/>
        </w:sectPr>
      </w:pPr>
    </w:p>
    <w:bookmarkStart w:id="110" w:name="page111"/>
    <w:bookmarkEnd w:id="110"/>
    <w:p>
      <w:pPr>
        <w:ind w:right="20"/>
        <w:spacing w:after="0" w:line="260" w:lineRule="auto"/>
        <w:rPr>
          <w:sz w:val="20"/>
          <w:szCs w:val="20"/>
          <w:color w:val="auto"/>
        </w:rPr>
      </w:pPr>
      <w:r>
        <w:rPr>
          <w:rFonts w:ascii="Arial" w:cs="Arial" w:eastAsia="Arial" w:hAnsi="Arial"/>
          <w:sz w:val="20"/>
          <w:szCs w:val="20"/>
          <w:color w:val="auto"/>
        </w:rPr>
        <w:t>reorganization, liquidation, moratorium or other similar laws of general application and equitable principles relating to or affecting creditors’ rights.</w:t>
      </w:r>
    </w:p>
    <w:p>
      <w:pPr>
        <w:spacing w:after="0" w:line="180" w:lineRule="exact"/>
        <w:rPr>
          <w:sz w:val="20"/>
          <w:szCs w:val="20"/>
          <w:color w:val="auto"/>
        </w:rPr>
      </w:pPr>
    </w:p>
    <w:p>
      <w:pPr>
        <w:jc w:val="both"/>
        <w:ind w:firstLine="644"/>
        <w:spacing w:after="0" w:line="256" w:lineRule="auto"/>
        <w:tabs>
          <w:tab w:leader="none" w:pos="1044"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disclosures contained in a certain Perfection Certificate dated on or prior to the Effective Date and acknowledges, confirms and agrees that the disclosures and information Borrower provided to Bank in such Perfection Certificate have not changed, as of the date hereof.</w:t>
      </w:r>
    </w:p>
    <w:p>
      <w:pPr>
        <w:spacing w:after="0" w:line="176" w:lineRule="exact"/>
        <w:rPr>
          <w:rFonts w:ascii="Arial" w:cs="Arial" w:eastAsia="Arial" w:hAnsi="Arial"/>
          <w:sz w:val="22"/>
          <w:szCs w:val="22"/>
          <w:b w:val="1"/>
          <w:bCs w:val="1"/>
          <w:color w:val="auto"/>
        </w:rPr>
      </w:pPr>
    </w:p>
    <w:p>
      <w:pPr>
        <w:jc w:val="both"/>
        <w:ind w:firstLine="644"/>
        <w:spacing w:after="0" w:line="256" w:lineRule="auto"/>
        <w:tabs>
          <w:tab w:leader="none" w:pos="1058"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Agreement and the Loan Documents represent the entire agreement about this subject matter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6" w:lineRule="exact"/>
        <w:rPr>
          <w:rFonts w:ascii="Arial" w:cs="Arial" w:eastAsia="Arial" w:hAnsi="Arial"/>
          <w:sz w:val="22"/>
          <w:szCs w:val="22"/>
          <w:b w:val="1"/>
          <w:bCs w:val="1"/>
          <w:color w:val="auto"/>
        </w:rPr>
      </w:pPr>
    </w:p>
    <w:p>
      <w:pPr>
        <w:ind w:right="20" w:firstLine="644"/>
        <w:spacing w:after="0" w:line="282" w:lineRule="auto"/>
        <w:tabs>
          <w:tab w:leader="none" w:pos="1071"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any number of counterparts and all of such counterparts taken</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shall be deemed to constitute one and the same instrument.</w:t>
      </w:r>
    </w:p>
    <w:p>
      <w:pPr>
        <w:spacing w:after="0" w:line="148" w:lineRule="exact"/>
        <w:rPr>
          <w:rFonts w:ascii="Arial" w:cs="Arial" w:eastAsia="Arial" w:hAnsi="Arial"/>
          <w:sz w:val="22"/>
          <w:szCs w:val="22"/>
          <w:b w:val="1"/>
          <w:bCs w:val="1"/>
          <w:color w:val="auto"/>
        </w:rPr>
      </w:pPr>
    </w:p>
    <w:p>
      <w:pPr>
        <w:ind w:right="20" w:firstLine="644"/>
        <w:spacing w:after="0" w:line="282" w:lineRule="auto"/>
        <w:tabs>
          <w:tab w:leader="none" w:pos="1071"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to Effectiveness</w:t>
      </w:r>
      <w:r>
        <w:rPr>
          <w:rFonts w:ascii="Arial" w:cs="Arial" w:eastAsia="Arial" w:hAnsi="Arial"/>
          <w:sz w:val="22"/>
          <w:szCs w:val="22"/>
          <w:color w:val="auto"/>
        </w:rPr>
        <w:t>. The parties agree that this amendment shall be effective upon the due execution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to Bank of this Agreement by each party hereto.</w:t>
      </w:r>
    </w:p>
    <w:p>
      <w:pPr>
        <w:spacing w:after="0" w:line="148" w:lineRule="exact"/>
        <w:rPr>
          <w:rFonts w:ascii="Arial" w:cs="Arial" w:eastAsia="Arial" w:hAnsi="Arial"/>
          <w:sz w:val="22"/>
          <w:szCs w:val="22"/>
          <w:b w:val="1"/>
          <w:bCs w:val="1"/>
          <w:color w:val="auto"/>
        </w:rPr>
      </w:pPr>
    </w:p>
    <w:p>
      <w:pPr>
        <w:ind w:left="1260" w:hanging="616"/>
        <w:spacing w:after="0"/>
        <w:tabs>
          <w:tab w:leader="none" w:pos="12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1"/>
          <w:szCs w:val="21"/>
          <w:b w:val="1"/>
          <w:bCs w:val="1"/>
          <w:color w:val="auto"/>
        </w:rPr>
        <w:t xml:space="preserve">10.1 </w:t>
      </w:r>
      <w:r>
        <w:rPr>
          <w:rFonts w:ascii="Arial" w:cs="Arial" w:eastAsia="Arial" w:hAnsi="Arial"/>
          <w:sz w:val="21"/>
          <w:szCs w:val="21"/>
          <w:color w:val="auto"/>
        </w:rPr>
        <w:t>This Agreement shall constitute a Loan Document under the Loan Agreement; the failure to comply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spacing w:after="0" w:line="17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color w:val="auto"/>
        </w:rPr>
        <w:t>Each provision of this Agreement is severable from every other provision in determining the enforceability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any provision.</w:t>
      </w:r>
    </w:p>
    <w:p>
      <w:pPr>
        <w:spacing w:after="0" w:line="148" w:lineRule="exact"/>
        <w:rPr>
          <w:sz w:val="20"/>
          <w:szCs w:val="20"/>
          <w:color w:val="auto"/>
        </w:rPr>
      </w:pPr>
    </w:p>
    <w:p>
      <w:pPr>
        <w:ind w:firstLine="644"/>
        <w:spacing w:after="0" w:line="282" w:lineRule="auto"/>
        <w:tabs>
          <w:tab w:leader="none" w:pos="1208"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and the rights and obligations of the parties hereto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laws of the State of California.</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300"/>
          </w:cols>
          <w:pgMar w:left="360" w:top="406" w:right="239" w:bottom="1440" w:gutter="0" w:footer="0" w:header="0"/>
        </w:sectPr>
      </w:pPr>
    </w:p>
    <w:bookmarkStart w:id="111" w:name="page112"/>
    <w:bookmarkEnd w:id="111"/>
    <w:p>
      <w:pPr>
        <w:ind w:left="620"/>
        <w:spacing w:after="0"/>
        <w:rPr>
          <w:sz w:val="20"/>
          <w:szCs w:val="20"/>
          <w:color w:val="auto"/>
        </w:rPr>
      </w:pPr>
      <w:r>
        <w:rPr>
          <w:rFonts w:ascii="Arial" w:cs="Arial" w:eastAsia="Arial" w:hAnsi="Arial"/>
          <w:sz w:val="16"/>
          <w:szCs w:val="16"/>
          <w:b w:val="1"/>
          <w:bCs w:val="1"/>
          <w:color w:val="282828"/>
        </w:rPr>
        <w:t xml:space="preserve">IN WITNESS WHEREOF, </w:t>
      </w:r>
      <w:r>
        <w:rPr>
          <w:rFonts w:ascii="Arial" w:cs="Arial" w:eastAsia="Arial" w:hAnsi="Arial"/>
          <w:sz w:val="18"/>
          <w:szCs w:val="18"/>
          <w:color w:val="282828"/>
        </w:rPr>
        <w:t>the parties hereto have caused this Agreement to be duly executed and delivered as of the date first written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282828"/>
        </w:rPr>
        <w:t>above.</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00" w:type="dxa"/>
            <w:vAlign w:val="bottom"/>
            <w:gridSpan w:val="5"/>
          </w:tcPr>
          <w:p>
            <w:pPr>
              <w:spacing w:after="0"/>
              <w:rPr>
                <w:sz w:val="20"/>
                <w:szCs w:val="20"/>
                <w:color w:val="auto"/>
              </w:rPr>
            </w:pPr>
            <w:r>
              <w:rPr>
                <w:rFonts w:ascii="Arial" w:cs="Arial" w:eastAsia="Arial" w:hAnsi="Arial"/>
                <w:sz w:val="21"/>
                <w:szCs w:val="21"/>
                <w:b w:val="1"/>
                <w:bCs w:val="1"/>
                <w:color w:val="282828"/>
              </w:rPr>
              <w:t>BANK</w:t>
            </w:r>
          </w:p>
        </w:tc>
        <w:tc>
          <w:tcPr>
            <w:tcW w:w="3500" w:type="dxa"/>
            <w:vAlign w:val="bottom"/>
            <w:gridSpan w:val="6"/>
          </w:tcPr>
          <w:p>
            <w:pPr>
              <w:ind w:left="140"/>
              <w:spacing w:after="0"/>
              <w:rPr>
                <w:sz w:val="20"/>
                <w:szCs w:val="20"/>
                <w:color w:val="auto"/>
              </w:rPr>
            </w:pPr>
            <w:r>
              <w:rPr>
                <w:rFonts w:ascii="Arial" w:cs="Arial" w:eastAsia="Arial" w:hAnsi="Arial"/>
                <w:sz w:val="20"/>
                <w:szCs w:val="20"/>
                <w:b w:val="1"/>
                <w:bCs w:val="1"/>
                <w:color w:val="282828"/>
              </w:rPr>
              <w:t>BORROWER</w:t>
            </w:r>
          </w:p>
        </w:tc>
      </w:tr>
      <w:tr>
        <w:trPr>
          <w:trHeight w:val="469"/>
        </w:trPr>
        <w:tc>
          <w:tcPr>
            <w:tcW w:w="2220" w:type="dxa"/>
            <w:vAlign w:val="bottom"/>
            <w:gridSpan w:val="6"/>
          </w:tcPr>
          <w:p>
            <w:pPr>
              <w:spacing w:after="0"/>
              <w:rPr>
                <w:sz w:val="20"/>
                <w:szCs w:val="20"/>
                <w:color w:val="auto"/>
              </w:rPr>
            </w:pPr>
            <w:r>
              <w:rPr>
                <w:rFonts w:ascii="Arial" w:cs="Arial" w:eastAsia="Arial" w:hAnsi="Arial"/>
                <w:sz w:val="20"/>
                <w:szCs w:val="20"/>
                <w:color w:val="282828"/>
                <w:w w:val="99"/>
              </w:rPr>
              <w:t>SILICON VALLEY BANK</w:t>
            </w:r>
          </w:p>
        </w:tc>
        <w:tc>
          <w:tcPr>
            <w:tcW w:w="220" w:type="dxa"/>
            <w:vAlign w:val="bottom"/>
          </w:tcPr>
          <w:p>
            <w:pPr>
              <w:spacing w:after="0"/>
              <w:rPr>
                <w:sz w:val="24"/>
                <w:szCs w:val="24"/>
                <w:color w:val="auto"/>
              </w:rPr>
            </w:pPr>
          </w:p>
        </w:tc>
        <w:tc>
          <w:tcPr>
            <w:tcW w:w="2760" w:type="dxa"/>
            <w:vAlign w:val="bottom"/>
            <w:gridSpan w:val="4"/>
          </w:tcPr>
          <w:p>
            <w:pPr>
              <w:ind w:left="360"/>
              <w:spacing w:after="0"/>
              <w:rPr>
                <w:sz w:val="20"/>
                <w:szCs w:val="20"/>
                <w:color w:val="auto"/>
              </w:rPr>
            </w:pPr>
            <w:r>
              <w:rPr>
                <w:rFonts w:ascii="Arial" w:cs="Arial" w:eastAsia="Arial" w:hAnsi="Arial"/>
                <w:sz w:val="20"/>
                <w:szCs w:val="20"/>
                <w:color w:val="282828"/>
                <w:w w:val="95"/>
              </w:rPr>
              <w:t>FLUIDIGM CORPORATION</w:t>
            </w:r>
          </w:p>
        </w:tc>
      </w:tr>
      <w:tr>
        <w:trPr>
          <w:trHeight w:val="668"/>
        </w:trPr>
        <w:tc>
          <w:tcPr>
            <w:tcW w:w="1700" w:type="dxa"/>
            <w:vAlign w:val="bottom"/>
            <w:gridSpan w:val="5"/>
          </w:tcPr>
          <w:p>
            <w:pPr>
              <w:spacing w:after="0"/>
              <w:rPr>
                <w:sz w:val="20"/>
                <w:szCs w:val="20"/>
                <w:color w:val="auto"/>
              </w:rPr>
            </w:pPr>
            <w:r>
              <w:rPr>
                <w:rFonts w:ascii="Arial" w:cs="Arial" w:eastAsia="Arial" w:hAnsi="Arial"/>
                <w:sz w:val="20"/>
                <w:szCs w:val="20"/>
                <w:color w:val="auto"/>
                <w:w w:val="95"/>
              </w:rPr>
              <w:t>By: /s/ Shawn Parry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ind w:left="120"/>
              <w:spacing w:after="0"/>
              <w:rPr>
                <w:sz w:val="20"/>
                <w:szCs w:val="20"/>
                <w:color w:val="auto"/>
              </w:rPr>
            </w:pPr>
            <w:r>
              <w:rPr>
                <w:rFonts w:ascii="Arial" w:cs="Arial" w:eastAsia="Arial" w:hAnsi="Arial"/>
                <w:sz w:val="20"/>
                <w:szCs w:val="20"/>
                <w:color w:val="auto"/>
              </w:rPr>
              <w:t>By: /s/ Nicholas Khadder</w:t>
            </w:r>
          </w:p>
        </w:tc>
      </w:tr>
      <w:tr>
        <w:trPr>
          <w:trHeight w:val="206"/>
        </w:trPr>
        <w:tc>
          <w:tcPr>
            <w:tcW w:w="1700" w:type="dxa"/>
            <w:vAlign w:val="bottom"/>
            <w:gridSpan w:val="5"/>
          </w:tcPr>
          <w:p>
            <w:pPr>
              <w:spacing w:after="0" w:line="206" w:lineRule="exact"/>
              <w:rPr>
                <w:sz w:val="20"/>
                <w:szCs w:val="20"/>
                <w:color w:val="auto"/>
              </w:rPr>
            </w:pPr>
            <w:r>
              <w:rPr>
                <w:rFonts w:ascii="Arial" w:cs="Arial" w:eastAsia="Arial" w:hAnsi="Arial"/>
                <w:sz w:val="20"/>
                <w:szCs w:val="20"/>
                <w:color w:val="auto"/>
                <w:w w:val="93"/>
              </w:rPr>
              <w:t>Name: Shawn Parry</w:t>
            </w:r>
          </w:p>
        </w:tc>
        <w:tc>
          <w:tcPr>
            <w:tcW w:w="520" w:type="dxa"/>
            <w:vAlign w:val="bottom"/>
          </w:tcPr>
          <w:p>
            <w:pPr>
              <w:spacing w:after="0"/>
              <w:rPr>
                <w:sz w:val="17"/>
                <w:szCs w:val="17"/>
                <w:color w:val="auto"/>
              </w:rPr>
            </w:pPr>
          </w:p>
        </w:tc>
        <w:tc>
          <w:tcPr>
            <w:tcW w:w="2980" w:type="dxa"/>
            <w:vAlign w:val="bottom"/>
            <w:gridSpan w:val="5"/>
          </w:tcPr>
          <w:p>
            <w:pPr>
              <w:spacing w:after="0" w:line="206" w:lineRule="exact"/>
              <w:rPr>
                <w:sz w:val="20"/>
                <w:szCs w:val="20"/>
                <w:color w:val="auto"/>
              </w:rPr>
            </w:pPr>
            <w:r>
              <w:rPr>
                <w:rFonts w:ascii="Arial" w:cs="Arial" w:eastAsia="Arial" w:hAnsi="Arial"/>
                <w:sz w:val="20"/>
                <w:szCs w:val="20"/>
                <w:color w:val="auto"/>
              </w:rPr>
              <w:t>Name: Nicholas Khadder</w:t>
            </w: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700" w:type="dxa"/>
            <w:vAlign w:val="bottom"/>
            <w:gridSpan w:val="5"/>
          </w:tcPr>
          <w:p>
            <w:pPr>
              <w:spacing w:after="0"/>
              <w:rPr>
                <w:sz w:val="20"/>
                <w:szCs w:val="20"/>
                <w:color w:val="auto"/>
              </w:rPr>
            </w:pPr>
            <w:r>
              <w:rPr>
                <w:rFonts w:ascii="Arial" w:cs="Arial" w:eastAsia="Arial" w:hAnsi="Arial"/>
                <w:sz w:val="20"/>
                <w:szCs w:val="20"/>
                <w:color w:val="auto"/>
              </w:rPr>
              <w:t>Title: Director</w:t>
            </w:r>
          </w:p>
        </w:tc>
        <w:tc>
          <w:tcPr>
            <w:tcW w:w="3500" w:type="dxa"/>
            <w:vAlign w:val="bottom"/>
            <w:gridSpan w:val="6"/>
          </w:tcPr>
          <w:p>
            <w:pPr>
              <w:ind w:left="260"/>
              <w:spacing w:after="0"/>
              <w:rPr>
                <w:sz w:val="20"/>
                <w:szCs w:val="20"/>
                <w:color w:val="auto"/>
              </w:rPr>
            </w:pPr>
            <w:r>
              <w:rPr>
                <w:rFonts w:ascii="Arial" w:cs="Arial" w:eastAsia="Arial" w:hAnsi="Arial"/>
                <w:sz w:val="20"/>
                <w:szCs w:val="20"/>
                <w:color w:val="auto"/>
                <w:w w:val="97"/>
              </w:rPr>
              <w:t>Title</w:t>
            </w:r>
            <w:r>
              <w:rPr>
                <w:rFonts w:ascii="Arial" w:cs="Arial" w:eastAsia="Arial" w:hAnsi="Arial"/>
                <w:sz w:val="20"/>
                <w:szCs w:val="20"/>
                <w:color w:val="282828"/>
                <w:w w:val="97"/>
              </w:rPr>
              <w:t>:</w:t>
            </w:r>
            <w:r>
              <w:rPr>
                <w:rFonts w:ascii="Arial" w:cs="Arial" w:eastAsia="Arial" w:hAnsi="Arial"/>
                <w:sz w:val="20"/>
                <w:szCs w:val="20"/>
                <w:color w:val="auto"/>
                <w:w w:val="97"/>
              </w:rPr>
              <w:t xml:space="preserve"> General Counsel and Secretary</w:t>
            </w:r>
          </w:p>
        </w:tc>
      </w:tr>
      <w:tr>
        <w:trPr>
          <w:trHeight w:val="20"/>
        </w:trPr>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060"/>
          </w:cols>
          <w:pgMar w:left="500" w:top="811" w:right="339" w:bottom="1440" w:gutter="0" w:footer="0" w:header="0"/>
        </w:sectPr>
      </w:pPr>
    </w:p>
    <w:bookmarkStart w:id="112" w:name="page113"/>
    <w:bookmarkEnd w:id="112"/>
    <w:p>
      <w:pPr>
        <w:ind w:left="2040"/>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the foregoing, the Collateral does not include (a) with respect to stock in Foreign Subsidiaries, more than sixty-five percent (65.0%) of the presently existing and hereafter arising issued and outstanding shares of capital stock owned by Borrower of any Foreign Subsidiary which shares entitle the holder thereof to vote for directors or any other matter, (b) 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 (c) cash collateral accounts not held with Bank or Bank’s Affiliates securing reimbursement obligations under letters of credit or (d) any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300"/>
          </w:cols>
          <w:pgMar w:left="360" w:top="64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as amended (No. 333-230383), Form S-8 (Nos. 333-172206, 333-180363, 333-187204, 333-202325, 333-209904, 333-215555, 333-219667, 333-222561, 333-229214, 333-232441), and Form S-3/S-8 (No. 333-194084) of Fluidigm Corporation of our report dated February 27, 2020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00" w:val="left"/>
          <w:tab w:leader="none" w:pos="71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31750</wp:posOffset>
            </wp:positionV>
            <wp:extent cx="2546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1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00" w:val="left"/>
          <w:tab w:leader="none" w:pos="71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31750</wp:posOffset>
            </wp:positionV>
            <wp:extent cx="2546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100" w:hanging="7"/>
        <w:spacing w:after="0" w:line="277" w:lineRule="auto"/>
        <w:tabs>
          <w:tab w:leader="none" w:pos="7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2019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2020</w:t>
      </w:r>
    </w:p>
    <w:p>
      <w:pPr>
        <w:spacing w:after="0" w:line="23"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22860</wp:posOffset>
            </wp:positionV>
            <wp:extent cx="2409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100" w:hanging="7"/>
        <w:spacing w:after="0" w:line="277" w:lineRule="auto"/>
        <w:tabs>
          <w:tab w:leader="none" w:pos="7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2019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800" w:hanging="387"/>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2020</w:t>
      </w:r>
    </w:p>
    <w:p>
      <w:pPr>
        <w:spacing w:after="0" w:line="23"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22860</wp:posOffset>
            </wp:positionV>
            <wp:extent cx="2400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lvl w:ilvl="1">
      <w:lvlJc w:val="left"/>
      <w:lvlText w:val="•"/>
      <w:numFmt w:val="bullet"/>
      <w:start w:val="1"/>
    </w:lvl>
  </w:abstractNum>
  <w:abstractNum w:abstractNumId="16">
    <w:nsid w:val="6CEAF087"/>
    <w:multiLevelType w:val="hybridMultilevel"/>
    <w:lvl w:ilvl="0">
      <w:lvlJc w:val="left"/>
      <w:lvlText w:val="%1)"/>
      <w:numFmt w:val="decimal"/>
      <w:start w:val="606"/>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lvl w:ilvl="1">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2"/>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9"/>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4"/>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upp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Letter"/>
      <w:start w:val="1"/>
    </w:lvl>
    <w:lvl w:ilvl="1">
      <w:lvlJc w:val="left"/>
      <w:lvlText w:val="%2."/>
      <w:numFmt w:val="decimal"/>
      <w:start w:val="2"/>
    </w:lvl>
  </w:abstractNum>
  <w:abstractNum w:abstractNumId="36">
    <w:nsid w:val="70A64E2A"/>
    <w:multiLevelType w:val="hybridMultilevel"/>
    <w:lvl w:ilvl="0">
      <w:lvlJc w:val="left"/>
      <w:lvlText w:val="(%1)"/>
      <w:numFmt w:val="lowerLetter"/>
      <w:start w:val="2"/>
    </w:lvl>
    <w:lvl w:ilvl="1">
      <w:lvlJc w:val="left"/>
      <w:lvlText w:val="%2."/>
      <w:numFmt w:val="decimal"/>
      <w:start w:val="3"/>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upperLetter"/>
      <w:start w:val="9"/>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2"/>
    </w:lvl>
  </w:abstractNum>
  <w:abstractNum w:abstractNumId="41">
    <w:nsid w:val="2CD89A32"/>
    <w:multiLevelType w:val="hybridMultilevel"/>
    <w:lvl w:ilvl="0">
      <w:lvlJc w:val="left"/>
      <w:lvlText w:val="%1."/>
      <w:numFmt w:val="decimal"/>
      <w:start w:val="6"/>
    </w:lvl>
  </w:abstractNum>
  <w:abstractNum w:abstractNumId="42">
    <w:nsid w:val="57E4CCAF"/>
    <w:multiLevelType w:val="hybridMultilevel"/>
    <w:lvl w:ilvl="0">
      <w:lvlJc w:val="left"/>
      <w:lvlText w:val="%1."/>
      <w:numFmt w:val="decimal"/>
      <w:start w:val="1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73" Type="http://schemas.openxmlformats.org/officeDocument/2006/relationships/image" Target="media/image7.png"/><Relationship Id="rId74" Type="http://schemas.openxmlformats.org/officeDocument/2006/relationships/image" Target="media/image8.png"/><Relationship Id="rId75" Type="http://schemas.openxmlformats.org/officeDocument/2006/relationships/image" Target="media/image9.png"/><Relationship Id="rId76" Type="http://schemas.openxmlformats.org/officeDocument/2006/relationships/image" Target="media/image10.png"/><Relationship Id="rId77" Type="http://schemas.openxmlformats.org/officeDocument/2006/relationships/image" Target="media/image11.png"/><Relationship Id="rId14" Type="http://schemas.openxmlformats.org/officeDocument/2006/relationships/hyperlink" Target="http://www.sec.gov/Archives/edgar/data/1162194/000119312514025284/d661498dex21.htm" TargetMode="External"/><Relationship Id="rId15" Type="http://schemas.openxmlformats.org/officeDocument/2006/relationships/hyperlink" Target="http://www.sec.gov/Archives/edgar/data/1162194/000119312511078412/dex31.htm" TargetMode="External"/><Relationship Id="rId16" Type="http://schemas.openxmlformats.org/officeDocument/2006/relationships/hyperlink" Target="http://www.sec.gov/Archives/edgar/data/1162194/000119312511078412/dex32.htm" TargetMode="External"/><Relationship Id="rId17" Type="http://schemas.openxmlformats.org/officeDocument/2006/relationships/hyperlink" Target="http://www.sec.gov/Archives/edgar/data/1162194/000119312516774501/d294669dex31.htm" TargetMode="External"/><Relationship Id="rId18" Type="http://schemas.openxmlformats.org/officeDocument/2006/relationships/hyperlink" Target="http://www.sec.gov/Archives/edgar/data/1162194/000114420417039703/v471897_ex3-1.htm" TargetMode="External"/><Relationship Id="rId19" Type="http://schemas.openxmlformats.org/officeDocument/2006/relationships/hyperlink" Target="http://www.sec.gov/Archives/edgar/data/1162194/000119312517009947/d305495dex41.htm" TargetMode="External"/><Relationship Id="rId20" Type="http://schemas.openxmlformats.org/officeDocument/2006/relationships/hyperlink" Target="http://www.sec.gov/Archives/edgar/data/1162194/000119312514034901/d669277dex41.htm" TargetMode="External"/><Relationship Id="rId21" Type="http://schemas.openxmlformats.org/officeDocument/2006/relationships/hyperlink" Target="http://www.sec.gov/Archives/edgar/data/1162194/000119312514034901/d669277dex42.htm" TargetMode="External"/><Relationship Id="rId22" Type="http://schemas.openxmlformats.org/officeDocument/2006/relationships/hyperlink" Target="http://www.sec.gov/Archives/edgar/data/1162194/000110465919066659/tm1923592d1_ex4-1.htm" TargetMode="External"/><Relationship Id="rId23" Type="http://schemas.openxmlformats.org/officeDocument/2006/relationships/hyperlink" Target="http://www.sec.gov/Archives/edgar/data/1162194/000119312511016501/dex101.htm" TargetMode="External"/><Relationship Id="rId24" Type="http://schemas.openxmlformats.org/officeDocument/2006/relationships/hyperlink" Target="http://www.sec.gov/Archives/edgar/data/1162194/000116219419000033/ex101.htm" TargetMode="External"/><Relationship Id="rId25" Type="http://schemas.openxmlformats.org/officeDocument/2006/relationships/hyperlink" Target="http://www.sec.gov/Archives/edgar/data/1162194/000116219419000033/ex102.htm" TargetMode="External"/><Relationship Id="rId26" Type="http://schemas.openxmlformats.org/officeDocument/2006/relationships/hyperlink" Target="http://www.sec.gov/Archives/edgar/data/1162194/000119312510273807/dex103.htm" TargetMode="External"/><Relationship Id="rId27" Type="http://schemas.openxmlformats.org/officeDocument/2006/relationships/hyperlink" Target="http://www.sec.gov/Archives/edgar/data/1162194/000119312510273807/dex103a.htm" TargetMode="External"/><Relationship Id="rId28" Type="http://schemas.openxmlformats.org/officeDocument/2006/relationships/hyperlink" Target="http://www.sec.gov/Archives/edgar/data/1162194/000117184319003846/exh_101.htm" TargetMode="External"/><Relationship Id="rId29" Type="http://schemas.openxmlformats.org/officeDocument/2006/relationships/hyperlink" Target="http://www.sec.gov/Archives/edgar/data/1162194/000119312511016501/dex104a.htm" TargetMode="External"/><Relationship Id="rId30" Type="http://schemas.openxmlformats.org/officeDocument/2006/relationships/hyperlink" Target="http://www.sec.gov/Archives/edgar/data/1162194/000114420417039703/v471897_ex10-2.htm" TargetMode="External"/><Relationship Id="rId31" Type="http://schemas.openxmlformats.org/officeDocument/2006/relationships/hyperlink" Target="http://www.sec.gov/Archives/edgar/data/1162194/000157104917007659/t1702415_ex-d2.htm" TargetMode="External"/><Relationship Id="rId32" Type="http://schemas.openxmlformats.org/officeDocument/2006/relationships/hyperlink" Target="http://www.sec.gov/Archives/edgar/data/1162194/000157104917007659/t1702415_ex-d3.htm" TargetMode="External"/><Relationship Id="rId33" Type="http://schemas.openxmlformats.org/officeDocument/2006/relationships/hyperlink" Target="http://www.sec.gov/Archives/edgar/data/1162194/000157104917007659/t1702415_ex-d4.htm" TargetMode="External"/><Relationship Id="rId34" Type="http://schemas.openxmlformats.org/officeDocument/2006/relationships/hyperlink" Target="http://www.sec.gov/Archives/edgar/data/1162194/000157104917007659/t1702415_ex-d5.htm" TargetMode="External"/><Relationship Id="rId35" Type="http://schemas.openxmlformats.org/officeDocument/2006/relationships/hyperlink" Target="http://www.sec.gov/Archives/edgar/data/1162194/000157104917007659/t1702415_ex-d6.htm" TargetMode="External"/><Relationship Id="rId36" Type="http://schemas.openxmlformats.org/officeDocument/2006/relationships/hyperlink" Target="http://www.sec.gov/Archives/edgar/data/1162194/000157104917007659/t1702415_ex-d7.htm" TargetMode="External"/><Relationship Id="rId37" Type="http://schemas.openxmlformats.org/officeDocument/2006/relationships/hyperlink" Target="http://www.sec.gov/Archives/edgar/data/1162194/000119312517007811/d257858dex101.htm" TargetMode="External"/><Relationship Id="rId38" Type="http://schemas.openxmlformats.org/officeDocument/2006/relationships/hyperlink" Target="http://www.sec.gov/Archives/edgar/data/1162194/000114420417039703/v471897_ex10-1.htm" TargetMode="External"/><Relationship Id="rId39" Type="http://schemas.openxmlformats.org/officeDocument/2006/relationships/hyperlink" Target="http://www.sec.gov/Archives/edgar/data/1162194/000119312511078412/dex1025.htm" TargetMode="External"/><Relationship Id="rId40" Type="http://schemas.openxmlformats.org/officeDocument/2006/relationships/hyperlink" Target="http://www.sec.gov/Archives/edgar/data/1162194/000119312510273807/dex105.htm" TargetMode="External"/><Relationship Id="rId41" Type="http://schemas.openxmlformats.org/officeDocument/2006/relationships/hyperlink" Target="http://www.sec.gov/Archives/edgar/data/1162194/000119312510273807/dex105a.htm" TargetMode="External"/><Relationship Id="rId42" Type="http://schemas.openxmlformats.org/officeDocument/2006/relationships/hyperlink" Target="http://www.sec.gov/Archives/edgar/data/1162194/000119312510273807/dex106.htm" TargetMode="External"/><Relationship Id="rId43" Type="http://schemas.openxmlformats.org/officeDocument/2006/relationships/hyperlink" Target="http://www.sec.gov/Archives/edgar/data/1162194/000119312510273807/dex106a.htm" TargetMode="External"/><Relationship Id="rId44" Type="http://schemas.openxmlformats.org/officeDocument/2006/relationships/hyperlink" Target="http://www.sec.gov/Archives/edgar/data/1162194/000119312510273807/dex107.htm" TargetMode="External"/><Relationship Id="rId45" Type="http://schemas.openxmlformats.org/officeDocument/2006/relationships/hyperlink" Target="http://www.sec.gov/Archives/edgar/data/1162194/000119312510273807/dex108.htm" TargetMode="External"/><Relationship Id="rId46" Type="http://schemas.openxmlformats.org/officeDocument/2006/relationships/hyperlink" Target="http://www.sec.gov/Archives/edgar/data/1162194/000119312510273807/dex109.htm" TargetMode="External"/><Relationship Id="rId47" Type="http://schemas.openxmlformats.org/officeDocument/2006/relationships/hyperlink" Target="http://www.sec.gov/Archives/edgar/data/1162194/000117184318005695/exh_101.htm" TargetMode="External"/><Relationship Id="rId48" Type="http://schemas.openxmlformats.org/officeDocument/2006/relationships/hyperlink" Target="http://www.sec.gov/Archives/edgar/data/1162194/000110465919066659/tm1923592d1_ex10-2.htm" TargetMode="External"/><Relationship Id="rId49" Type="http://schemas.openxmlformats.org/officeDocument/2006/relationships/hyperlink" Target="http://www.sec.gov/Archives/edgar/data/1162194/000110465919066659/tm1923592d1_ex10-1.htm" TargetMode="External"/><Relationship Id="rId50" Type="http://schemas.openxmlformats.org/officeDocument/2006/relationships/hyperlink" Target="http://www.sec.gov/Archives/edgar/data/1162194/000119312512498523/d453881dex1014.htm" TargetMode="External"/><Relationship Id="rId51" Type="http://schemas.openxmlformats.org/officeDocument/2006/relationships/hyperlink" Target="http://www.sec.gov/Archives/edgar/data/1162194/000117184317005215/exh_101.htm" TargetMode="External"/><Relationship Id="rId52" Type="http://schemas.openxmlformats.org/officeDocument/2006/relationships/hyperlink" Target="http://www.sec.gov/Archives/edgar/data/1162194/000116219417000159/fluidigm-splitdollarlifein.htm" TargetMode="External"/><Relationship Id="rId53" Type="http://schemas.openxmlformats.org/officeDocument/2006/relationships/hyperlink" Target="http://www.sec.gov/Archives/edgar/data/1162194/000116219418000055/fldm-q12018x10xqex101.htm" TargetMode="External"/><Relationship Id="rId54" Type="http://schemas.openxmlformats.org/officeDocument/2006/relationships/hyperlink" Target="http://www.sec.gov/Archives/edgar/data/1162194/000116219416000248/ex-102xq32016form10xq.htm" TargetMode="External"/><Relationship Id="rId55" Type="http://schemas.openxmlformats.org/officeDocument/2006/relationships/hyperlink" Target="http://www.sec.gov/Archives/edgar/data/1162194/000119312510273807/dex1017.htm" TargetMode="External"/><Relationship Id="rId56" Type="http://schemas.openxmlformats.org/officeDocument/2006/relationships/hyperlink" Target="http://www.sec.gov/Archives/edgar/data/1162194/000116219419000020/exhibit1018.htm" TargetMode="External"/><Relationship Id="rId57" Type="http://schemas.openxmlformats.org/officeDocument/2006/relationships/hyperlink" Target="http://www.sec.gov/Archives/edgar/data/1162194/000119312511003819/dex1019.htm" TargetMode="External"/><Relationship Id="rId58" Type="http://schemas.openxmlformats.org/officeDocument/2006/relationships/hyperlink" Target="http://www.sec.gov/Archives/edgar/data/1162194/000119312513210608/d514707dex1019a.htm" TargetMode="External"/><Relationship Id="rId59" Type="http://schemas.openxmlformats.org/officeDocument/2006/relationships/hyperlink" Target="http://www.sec.gov/Archives/edgar/data/1162194/000116219414000063/ex103-fourthleaseamendment.htm" TargetMode="External"/><Relationship Id="rId60" Type="http://schemas.openxmlformats.org/officeDocument/2006/relationships/hyperlink" Target="http://www.sec.gov/Archives/edgar/data/1162194/000116219414000106/exhibit102-fifthamendmentt.htm" TargetMode="External"/><Relationship Id="rId61" Type="http://schemas.openxmlformats.org/officeDocument/2006/relationships/hyperlink" Target="http://www.sec.gov/Archives/edgar/data/1162194/000119312515402507/d90931dex101.htm" TargetMode="External"/><Relationship Id="rId62" Type="http://schemas.openxmlformats.org/officeDocument/2006/relationships/hyperlink" Target="http://www.sec.gov/Archives/edgar/data/1162194/000116219417000042/fldm-q12017x10qex101xseven.htm" TargetMode="External"/><Relationship Id="rId63" Type="http://schemas.openxmlformats.org/officeDocument/2006/relationships/hyperlink" Target="http://www.sec.gov/Archives/edgar/data/1162194/000157104917007217/t1702281_ex10-1.htm" TargetMode="External"/><Relationship Id="rId64" Type="http://schemas.openxmlformats.org/officeDocument/2006/relationships/hyperlink" Target="http://www.sec.gov/Archives/edgar/data/1162194/000116219418000089/classic063018q2ex102.htm" TargetMode="External"/><Relationship Id="rId65" Type="http://schemas.openxmlformats.org/officeDocument/2006/relationships/hyperlink" Target="http://www.sec.gov/Archives/edgar/data/1162194/000116219419000088/a093019q3ex101.htm" TargetMode="External"/><Relationship Id="rId66" Type="http://schemas.openxmlformats.org/officeDocument/2006/relationships/hyperlink" Target="http://www.sec.gov/Archives/edgar/data/1162194/000119312510273807/dex1020.htm" TargetMode="External"/><Relationship Id="rId67" Type="http://schemas.openxmlformats.org/officeDocument/2006/relationships/hyperlink" Target="http://www.sec.gov/Archives/edgar/data/1162194/000116219414000010/exhibit1021-singaporelease.htm" TargetMode="External"/><Relationship Id="rId68" Type="http://schemas.openxmlformats.org/officeDocument/2006/relationships/hyperlink" Target="http://www.sec.gov/Archives/edgar/data/1162194/000116219415000139/exhibit1012015q2.htm" TargetMode="External"/><Relationship Id="rId69" Type="http://schemas.openxmlformats.org/officeDocument/2006/relationships/hyperlink" Target="http://www.sec.gov/Archives/edgar/data/1162194/000116219415000154/ex101candalease93015.htm" TargetMode="External"/><Relationship Id="rId70" Type="http://schemas.openxmlformats.org/officeDocument/2006/relationships/hyperlink" Target="http://www.sec.gov/Archives/edgar/data/1162194/000116219414000087/ex103-licenseagreementwith.htm" TargetMode="External"/><Relationship Id="rId71" Type="http://schemas.openxmlformats.org/officeDocument/2006/relationships/hyperlink" Target="http://www.sec.gov/Archives/edgar/data/1162194/000116219414000087/ex104-dvssublicenseagreeme.htm" TargetMode="External"/><Relationship Id="rId72" Type="http://schemas.openxmlformats.org/officeDocument/2006/relationships/hyperlink" Target="http://www.sec.gov/Archives/edgar/data/1162194/000162828017002137/exhibit1211-subsidiaryli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2020-02-27T18:06:14Z</dcterms:created>
  <dcterms:modified xsi:type="dcterms:W3CDTF">2020-02-27T18:06:14Z</dcterms:modified>
</cp:coreProperties>
</file>