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2296795</wp:posOffset>
            </wp:positionH>
            <wp:positionV relativeFrom="paragraph">
              <wp:posOffset>54610</wp:posOffset>
            </wp:positionV>
            <wp:extent cx="267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2080" cy="8255"/>
                    </a:xfrm>
                    <a:prstGeom prst="rect">
                      <a:avLst/>
                    </a:prstGeom>
                    <a:noFill/>
                  </pic:spPr>
                </pic:pic>
              </a:graphicData>
            </a:graphic>
          </wp:anchor>
        </w:drawing>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2279650</wp:posOffset>
            </wp:positionH>
            <wp:positionV relativeFrom="paragraph">
              <wp:posOffset>146685</wp:posOffset>
            </wp:positionV>
            <wp:extent cx="267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2080" cy="8255"/>
                    </a:xfrm>
                    <a:prstGeom prst="rect">
                      <a:avLst/>
                    </a:prstGeom>
                    <a:noFill/>
                  </pic:spPr>
                </pic:pic>
              </a:graphicData>
            </a:graphic>
          </wp:anchor>
        </w:drawing>
      </w: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8" w:lineRule="exact"/>
        <w:rPr>
          <w:sz w:val="24"/>
          <w:szCs w:val="24"/>
          <w:color w:val="auto"/>
        </w:rPr>
      </w:pPr>
    </w:p>
    <w:p>
      <w:pPr>
        <w:ind w:left="3940" w:right="2000" w:hanging="3916"/>
        <w:spacing w:after="0" w:line="446" w:lineRule="auto"/>
        <w:tabs>
          <w:tab w:leader="none" w:pos="4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8" w:lineRule="exact"/>
        <w:rPr>
          <w:sz w:val="24"/>
          <w:szCs w:val="24"/>
          <w:color w:val="auto"/>
        </w:rPr>
      </w:pPr>
    </w:p>
    <w:p>
      <w:pPr>
        <w:ind w:left="440" w:hanging="416"/>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50"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2296795</wp:posOffset>
            </wp:positionH>
            <wp:positionV relativeFrom="paragraph">
              <wp:posOffset>167005</wp:posOffset>
            </wp:positionV>
            <wp:extent cx="267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2080" cy="8255"/>
                    </a:xfrm>
                    <a:prstGeom prst="rect">
                      <a:avLst/>
                    </a:prstGeom>
                    <a:noFill/>
                  </pic:spPr>
                </pic:pic>
              </a:graphicData>
            </a:graphic>
          </wp:anchor>
        </w:drawing>
      </w:r>
    </w:p>
    <w:p>
      <w:pPr>
        <w:spacing w:after="0" w:line="347"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FLUIDIGM CORPORATION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2296795</wp:posOffset>
            </wp:positionH>
            <wp:positionV relativeFrom="paragraph">
              <wp:posOffset>52705</wp:posOffset>
            </wp:positionV>
            <wp:extent cx="267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2080" cy="8255"/>
                    </a:xfrm>
                    <a:prstGeom prst="rect">
                      <a:avLst/>
                    </a:prstGeom>
                    <a:noFill/>
                  </pic:spPr>
                </pic:pic>
              </a:graphicData>
            </a:graphic>
          </wp:anchor>
        </w:drawing>
      </w:r>
    </w:p>
    <w:p>
      <w:pPr>
        <w:sectPr>
          <w:pgSz w:w="11900" w:h="16838" w:orient="portrait"/>
          <w:cols w:equalWidth="0" w:num="1">
            <w:col w:w="11380"/>
          </w:cols>
          <w:pgMar w:left="240" w:top="811" w:right="279" w:bottom="1440" w:gutter="0" w:footer="0" w:header="0"/>
        </w:sectPr>
      </w:pPr>
    </w:p>
    <w:p>
      <w:pPr>
        <w:spacing w:after="0" w:line="131" w:lineRule="exact"/>
        <w:rPr>
          <w:sz w:val="24"/>
          <w:szCs w:val="24"/>
          <w:color w:val="auto"/>
        </w:rPr>
      </w:pPr>
    </w:p>
    <w:p>
      <w:pPr>
        <w:ind w:left="23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63" w:lineRule="exact"/>
        <w:rPr>
          <w:sz w:val="24"/>
          <w:szCs w:val="24"/>
          <w:color w:val="auto"/>
        </w:rPr>
      </w:pPr>
    </w:p>
    <w:p>
      <w:pPr>
        <w:sectPr>
          <w:pgSz w:w="11900" w:h="16838" w:orient="portrait"/>
          <w:cols w:equalWidth="0" w:num="2">
            <w:col w:w="7140" w:space="720"/>
            <w:col w:w="3520"/>
          </w:cols>
          <w:pgMar w:left="240" w:top="811" w:right="279" w:bottom="1440" w:gutter="0" w:footer="0" w:header="0"/>
          <w:type w:val="continuous"/>
        </w:sectPr>
      </w:pPr>
    </w:p>
    <w:p>
      <w:pPr>
        <w:spacing w:after="0" w:line="12"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ind w:left="17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4"/>
          <w:szCs w:val="14"/>
          <w:b w:val="1"/>
          <w:bCs w:val="1"/>
          <w:color w:val="auto"/>
        </w:rPr>
        <w:t>(I.R.S. Employer</w:t>
      </w:r>
    </w:p>
    <w:p>
      <w:pPr>
        <w:jc w:val="center"/>
        <w:ind w:right="2360"/>
        <w:spacing w:after="0"/>
        <w:rPr>
          <w:sz w:val="20"/>
          <w:szCs w:val="20"/>
          <w:color w:val="auto"/>
        </w:rPr>
      </w:pPr>
      <w:r>
        <w:rPr>
          <w:rFonts w:ascii="Arial" w:cs="Arial" w:eastAsia="Arial" w:hAnsi="Arial"/>
          <w:sz w:val="13"/>
          <w:szCs w:val="13"/>
          <w:b w:val="1"/>
          <w:bCs w:val="1"/>
          <w:color w:val="auto"/>
        </w:rPr>
        <w:t>Identification Number)</w:t>
      </w:r>
    </w:p>
    <w:p>
      <w:pPr>
        <w:spacing w:after="0" w:line="64" w:lineRule="exact"/>
        <w:rPr>
          <w:sz w:val="24"/>
          <w:szCs w:val="24"/>
          <w:color w:val="auto"/>
        </w:rPr>
      </w:pPr>
    </w:p>
    <w:p>
      <w:pPr>
        <w:sectPr>
          <w:pgSz w:w="11900" w:h="16838" w:orient="portrait"/>
          <w:cols w:equalWidth="0" w:num="2">
            <w:col w:w="6880" w:space="720"/>
            <w:col w:w="3780"/>
          </w:cols>
          <w:pgMar w:left="240" w:top="811"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7000 Shoreline Court, Suite 100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(650) 266-6000</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2279650</wp:posOffset>
            </wp:positionH>
            <wp:positionV relativeFrom="paragraph">
              <wp:posOffset>127000</wp:posOffset>
            </wp:positionV>
            <wp:extent cx="267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2080" cy="8255"/>
                    </a:xfrm>
                    <a:prstGeom prst="rect">
                      <a:avLst/>
                    </a:prstGeom>
                    <a:noFill/>
                  </pic:spPr>
                </pic:pic>
              </a:graphicData>
            </a:graphic>
          </wp:anchor>
        </w:drawing>
      </w:r>
    </w:p>
    <w:p>
      <w:pPr>
        <w:sectPr>
          <w:pgSz w:w="11900" w:h="16838" w:orient="portrait"/>
          <w:cols w:equalWidth="0" w:num="1">
            <w:col w:w="11380"/>
          </w:cols>
          <w:pgMar w:left="240" w:top="811" w:right="279" w:bottom="1440" w:gutter="0" w:footer="0" w:header="0"/>
          <w:type w:val="continuous"/>
        </w:sectPr>
      </w:pPr>
    </w:p>
    <w:p>
      <w:pPr>
        <w:spacing w:after="0" w:line="308" w:lineRule="exact"/>
        <w:rPr>
          <w:sz w:val="24"/>
          <w:szCs w:val="24"/>
          <w:color w:val="auto"/>
        </w:rPr>
      </w:pPr>
    </w:p>
    <w:p>
      <w:pPr>
        <w:jc w:val="both"/>
        <w:ind w:right="20" w:firstLine="88"/>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9" w:lineRule="exact"/>
        <w:rPr>
          <w:sz w:val="24"/>
          <w:szCs w:val="24"/>
          <w:color w:val="auto"/>
        </w:rPr>
      </w:pPr>
    </w:p>
    <w:p>
      <w:pPr>
        <w:jc w:val="both"/>
        <w:ind w:right="20" w:firstLine="354"/>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9" w:lineRule="exact"/>
        <w:rPr>
          <w:sz w:val="24"/>
          <w:szCs w:val="24"/>
          <w:color w:val="auto"/>
        </w:rPr>
      </w:pPr>
    </w:p>
    <w:p>
      <w:pPr>
        <w:ind w:right="40" w:firstLine="35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305"/>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58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2"/>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800"/>
              <w:spacing w:after="0"/>
              <w:rPr>
                <w:sz w:val="20"/>
                <w:szCs w:val="20"/>
                <w:color w:val="auto"/>
              </w:rPr>
            </w:pPr>
            <w:r>
              <w:rPr>
                <w:rFonts w:ascii="Arial" w:cs="Arial" w:eastAsia="Arial" w:hAnsi="Arial"/>
                <w:sz w:val="18"/>
                <w:szCs w:val="18"/>
                <w:color w:val="auto"/>
                <w:w w:val="96"/>
              </w:rPr>
              <w:t>(Do not check if a smaller reporting company)</w:t>
            </w:r>
          </w:p>
        </w:tc>
        <w:tc>
          <w:tcPr>
            <w:tcW w:w="258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2"/>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4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101" w:lineRule="exact"/>
        <w:rPr>
          <w:sz w:val="24"/>
          <w:szCs w:val="24"/>
          <w:color w:val="auto"/>
        </w:rPr>
      </w:pPr>
    </w:p>
    <w:p>
      <w:pPr>
        <w:ind w:right="140" w:firstLine="354"/>
        <w:spacing w:after="0" w:line="26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2" w:lineRule="exact"/>
        <w:rPr>
          <w:sz w:val="24"/>
          <w:szCs w:val="24"/>
          <w:color w:val="auto"/>
        </w:rPr>
      </w:pPr>
    </w:p>
    <w:p>
      <w:pPr>
        <w:ind w:right="2280"/>
        <w:spacing w:after="0" w:line="31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30, 2018, there were 38,916,219 shares of the Registrant’s common stock, $0.001 par value per share, outstanding.</w:t>
      </w:r>
    </w:p>
    <w:p>
      <w:pPr>
        <w:sectPr>
          <w:pgSz w:w="11900" w:h="16838" w:orient="portrait"/>
          <w:cols w:equalWidth="0" w:num="1">
            <w:col w:w="11380"/>
          </w:cols>
          <w:pgMar w:left="240" w:top="811"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40" w:type="dxa"/>
            <w:vAlign w:val="bottom"/>
            <w:gridSpan w:val="10"/>
          </w:tcPr>
          <w:p>
            <w:pPr>
              <w:ind w:left="40"/>
              <w:spacing w:after="0"/>
              <w:rPr>
                <w:sz w:val="20"/>
                <w:szCs w:val="20"/>
                <w:color w:val="auto"/>
              </w:rPr>
            </w:pPr>
            <w:r>
              <w:rPr>
                <w:rFonts w:ascii="Arial" w:cs="Arial" w:eastAsia="Arial" w:hAnsi="Arial"/>
                <w:sz w:val="18"/>
                <w:szCs w:val="18"/>
                <w:b w:val="1"/>
                <w:bCs w:val="1"/>
                <w:color w:val="auto"/>
              </w:rPr>
              <w:t>FLUIDIGM CORPORATION</w:t>
            </w:r>
          </w:p>
        </w:tc>
      </w:tr>
      <w:tr>
        <w:trPr>
          <w:trHeight w:val="230"/>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gridSpan w:val="9"/>
          </w:tcPr>
          <w:p>
            <w:pPr>
              <w:ind w:left="20"/>
              <w:spacing w:after="0"/>
              <w:rPr>
                <w:sz w:val="20"/>
                <w:szCs w:val="20"/>
                <w:color w:val="auto"/>
              </w:rPr>
            </w:pPr>
            <w:r>
              <w:rPr>
                <w:rFonts w:ascii="Arial" w:cs="Arial" w:eastAsia="Arial" w:hAnsi="Arial"/>
                <w:sz w:val="18"/>
                <w:szCs w:val="18"/>
                <w:b w:val="1"/>
                <w:bCs w:val="1"/>
                <w:color w:val="auto"/>
              </w:rPr>
              <w:t>TABLE OF CONTENTS</w:t>
            </w:r>
          </w:p>
        </w:tc>
      </w:tr>
      <w:tr>
        <w:trPr>
          <w:trHeight w:val="579"/>
        </w:trPr>
        <w:tc>
          <w:tcPr>
            <w:tcW w:w="700" w:type="dxa"/>
            <w:vAlign w:val="bottom"/>
            <w:tcBorders>
              <w:bottom w:val="single" w:sz="8" w:color="0000FF"/>
            </w:tcBorders>
            <w:gridSpan w:val="2"/>
          </w:tcPr>
          <w:p>
            <w:pPr>
              <w:spacing w:after="0"/>
              <w:rPr>
                <w:rFonts w:ascii="Arial" w:cs="Arial" w:eastAsia="Arial" w:hAnsi="Arial"/>
                <w:sz w:val="21"/>
                <w:szCs w:val="21"/>
                <w:color w:val="0000FF"/>
                <w:w w:val="92"/>
              </w:rPr>
            </w:pPr>
            <w:hyperlink w:anchor="page2">
              <w:r>
                <w:rPr>
                  <w:rFonts w:ascii="Arial" w:cs="Arial" w:eastAsia="Arial" w:hAnsi="Arial"/>
                  <w:sz w:val="21"/>
                  <w:szCs w:val="21"/>
                  <w:color w:val="0000FF"/>
                  <w:w w:val="92"/>
                </w:rPr>
                <w:t>PART I.</w:t>
              </w:r>
            </w:hyperlink>
          </w:p>
        </w:tc>
        <w:tc>
          <w:tcPr>
            <w:tcW w:w="3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40" w:type="dxa"/>
            <w:vAlign w:val="bottom"/>
            <w:gridSpan w:val="10"/>
          </w:tcPr>
          <w:p>
            <w:pPr>
              <w:spacing w:after="0"/>
              <w:rPr>
                <w:rFonts w:ascii="Arial" w:cs="Arial" w:eastAsia="Arial" w:hAnsi="Arial"/>
                <w:sz w:val="21"/>
                <w:szCs w:val="21"/>
                <w:color w:val="0000FF"/>
              </w:rPr>
            </w:pPr>
            <w:hyperlink w:anchor="page2">
              <w:r>
                <w:rPr>
                  <w:rFonts w:ascii="Arial" w:cs="Arial" w:eastAsia="Arial" w:hAnsi="Arial"/>
                  <w:sz w:val="21"/>
                  <w:szCs w:val="21"/>
                  <w:color w:val="0000FF"/>
                </w:rPr>
                <w:t>FINANCIAL INFORMATION</w:t>
              </w:r>
            </w:hyperlink>
          </w:p>
        </w:tc>
      </w:tr>
      <w:tr>
        <w:trPr>
          <w:trHeight w:val="318"/>
        </w:trPr>
        <w:tc>
          <w:tcPr>
            <w:tcW w:w="1060" w:type="dxa"/>
            <w:vAlign w:val="bottom"/>
            <w:gridSpan w:val="5"/>
          </w:tcPr>
          <w:p>
            <w:pPr>
              <w:spacing w:after="0"/>
              <w:rPr>
                <w:rFonts w:ascii="Arial" w:cs="Arial" w:eastAsia="Arial" w:hAnsi="Arial"/>
                <w:sz w:val="21"/>
                <w:szCs w:val="21"/>
                <w:color w:val="0000FF"/>
              </w:rPr>
            </w:pPr>
            <w:hyperlink w:anchor="page2">
              <w:r>
                <w:rPr>
                  <w:rFonts w:ascii="Arial" w:cs="Arial" w:eastAsia="Arial" w:hAnsi="Arial"/>
                  <w:sz w:val="21"/>
                  <w:szCs w:val="21"/>
                  <w:color w:val="0000FF"/>
                </w:rPr>
                <w:t>Item 1.</w:t>
              </w:r>
            </w:hyperlink>
          </w:p>
        </w:tc>
        <w:tc>
          <w:tcPr>
            <w:tcW w:w="3440" w:type="dxa"/>
            <w:vAlign w:val="bottom"/>
            <w:gridSpan w:val="8"/>
          </w:tcPr>
          <w:p>
            <w:pPr>
              <w:spacing w:after="0"/>
              <w:rPr>
                <w:rFonts w:ascii="Arial" w:cs="Arial" w:eastAsia="Arial" w:hAnsi="Arial"/>
                <w:sz w:val="21"/>
                <w:szCs w:val="21"/>
                <w:color w:val="0000FF"/>
              </w:rPr>
            </w:pPr>
            <w:hyperlink w:anchor="page2">
              <w:r>
                <w:rPr>
                  <w:rFonts w:ascii="Arial" w:cs="Arial" w:eastAsia="Arial" w:hAnsi="Arial"/>
                  <w:sz w:val="21"/>
                  <w:szCs w:val="21"/>
                  <w:color w:val="0000FF"/>
                </w:rPr>
                <w:t>Financial Statements (Unaudited)</w:t>
              </w:r>
            </w:hyperlink>
          </w:p>
        </w:tc>
        <w:tc>
          <w:tcPr>
            <w:tcW w:w="2660" w:type="dxa"/>
            <w:vAlign w:val="bottom"/>
            <w:tcBorders>
              <w:top w:val="single" w:sz="8" w:color="0000FF"/>
            </w:tcBorders>
            <w:gridSpan w:val="5"/>
          </w:tcPr>
          <w:p>
            <w:pPr>
              <w:spacing w:after="0"/>
              <w:rPr>
                <w:sz w:val="24"/>
                <w:szCs w:val="24"/>
                <w:color w:val="auto"/>
              </w:rPr>
            </w:pPr>
          </w:p>
        </w:tc>
        <w:tc>
          <w:tcPr>
            <w:tcW w:w="3180" w:type="dxa"/>
            <w:vAlign w:val="bottom"/>
            <w:gridSpan w:val="5"/>
          </w:tcPr>
          <w:p>
            <w:pPr>
              <w:spacing w:after="0"/>
              <w:rPr>
                <w:sz w:val="24"/>
                <w:szCs w:val="24"/>
                <w:color w:val="auto"/>
              </w:rPr>
            </w:pPr>
          </w:p>
        </w:tc>
      </w:tr>
      <w:tr>
        <w:trPr>
          <w:trHeight w:val="27"/>
        </w:trPr>
        <w:tc>
          <w:tcPr>
            <w:tcW w:w="6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8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345"/>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FF"/>
            </w:tcBorders>
            <w:gridSpan w:val="14"/>
          </w:tcPr>
          <w:p>
            <w:pPr>
              <w:spacing w:after="0"/>
              <w:rPr>
                <w:rFonts w:ascii="Arial" w:cs="Arial" w:eastAsia="Arial" w:hAnsi="Arial"/>
                <w:sz w:val="21"/>
                <w:szCs w:val="21"/>
                <w:color w:val="0000FF"/>
                <w:w w:val="89"/>
              </w:rPr>
            </w:pPr>
            <w:hyperlink w:anchor="page3">
              <w:r>
                <w:rPr>
                  <w:rFonts w:ascii="Arial" w:cs="Arial" w:eastAsia="Arial" w:hAnsi="Arial"/>
                  <w:sz w:val="21"/>
                  <w:szCs w:val="21"/>
                  <w:color w:val="0000FF"/>
                  <w:w w:val="89"/>
                </w:rPr>
                <w:t>Condensed Consolidated Balance Sheets as of March 31, 2018 and December 31, 2017</w:t>
              </w:r>
            </w:hyperlink>
          </w:p>
        </w:tc>
        <w:tc>
          <w:tcPr>
            <w:tcW w:w="1860" w:type="dxa"/>
            <w:vAlign w:val="bottom"/>
            <w:gridSpan w:val="4"/>
          </w:tcPr>
          <w:p>
            <w:pPr>
              <w:spacing w:after="0"/>
              <w:rPr>
                <w:sz w:val="24"/>
                <w:szCs w:val="24"/>
                <w:color w:val="auto"/>
              </w:rPr>
            </w:pPr>
          </w:p>
        </w:tc>
      </w:tr>
      <w:tr>
        <w:trPr>
          <w:trHeight w:val="33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bottom w:val="single" w:sz="8" w:color="0000FF"/>
            </w:tcBorders>
            <w:gridSpan w:val="16"/>
          </w:tcPr>
          <w:p>
            <w:pPr>
              <w:spacing w:after="0"/>
              <w:rPr>
                <w:rFonts w:ascii="Arial" w:cs="Arial" w:eastAsia="Arial" w:hAnsi="Arial"/>
                <w:sz w:val="21"/>
                <w:szCs w:val="21"/>
                <w:color w:val="0000FF"/>
                <w:w w:val="90"/>
              </w:rPr>
            </w:pPr>
            <w:hyperlink w:anchor="page3">
              <w:r>
                <w:rPr>
                  <w:rFonts w:ascii="Arial" w:cs="Arial" w:eastAsia="Arial" w:hAnsi="Arial"/>
                  <w:sz w:val="21"/>
                  <w:szCs w:val="21"/>
                  <w:color w:val="0000FF"/>
                  <w:w w:val="90"/>
                </w:rPr>
                <w:t>Condensed Consolidated Statements of Operations for the three months ended March 31, 2018 and 2017</w:t>
              </w:r>
            </w:hyperlink>
          </w:p>
        </w:tc>
        <w:tc>
          <w:tcPr>
            <w:tcW w:w="380" w:type="dxa"/>
            <w:vAlign w:val="bottom"/>
            <w:gridSpan w:val="2"/>
          </w:tcPr>
          <w:p>
            <w:pPr>
              <w:spacing w:after="0"/>
              <w:rPr>
                <w:sz w:val="24"/>
                <w:szCs w:val="24"/>
                <w:color w:val="auto"/>
              </w:rPr>
            </w:pPr>
          </w:p>
        </w:tc>
      </w:tr>
      <w:tr>
        <w:trPr>
          <w:trHeight w:val="299"/>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tcBorders>
              <w:bottom w:val="single" w:sz="8" w:color="0000FF"/>
            </w:tcBorders>
            <w:gridSpan w:val="18"/>
          </w:tcPr>
          <w:p>
            <w:pPr>
              <w:spacing w:after="0"/>
              <w:rPr>
                <w:rFonts w:ascii="Arial" w:cs="Arial" w:eastAsia="Arial" w:hAnsi="Arial"/>
                <w:sz w:val="21"/>
                <w:szCs w:val="21"/>
                <w:color w:val="0000FF"/>
                <w:w w:val="90"/>
              </w:rPr>
            </w:pPr>
            <w:hyperlink w:anchor="page4">
              <w:r>
                <w:rPr>
                  <w:rFonts w:ascii="Arial" w:cs="Arial" w:eastAsia="Arial" w:hAnsi="Arial"/>
                  <w:sz w:val="21"/>
                  <w:szCs w:val="21"/>
                  <w:color w:val="0000FF"/>
                  <w:w w:val="90"/>
                </w:rPr>
                <w:t>Condensed Consolidated Statements of Comprehensive Loss for the three months ended March 31, 2018 and</w:t>
              </w:r>
            </w:hyperlink>
          </w:p>
        </w:tc>
      </w:tr>
      <w:tr>
        <w:trPr>
          <w:trHeight w:val="192"/>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0000FF"/>
            </w:tcBorders>
          </w:tcPr>
          <w:p>
            <w:pPr>
              <w:spacing w:after="0" w:line="193" w:lineRule="exact"/>
              <w:rPr>
                <w:rFonts w:ascii="Arial" w:cs="Arial" w:eastAsia="Arial" w:hAnsi="Arial"/>
                <w:sz w:val="21"/>
                <w:szCs w:val="21"/>
                <w:color w:val="0000FF"/>
                <w:w w:val="89"/>
              </w:rPr>
            </w:pPr>
            <w:hyperlink w:anchor="page4">
              <w:r>
                <w:rPr>
                  <w:rFonts w:ascii="Arial" w:cs="Arial" w:eastAsia="Arial" w:hAnsi="Arial"/>
                  <w:sz w:val="21"/>
                  <w:szCs w:val="21"/>
                  <w:color w:val="0000FF"/>
                  <w:w w:val="89"/>
                </w:rPr>
                <w:t>2017</w:t>
              </w:r>
            </w:hyperlink>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3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18"/>
          </w:tcPr>
          <w:p>
            <w:pPr>
              <w:spacing w:after="0"/>
              <w:rPr>
                <w:rFonts w:ascii="Arial" w:cs="Arial" w:eastAsia="Arial" w:hAnsi="Arial"/>
                <w:sz w:val="21"/>
                <w:szCs w:val="21"/>
                <w:color w:val="0000FF"/>
                <w:w w:val="93"/>
              </w:rPr>
            </w:pPr>
            <w:hyperlink w:anchor="page5">
              <w:r>
                <w:rPr>
                  <w:rFonts w:ascii="Arial" w:cs="Arial" w:eastAsia="Arial" w:hAnsi="Arial"/>
                  <w:sz w:val="21"/>
                  <w:szCs w:val="21"/>
                  <w:color w:val="0000FF"/>
                  <w:w w:val="93"/>
                </w:rPr>
                <w:t>Condensed Consolidated Statements of Cash Flows for the three months ended March 31, 2018 and 2017</w:t>
              </w:r>
            </w:hyperlink>
          </w:p>
        </w:tc>
      </w:tr>
      <w:tr>
        <w:trPr>
          <w:trHeight w:val="338"/>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tcBorders>
              <w:top w:val="single" w:sz="8" w:color="0000FF"/>
              <w:bottom w:val="single" w:sz="8" w:color="0000FF"/>
            </w:tcBorders>
            <w:gridSpan w:val="10"/>
          </w:tcPr>
          <w:p>
            <w:pPr>
              <w:spacing w:after="0"/>
              <w:rPr>
                <w:rFonts w:ascii="Arial" w:cs="Arial" w:eastAsia="Arial" w:hAnsi="Arial"/>
                <w:sz w:val="21"/>
                <w:szCs w:val="21"/>
                <w:color w:val="0000FF"/>
                <w:w w:val="90"/>
              </w:rPr>
            </w:pPr>
            <w:hyperlink w:anchor="page6">
              <w:r>
                <w:rPr>
                  <w:rFonts w:ascii="Arial" w:cs="Arial" w:eastAsia="Arial" w:hAnsi="Arial"/>
                  <w:sz w:val="21"/>
                  <w:szCs w:val="21"/>
                  <w:color w:val="0000FF"/>
                  <w:w w:val="90"/>
                </w:rPr>
                <w:t>Notes to Condensed Consolidated Financial Statements</w:t>
              </w:r>
            </w:hyperlink>
          </w:p>
        </w:tc>
        <w:tc>
          <w:tcPr>
            <w:tcW w:w="4240" w:type="dxa"/>
            <w:vAlign w:val="bottom"/>
            <w:tcBorders>
              <w:top w:val="single" w:sz="8" w:color="0000FF"/>
            </w:tcBorders>
            <w:gridSpan w:val="7"/>
          </w:tcPr>
          <w:p>
            <w:pPr>
              <w:spacing w:after="0"/>
              <w:rPr>
                <w:sz w:val="24"/>
                <w:szCs w:val="24"/>
                <w:color w:val="auto"/>
              </w:rPr>
            </w:pPr>
          </w:p>
        </w:tc>
        <w:tc>
          <w:tcPr>
            <w:tcW w:w="320" w:type="dxa"/>
            <w:vAlign w:val="bottom"/>
          </w:tcPr>
          <w:p>
            <w:pPr>
              <w:spacing w:after="0"/>
              <w:rPr>
                <w:sz w:val="24"/>
                <w:szCs w:val="24"/>
                <w:color w:val="auto"/>
              </w:rPr>
            </w:pPr>
          </w:p>
        </w:tc>
      </w:tr>
      <w:tr>
        <w:trPr>
          <w:trHeight w:val="325"/>
        </w:trPr>
        <w:tc>
          <w:tcPr>
            <w:tcW w:w="1060" w:type="dxa"/>
            <w:vAlign w:val="bottom"/>
            <w:gridSpan w:val="5"/>
          </w:tcPr>
          <w:p>
            <w:pPr>
              <w:spacing w:after="0"/>
              <w:rPr>
                <w:rFonts w:ascii="Arial" w:cs="Arial" w:eastAsia="Arial" w:hAnsi="Arial"/>
                <w:sz w:val="21"/>
                <w:szCs w:val="21"/>
                <w:color w:val="0000FF"/>
              </w:rPr>
            </w:pPr>
            <w:hyperlink w:anchor="page22">
              <w:r>
                <w:rPr>
                  <w:rFonts w:ascii="Arial" w:cs="Arial" w:eastAsia="Arial" w:hAnsi="Arial"/>
                  <w:sz w:val="21"/>
                  <w:szCs w:val="21"/>
                  <w:color w:val="0000FF"/>
                </w:rPr>
                <w:t>Item 2.</w:t>
              </w:r>
            </w:hyperlink>
          </w:p>
        </w:tc>
        <w:tc>
          <w:tcPr>
            <w:tcW w:w="9280" w:type="dxa"/>
            <w:vAlign w:val="bottom"/>
            <w:gridSpan w:val="18"/>
          </w:tcPr>
          <w:p>
            <w:pPr>
              <w:spacing w:after="0"/>
              <w:rPr>
                <w:rFonts w:ascii="Arial" w:cs="Arial" w:eastAsia="Arial" w:hAnsi="Arial"/>
                <w:sz w:val="21"/>
                <w:szCs w:val="21"/>
                <w:color w:val="0000FF"/>
              </w:rPr>
            </w:pPr>
            <w:hyperlink w:anchor="page22">
              <w:r>
                <w:rPr>
                  <w:rFonts w:ascii="Arial" w:cs="Arial" w:eastAsia="Arial" w:hAnsi="Arial"/>
                  <w:sz w:val="21"/>
                  <w:szCs w:val="21"/>
                  <w:color w:val="0000FF"/>
                </w:rPr>
                <w:t>Management’s Discussion and Analysis of Financial Condition and Results of Operations</w:t>
              </w:r>
            </w:hyperlink>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1560" w:type="dxa"/>
            <w:vAlign w:val="bottom"/>
            <w:tcBorders>
              <w:bottom w:val="single" w:sz="8" w:color="0000FF"/>
            </w:tcBorders>
            <w:gridSpan w:val="3"/>
          </w:tcPr>
          <w:p>
            <w:pPr>
              <w:spacing w:after="0" w:line="20" w:lineRule="exact"/>
              <w:rPr>
                <w:sz w:val="1"/>
                <w:szCs w:val="1"/>
                <w:color w:val="auto"/>
              </w:rPr>
            </w:pPr>
          </w:p>
        </w:tc>
        <w:tc>
          <w:tcPr>
            <w:tcW w:w="1480" w:type="dxa"/>
            <w:vAlign w:val="bottom"/>
            <w:tcBorders>
              <w:bottom w:val="single" w:sz="8" w:color="0000FF"/>
            </w:tcBorders>
            <w:gridSpan w:val="2"/>
          </w:tcPr>
          <w:p>
            <w:pPr>
              <w:spacing w:after="0" w:line="20" w:lineRule="exact"/>
              <w:rPr>
                <w:sz w:val="1"/>
                <w:szCs w:val="1"/>
                <w:color w:val="auto"/>
              </w:rPr>
            </w:pPr>
          </w:p>
        </w:tc>
        <w:tc>
          <w:tcPr>
            <w:tcW w:w="740" w:type="dxa"/>
            <w:vAlign w:val="bottom"/>
            <w:tcBorders>
              <w:bottom w:val="single" w:sz="8" w:color="0000FF"/>
            </w:tcBorders>
          </w:tcPr>
          <w:p>
            <w:pPr>
              <w:spacing w:after="0" w:line="20" w:lineRule="exact"/>
              <w:rPr>
                <w:sz w:val="1"/>
                <w:szCs w:val="1"/>
                <w:color w:val="auto"/>
              </w:rPr>
            </w:pPr>
          </w:p>
        </w:tc>
        <w:tc>
          <w:tcPr>
            <w:tcW w:w="1740" w:type="dxa"/>
            <w:vAlign w:val="bottom"/>
            <w:tcBorders>
              <w:bottom w:val="single" w:sz="8" w:color="0000FF"/>
            </w:tcBorders>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318"/>
        </w:trPr>
        <w:tc>
          <w:tcPr>
            <w:tcW w:w="1060" w:type="dxa"/>
            <w:vAlign w:val="bottom"/>
            <w:gridSpan w:val="5"/>
          </w:tcPr>
          <w:p>
            <w:pPr>
              <w:spacing w:after="0"/>
              <w:rPr>
                <w:rFonts w:ascii="Arial" w:cs="Arial" w:eastAsia="Arial" w:hAnsi="Arial"/>
                <w:sz w:val="21"/>
                <w:szCs w:val="21"/>
                <w:color w:val="0000FF"/>
              </w:rPr>
            </w:pPr>
            <w:hyperlink w:anchor="page32">
              <w:r>
                <w:rPr>
                  <w:rFonts w:ascii="Arial" w:cs="Arial" w:eastAsia="Arial" w:hAnsi="Arial"/>
                  <w:sz w:val="21"/>
                  <w:szCs w:val="21"/>
                  <w:color w:val="0000FF"/>
                </w:rPr>
                <w:t>Item 3.</w:t>
              </w:r>
            </w:hyperlink>
          </w:p>
        </w:tc>
        <w:tc>
          <w:tcPr>
            <w:tcW w:w="9280" w:type="dxa"/>
            <w:vAlign w:val="bottom"/>
            <w:gridSpan w:val="18"/>
          </w:tcPr>
          <w:p>
            <w:pPr>
              <w:spacing w:after="0"/>
              <w:rPr>
                <w:rFonts w:ascii="Arial" w:cs="Arial" w:eastAsia="Arial" w:hAnsi="Arial"/>
                <w:sz w:val="21"/>
                <w:szCs w:val="21"/>
                <w:color w:val="0000FF"/>
              </w:rPr>
            </w:pPr>
            <w:hyperlink w:anchor="page32">
              <w:r>
                <w:rPr>
                  <w:rFonts w:ascii="Arial" w:cs="Arial" w:eastAsia="Arial" w:hAnsi="Arial"/>
                  <w:sz w:val="21"/>
                  <w:szCs w:val="21"/>
                  <w:color w:val="0000FF"/>
                </w:rPr>
                <w:t>Quantitative and Qualitative Disclosures About Market Risk</w:t>
              </w:r>
            </w:hyperlink>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1560" w:type="dxa"/>
            <w:vAlign w:val="bottom"/>
            <w:tcBorders>
              <w:bottom w:val="single" w:sz="8" w:color="0000FF"/>
            </w:tcBorders>
            <w:gridSpan w:val="3"/>
          </w:tcPr>
          <w:p>
            <w:pPr>
              <w:spacing w:after="0" w:line="20" w:lineRule="exact"/>
              <w:rPr>
                <w:sz w:val="1"/>
                <w:szCs w:val="1"/>
                <w:color w:val="auto"/>
              </w:rPr>
            </w:pPr>
          </w:p>
        </w:tc>
        <w:tc>
          <w:tcPr>
            <w:tcW w:w="1480" w:type="dxa"/>
            <w:vAlign w:val="bottom"/>
            <w:tcBorders>
              <w:bottom w:val="single" w:sz="8" w:color="0000FF"/>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r>
      <w:tr>
        <w:trPr>
          <w:trHeight w:val="318"/>
        </w:trPr>
        <w:tc>
          <w:tcPr>
            <w:tcW w:w="1060" w:type="dxa"/>
            <w:vAlign w:val="bottom"/>
            <w:gridSpan w:val="5"/>
          </w:tcPr>
          <w:p>
            <w:pPr>
              <w:spacing w:after="0"/>
              <w:rPr>
                <w:rFonts w:ascii="Arial" w:cs="Arial" w:eastAsia="Arial" w:hAnsi="Arial"/>
                <w:sz w:val="21"/>
                <w:szCs w:val="21"/>
                <w:color w:val="0000FF"/>
              </w:rPr>
            </w:pPr>
            <w:hyperlink w:anchor="page32">
              <w:r>
                <w:rPr>
                  <w:rFonts w:ascii="Arial" w:cs="Arial" w:eastAsia="Arial" w:hAnsi="Arial"/>
                  <w:sz w:val="21"/>
                  <w:szCs w:val="21"/>
                  <w:color w:val="0000FF"/>
                </w:rPr>
                <w:t>Item 4.</w:t>
              </w:r>
            </w:hyperlink>
          </w:p>
        </w:tc>
        <w:tc>
          <w:tcPr>
            <w:tcW w:w="9280" w:type="dxa"/>
            <w:vAlign w:val="bottom"/>
            <w:gridSpan w:val="18"/>
          </w:tcPr>
          <w:p>
            <w:pPr>
              <w:spacing w:after="0"/>
              <w:rPr>
                <w:rFonts w:ascii="Arial" w:cs="Arial" w:eastAsia="Arial" w:hAnsi="Arial"/>
                <w:sz w:val="21"/>
                <w:szCs w:val="21"/>
                <w:color w:val="0000FF"/>
              </w:rPr>
            </w:pPr>
            <w:hyperlink w:anchor="page32">
              <w:r>
                <w:rPr>
                  <w:rFonts w:ascii="Arial" w:cs="Arial" w:eastAsia="Arial" w:hAnsi="Arial"/>
                  <w:sz w:val="21"/>
                  <w:szCs w:val="21"/>
                  <w:color w:val="0000FF"/>
                </w:rPr>
                <w:t>Controls and Procedures</w:t>
              </w:r>
            </w:hyperlink>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r>
      <w:tr>
        <w:trPr>
          <w:trHeight w:val="338"/>
        </w:trPr>
        <w:tc>
          <w:tcPr>
            <w:tcW w:w="780" w:type="dxa"/>
            <w:vAlign w:val="bottom"/>
            <w:tcBorders>
              <w:bottom w:val="single" w:sz="8" w:color="0000FF"/>
            </w:tcBorders>
            <w:gridSpan w:val="4"/>
          </w:tcPr>
          <w:p>
            <w:pPr>
              <w:spacing w:after="0"/>
              <w:rPr>
                <w:rFonts w:ascii="Arial" w:cs="Arial" w:eastAsia="Arial" w:hAnsi="Arial"/>
                <w:sz w:val="21"/>
                <w:szCs w:val="21"/>
                <w:color w:val="0000FF"/>
                <w:w w:val="95"/>
              </w:rPr>
            </w:pPr>
            <w:hyperlink w:anchor="page33">
              <w:r>
                <w:rPr>
                  <w:rFonts w:ascii="Arial" w:cs="Arial" w:eastAsia="Arial" w:hAnsi="Arial"/>
                  <w:sz w:val="21"/>
                  <w:szCs w:val="21"/>
                  <w:color w:val="0000FF"/>
                  <w:w w:val="95"/>
                </w:rPr>
                <w:t>PART II.</w:t>
              </w:r>
            </w:hyperlink>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9"/>
          </w:tcPr>
          <w:p>
            <w:pPr>
              <w:spacing w:after="0"/>
              <w:rPr>
                <w:rFonts w:ascii="Arial" w:cs="Arial" w:eastAsia="Arial" w:hAnsi="Arial"/>
                <w:sz w:val="21"/>
                <w:szCs w:val="21"/>
                <w:color w:val="0000FF"/>
              </w:rPr>
            </w:pPr>
            <w:hyperlink w:anchor="page33">
              <w:r>
                <w:rPr>
                  <w:rFonts w:ascii="Arial" w:cs="Arial" w:eastAsia="Arial" w:hAnsi="Arial"/>
                  <w:sz w:val="21"/>
                  <w:szCs w:val="21"/>
                  <w:color w:val="0000FF"/>
                </w:rPr>
                <w:t>OTHER INFORMATION</w:t>
              </w:r>
            </w:hyperlink>
          </w:p>
        </w:tc>
      </w:tr>
      <w:tr>
        <w:trPr>
          <w:trHeight w:val="318"/>
        </w:trPr>
        <w:tc>
          <w:tcPr>
            <w:tcW w:w="1060" w:type="dxa"/>
            <w:vAlign w:val="bottom"/>
            <w:gridSpan w:val="5"/>
          </w:tcPr>
          <w:p>
            <w:pPr>
              <w:spacing w:after="0"/>
              <w:rPr>
                <w:rFonts w:ascii="Arial" w:cs="Arial" w:eastAsia="Arial" w:hAnsi="Arial"/>
                <w:sz w:val="21"/>
                <w:szCs w:val="21"/>
                <w:color w:val="0000FF"/>
              </w:rPr>
            </w:pPr>
            <w:hyperlink w:anchor="page34">
              <w:r>
                <w:rPr>
                  <w:rFonts w:ascii="Arial" w:cs="Arial" w:eastAsia="Arial" w:hAnsi="Arial"/>
                  <w:sz w:val="21"/>
                  <w:szCs w:val="21"/>
                  <w:color w:val="0000FF"/>
                </w:rPr>
                <w:t>Item 1.</w:t>
              </w:r>
            </w:hyperlink>
          </w:p>
        </w:tc>
        <w:tc>
          <w:tcPr>
            <w:tcW w:w="3660" w:type="dxa"/>
            <w:vAlign w:val="bottom"/>
            <w:gridSpan w:val="9"/>
          </w:tcPr>
          <w:p>
            <w:pPr>
              <w:spacing w:after="0"/>
              <w:rPr>
                <w:rFonts w:ascii="Arial" w:cs="Arial" w:eastAsia="Arial" w:hAnsi="Arial"/>
                <w:sz w:val="21"/>
                <w:szCs w:val="21"/>
                <w:color w:val="0000FF"/>
              </w:rPr>
            </w:pPr>
            <w:hyperlink w:anchor="page34">
              <w:r>
                <w:rPr>
                  <w:rFonts w:ascii="Arial" w:cs="Arial" w:eastAsia="Arial" w:hAnsi="Arial"/>
                  <w:sz w:val="21"/>
                  <w:szCs w:val="21"/>
                  <w:color w:val="0000FF"/>
                </w:rPr>
                <w:t>Legal Proceedings</w:t>
              </w:r>
            </w:hyperlink>
          </w:p>
        </w:tc>
        <w:tc>
          <w:tcPr>
            <w:tcW w:w="2220" w:type="dxa"/>
            <w:vAlign w:val="bottom"/>
            <w:tcBorders>
              <w:top w:val="single" w:sz="8" w:color="0000FF"/>
            </w:tcBorders>
            <w:gridSpan w:val="3"/>
          </w:tcPr>
          <w:p>
            <w:pPr>
              <w:spacing w:after="0"/>
              <w:rPr>
                <w:sz w:val="24"/>
                <w:szCs w:val="24"/>
                <w:color w:val="auto"/>
              </w:rPr>
            </w:pPr>
          </w:p>
        </w:tc>
        <w:tc>
          <w:tcPr>
            <w:tcW w:w="3400" w:type="dxa"/>
            <w:vAlign w:val="bottom"/>
            <w:gridSpan w:val="6"/>
          </w:tcPr>
          <w:p>
            <w:pPr>
              <w:spacing w:after="0"/>
              <w:rPr>
                <w:sz w:val="24"/>
                <w:szCs w:val="24"/>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r>
      <w:tr>
        <w:trPr>
          <w:trHeight w:val="338"/>
        </w:trPr>
        <w:tc>
          <w:tcPr>
            <w:tcW w:w="760" w:type="dxa"/>
            <w:vAlign w:val="bottom"/>
            <w:tcBorders>
              <w:bottom w:val="single" w:sz="8" w:color="0000FF"/>
            </w:tcBorders>
            <w:gridSpan w:val="3"/>
          </w:tcPr>
          <w:p>
            <w:pPr>
              <w:spacing w:after="0"/>
              <w:rPr>
                <w:rFonts w:ascii="Arial" w:cs="Arial" w:eastAsia="Arial" w:hAnsi="Arial"/>
                <w:sz w:val="21"/>
                <w:szCs w:val="21"/>
                <w:color w:val="0000FF"/>
                <w:w w:val="94"/>
              </w:rPr>
            </w:pPr>
            <w:hyperlink w:anchor="page34">
              <w:r>
                <w:rPr>
                  <w:rFonts w:ascii="Arial" w:cs="Arial" w:eastAsia="Arial" w:hAnsi="Arial"/>
                  <w:sz w:val="21"/>
                  <w:szCs w:val="21"/>
                  <w:color w:val="0000FF"/>
                  <w:w w:val="94"/>
                </w:rPr>
                <w:t>Item 1A.</w:t>
              </w:r>
            </w:hyperlink>
          </w:p>
        </w:tc>
        <w:tc>
          <w:tcPr>
            <w:tcW w:w="300" w:type="dxa"/>
            <w:vAlign w:val="bottom"/>
            <w:gridSpan w:val="2"/>
          </w:tcPr>
          <w:p>
            <w:pPr>
              <w:spacing w:after="0"/>
              <w:rPr>
                <w:sz w:val="24"/>
                <w:szCs w:val="24"/>
                <w:color w:val="auto"/>
              </w:rPr>
            </w:pPr>
          </w:p>
        </w:tc>
        <w:tc>
          <w:tcPr>
            <w:tcW w:w="1080" w:type="dxa"/>
            <w:vAlign w:val="bottom"/>
            <w:tcBorders>
              <w:bottom w:val="single" w:sz="8" w:color="0000FF"/>
            </w:tcBorders>
            <w:gridSpan w:val="3"/>
          </w:tcPr>
          <w:p>
            <w:pPr>
              <w:spacing w:after="0"/>
              <w:rPr>
                <w:rFonts w:ascii="Arial" w:cs="Arial" w:eastAsia="Arial" w:hAnsi="Arial"/>
                <w:sz w:val="21"/>
                <w:szCs w:val="21"/>
                <w:color w:val="0000FF"/>
                <w:w w:val="90"/>
              </w:rPr>
            </w:pPr>
            <w:hyperlink w:anchor="page34">
              <w:r>
                <w:rPr>
                  <w:rFonts w:ascii="Arial" w:cs="Arial" w:eastAsia="Arial" w:hAnsi="Arial"/>
                  <w:sz w:val="21"/>
                  <w:szCs w:val="21"/>
                  <w:color w:val="0000FF"/>
                  <w:w w:val="90"/>
                </w:rPr>
                <w:t>Risk Factors</w:t>
              </w:r>
            </w:hyperlink>
          </w:p>
        </w:tc>
        <w:tc>
          <w:tcPr>
            <w:tcW w:w="8200" w:type="dxa"/>
            <w:vAlign w:val="bottom"/>
            <w:gridSpan w:val="15"/>
          </w:tcPr>
          <w:p>
            <w:pPr>
              <w:spacing w:after="0"/>
              <w:rPr>
                <w:sz w:val="24"/>
                <w:szCs w:val="24"/>
                <w:color w:val="auto"/>
              </w:rPr>
            </w:pPr>
          </w:p>
        </w:tc>
      </w:tr>
      <w:tr>
        <w:trPr>
          <w:trHeight w:val="318"/>
        </w:trPr>
        <w:tc>
          <w:tcPr>
            <w:tcW w:w="1060" w:type="dxa"/>
            <w:vAlign w:val="bottom"/>
            <w:gridSpan w:val="5"/>
          </w:tcPr>
          <w:p>
            <w:pPr>
              <w:spacing w:after="0"/>
              <w:rPr>
                <w:rFonts w:ascii="Arial" w:cs="Arial" w:eastAsia="Arial" w:hAnsi="Arial"/>
                <w:sz w:val="21"/>
                <w:szCs w:val="21"/>
                <w:color w:val="0000FF"/>
              </w:rPr>
            </w:pPr>
            <w:hyperlink w:anchor="page66">
              <w:r>
                <w:rPr>
                  <w:rFonts w:ascii="Arial" w:cs="Arial" w:eastAsia="Arial" w:hAnsi="Arial"/>
                  <w:sz w:val="21"/>
                  <w:szCs w:val="21"/>
                  <w:color w:val="0000FF"/>
                </w:rPr>
                <w:t>Item 5.</w:t>
              </w:r>
            </w:hyperlink>
          </w:p>
        </w:tc>
        <w:tc>
          <w:tcPr>
            <w:tcW w:w="9280" w:type="dxa"/>
            <w:vAlign w:val="bottom"/>
            <w:gridSpan w:val="18"/>
          </w:tcPr>
          <w:p>
            <w:pPr>
              <w:spacing w:after="0"/>
              <w:rPr>
                <w:rFonts w:ascii="Arial" w:cs="Arial" w:eastAsia="Arial" w:hAnsi="Arial"/>
                <w:sz w:val="21"/>
                <w:szCs w:val="21"/>
                <w:color w:val="0000FF"/>
              </w:rPr>
            </w:pPr>
            <w:hyperlink w:anchor="page66">
              <w:r>
                <w:rPr>
                  <w:rFonts w:ascii="Arial" w:cs="Arial" w:eastAsia="Arial" w:hAnsi="Arial"/>
                  <w:sz w:val="21"/>
                  <w:szCs w:val="21"/>
                  <w:color w:val="0000FF"/>
                </w:rPr>
                <w:t>Other Information</w:t>
              </w:r>
            </w:hyperlink>
          </w:p>
        </w:tc>
      </w:tr>
      <w:tr>
        <w:trPr>
          <w:trHeight w:val="20"/>
        </w:trPr>
        <w:tc>
          <w:tcPr>
            <w:tcW w:w="60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20" w:type="dxa"/>
            <w:vAlign w:val="bottom"/>
            <w:tcBorders>
              <w:bottom w:val="single" w:sz="8" w:color="0000FF"/>
            </w:tcBorders>
            <w:gridSpan w:val="2"/>
          </w:tcPr>
          <w:p>
            <w:pPr>
              <w:spacing w:after="0" w:line="20" w:lineRule="exact"/>
              <w:rPr>
                <w:sz w:val="1"/>
                <w:szCs w:val="1"/>
                <w:color w:val="auto"/>
              </w:rPr>
            </w:pPr>
          </w:p>
        </w:tc>
        <w:tc>
          <w:tcPr>
            <w:tcW w:w="840" w:type="dxa"/>
            <w:vAlign w:val="bottom"/>
            <w:tcBorders>
              <w:bottom w:val="single" w:sz="8" w:color="0000FF"/>
            </w:tcBorders>
            <w:gridSpan w:val="2"/>
          </w:tcPr>
          <w:p>
            <w:pPr>
              <w:spacing w:after="0" w:line="20" w:lineRule="exact"/>
              <w:rPr>
                <w:sz w:val="1"/>
                <w:szCs w:val="1"/>
                <w:color w:val="auto"/>
              </w:rPr>
            </w:pPr>
          </w:p>
        </w:tc>
        <w:tc>
          <w:tcPr>
            <w:tcW w:w="7720" w:type="dxa"/>
            <w:vAlign w:val="bottom"/>
            <w:gridSpan w:val="14"/>
          </w:tcPr>
          <w:p>
            <w:pPr>
              <w:spacing w:after="0" w:line="20" w:lineRule="exact"/>
              <w:rPr>
                <w:sz w:val="1"/>
                <w:szCs w:val="1"/>
                <w:color w:val="auto"/>
              </w:rPr>
            </w:pPr>
          </w:p>
        </w:tc>
      </w:tr>
      <w:tr>
        <w:trPr>
          <w:trHeight w:val="371"/>
        </w:trPr>
        <w:tc>
          <w:tcPr>
            <w:tcW w:w="1060" w:type="dxa"/>
            <w:vAlign w:val="bottom"/>
            <w:gridSpan w:val="5"/>
          </w:tcPr>
          <w:p>
            <w:pPr>
              <w:spacing w:after="0"/>
              <w:rPr>
                <w:rFonts w:ascii="Arial" w:cs="Arial" w:eastAsia="Arial" w:hAnsi="Arial"/>
                <w:sz w:val="21"/>
                <w:szCs w:val="21"/>
                <w:color w:val="0000FF"/>
              </w:rPr>
            </w:pPr>
            <w:hyperlink w:anchor="page66">
              <w:r>
                <w:rPr>
                  <w:rFonts w:ascii="Arial" w:cs="Arial" w:eastAsia="Arial" w:hAnsi="Arial"/>
                  <w:sz w:val="21"/>
                  <w:szCs w:val="21"/>
                  <w:color w:val="0000FF"/>
                </w:rPr>
                <w:t>Item 6.</w:t>
              </w:r>
            </w:hyperlink>
          </w:p>
        </w:tc>
        <w:tc>
          <w:tcPr>
            <w:tcW w:w="9280" w:type="dxa"/>
            <w:vAlign w:val="bottom"/>
            <w:gridSpan w:val="18"/>
          </w:tcPr>
          <w:p>
            <w:pPr>
              <w:spacing w:after="0"/>
              <w:rPr>
                <w:rFonts w:ascii="Arial" w:cs="Arial" w:eastAsia="Arial" w:hAnsi="Arial"/>
                <w:sz w:val="21"/>
                <w:szCs w:val="21"/>
                <w:color w:val="0000FF"/>
              </w:rPr>
            </w:pPr>
            <w:hyperlink w:anchor="page66">
              <w:r>
                <w:rPr>
                  <w:rFonts w:ascii="Arial" w:cs="Arial" w:eastAsia="Arial" w:hAnsi="Arial"/>
                  <w:sz w:val="21"/>
                  <w:szCs w:val="21"/>
                  <w:color w:val="0000FF"/>
                </w:rPr>
                <w:t>Exhibits</w:t>
              </w:r>
            </w:hyperlink>
          </w:p>
        </w:tc>
      </w:tr>
      <w:tr>
        <w:trPr>
          <w:trHeight w:val="27"/>
        </w:trPr>
        <w:tc>
          <w:tcPr>
            <w:tcW w:w="6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r>
    </w:tbl>
    <w:p>
      <w:pPr>
        <w:spacing w:after="0" w:line="125" w:lineRule="exact"/>
        <w:rPr>
          <w:sz w:val="20"/>
          <w:szCs w:val="20"/>
          <w:color w:val="auto"/>
        </w:rPr>
      </w:pPr>
    </w:p>
    <w:p>
      <w:pPr>
        <w:spacing w:after="0"/>
        <w:rPr>
          <w:rFonts w:ascii="Arial" w:cs="Arial" w:eastAsia="Arial" w:hAnsi="Arial"/>
          <w:sz w:val="21"/>
          <w:szCs w:val="21"/>
          <w:u w:val="single" w:color="auto"/>
          <w:color w:val="0000FF"/>
        </w:rPr>
      </w:pPr>
      <w:hyperlink w:anchor="page67">
        <w:r>
          <w:rPr>
            <w:rFonts w:ascii="Arial" w:cs="Arial" w:eastAsia="Arial" w:hAnsi="Arial"/>
            <w:sz w:val="21"/>
            <w:szCs w:val="21"/>
            <w:u w:val="single" w:color="auto"/>
            <w:color w:val="0000FF"/>
          </w:rPr>
          <w:t>SIGNATURES</w:t>
        </w:r>
      </w:hyperlink>
    </w:p>
    <w:p>
      <w:pPr>
        <w:spacing w:after="0" w:line="90" w:lineRule="exact"/>
        <w:rPr>
          <w:sz w:val="20"/>
          <w:szCs w:val="20"/>
          <w:color w:val="auto"/>
        </w:rPr>
      </w:pPr>
    </w:p>
    <w:p>
      <w:pPr>
        <w:spacing w:after="0"/>
        <w:rPr>
          <w:rFonts w:ascii="Arial" w:cs="Arial" w:eastAsia="Arial" w:hAnsi="Arial"/>
          <w:sz w:val="21"/>
          <w:szCs w:val="21"/>
          <w:u w:val="single" w:color="auto"/>
          <w:color w:val="0000FF"/>
        </w:rPr>
      </w:pPr>
      <w:hyperlink w:anchor="page68">
        <w:r>
          <w:rPr>
            <w:rFonts w:ascii="Arial" w:cs="Arial" w:eastAsia="Arial" w:hAnsi="Arial"/>
            <w:sz w:val="21"/>
            <w:szCs w:val="21"/>
            <w:u w:val="single" w:color="auto"/>
            <w:color w:val="0000FF"/>
          </w:rPr>
          <w:t>EXHIBIT LIST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32385</wp:posOffset>
            </wp:positionV>
            <wp:extent cx="488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right"/>
        <w:spacing w:after="0"/>
        <w:rPr>
          <w:rFonts w:ascii="Arial" w:cs="Arial" w:eastAsia="Arial" w:hAnsi="Arial"/>
          <w:sz w:val="21"/>
          <w:szCs w:val="21"/>
          <w:u w:val="single" w:color="auto"/>
          <w:color w:val="0000FF"/>
        </w:rPr>
      </w:pPr>
      <w:hyperlink w:anchor="page2">
        <w:r>
          <w:rPr>
            <w:rFonts w:ascii="Arial" w:cs="Arial" w:eastAsia="Arial" w:hAnsi="Arial"/>
            <w:sz w:val="21"/>
            <w:szCs w:val="21"/>
            <w:u w:val="single" w:color="auto"/>
            <w:color w:val="0000FF"/>
          </w:rPr>
          <w:t>1</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3">
        <w:r>
          <w:rPr>
            <w:rFonts w:ascii="Arial" w:cs="Arial" w:eastAsia="Arial" w:hAnsi="Arial"/>
            <w:sz w:val="21"/>
            <w:szCs w:val="21"/>
            <w:u w:val="single" w:color="auto"/>
            <w:color w:val="0000FF"/>
          </w:rPr>
          <w:t>1</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3">
        <w:r>
          <w:rPr>
            <w:rFonts w:ascii="Arial" w:cs="Arial" w:eastAsia="Arial" w:hAnsi="Arial"/>
            <w:sz w:val="21"/>
            <w:szCs w:val="21"/>
            <w:u w:val="single" w:color="auto"/>
            <w:color w:val="0000FF"/>
          </w:rPr>
          <w:t>2</w:t>
        </w:r>
      </w:hyperlink>
    </w:p>
    <w:p>
      <w:pPr>
        <w:spacing w:after="0" w:line="289" w:lineRule="exact"/>
        <w:rPr>
          <w:sz w:val="20"/>
          <w:szCs w:val="20"/>
          <w:color w:val="auto"/>
        </w:rPr>
      </w:pPr>
    </w:p>
    <w:p>
      <w:pPr>
        <w:jc w:val="right"/>
        <w:spacing w:after="0"/>
        <w:rPr>
          <w:rFonts w:ascii="Arial" w:cs="Arial" w:eastAsia="Arial" w:hAnsi="Arial"/>
          <w:sz w:val="21"/>
          <w:szCs w:val="21"/>
          <w:u w:val="single" w:color="auto"/>
          <w:color w:val="0000FF"/>
        </w:rPr>
      </w:pPr>
      <w:hyperlink w:anchor="page4">
        <w:r>
          <w:rPr>
            <w:rFonts w:ascii="Arial" w:cs="Arial" w:eastAsia="Arial" w:hAnsi="Arial"/>
            <w:sz w:val="21"/>
            <w:szCs w:val="21"/>
            <w:u w:val="single" w:color="auto"/>
            <w:color w:val="0000FF"/>
          </w:rPr>
          <w:t>3</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5">
        <w:r>
          <w:rPr>
            <w:rFonts w:ascii="Arial" w:cs="Arial" w:eastAsia="Arial" w:hAnsi="Arial"/>
            <w:sz w:val="21"/>
            <w:szCs w:val="21"/>
            <w:u w:val="single" w:color="auto"/>
            <w:color w:val="0000FF"/>
          </w:rPr>
          <w:t>4</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6">
        <w:r>
          <w:rPr>
            <w:rFonts w:ascii="Arial" w:cs="Arial" w:eastAsia="Arial" w:hAnsi="Arial"/>
            <w:sz w:val="21"/>
            <w:szCs w:val="21"/>
            <w:u w:val="single" w:color="auto"/>
            <w:color w:val="0000FF"/>
          </w:rPr>
          <w:t>4</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22">
        <w:r>
          <w:rPr>
            <w:rFonts w:ascii="Arial" w:cs="Arial" w:eastAsia="Arial" w:hAnsi="Arial"/>
            <w:sz w:val="21"/>
            <w:szCs w:val="21"/>
            <w:u w:val="single" w:color="auto"/>
            <w:color w:val="0000FF"/>
          </w:rPr>
          <w:t>21</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32">
        <w:r>
          <w:rPr>
            <w:rFonts w:ascii="Arial" w:cs="Arial" w:eastAsia="Arial" w:hAnsi="Arial"/>
            <w:sz w:val="21"/>
            <w:szCs w:val="21"/>
            <w:u w:val="single" w:color="auto"/>
            <w:color w:val="0000FF"/>
          </w:rPr>
          <w:t>30</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32">
        <w:r>
          <w:rPr>
            <w:rFonts w:ascii="Arial" w:cs="Arial" w:eastAsia="Arial" w:hAnsi="Arial"/>
            <w:sz w:val="21"/>
            <w:szCs w:val="21"/>
            <w:u w:val="single" w:color="auto"/>
            <w:color w:val="0000FF"/>
          </w:rPr>
          <w:t>30</w:t>
        </w:r>
      </w:hyperlink>
    </w:p>
    <w:p>
      <w:pPr>
        <w:spacing w:after="0" w:line="200" w:lineRule="exact"/>
        <w:rPr>
          <w:sz w:val="20"/>
          <w:szCs w:val="20"/>
          <w:color w:val="auto"/>
        </w:rPr>
      </w:pPr>
    </w:p>
    <w:p>
      <w:pPr>
        <w:spacing w:after="0" w:line="275" w:lineRule="exact"/>
        <w:rPr>
          <w:sz w:val="20"/>
          <w:szCs w:val="20"/>
          <w:color w:val="auto"/>
        </w:rPr>
      </w:pPr>
    </w:p>
    <w:p>
      <w:pPr>
        <w:jc w:val="right"/>
        <w:spacing w:after="0"/>
        <w:rPr>
          <w:rFonts w:ascii="Arial" w:cs="Arial" w:eastAsia="Arial" w:hAnsi="Arial"/>
          <w:sz w:val="21"/>
          <w:szCs w:val="21"/>
          <w:u w:val="single" w:color="auto"/>
          <w:color w:val="0000FF"/>
        </w:rPr>
      </w:pPr>
      <w:hyperlink w:anchor="page34">
        <w:r>
          <w:rPr>
            <w:rFonts w:ascii="Arial" w:cs="Arial" w:eastAsia="Arial" w:hAnsi="Arial"/>
            <w:sz w:val="21"/>
            <w:szCs w:val="21"/>
            <w:u w:val="single" w:color="auto"/>
            <w:color w:val="0000FF"/>
          </w:rPr>
          <w:t>32</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34">
        <w:r>
          <w:rPr>
            <w:rFonts w:ascii="Arial" w:cs="Arial" w:eastAsia="Arial" w:hAnsi="Arial"/>
            <w:sz w:val="21"/>
            <w:szCs w:val="21"/>
            <w:u w:val="single" w:color="auto"/>
            <w:color w:val="0000FF"/>
          </w:rPr>
          <w:t>32</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66">
        <w:r>
          <w:rPr>
            <w:rFonts w:ascii="Arial" w:cs="Arial" w:eastAsia="Arial" w:hAnsi="Arial"/>
            <w:sz w:val="21"/>
            <w:szCs w:val="21"/>
            <w:u w:val="single" w:color="auto"/>
            <w:color w:val="0000FF"/>
          </w:rPr>
          <w:t>59</w:t>
        </w:r>
      </w:hyperlink>
    </w:p>
    <w:p>
      <w:pPr>
        <w:spacing w:after="0" w:line="170" w:lineRule="exact"/>
        <w:rPr>
          <w:sz w:val="20"/>
          <w:szCs w:val="20"/>
          <w:color w:val="auto"/>
        </w:rPr>
      </w:pPr>
    </w:p>
    <w:p>
      <w:pPr>
        <w:jc w:val="right"/>
        <w:spacing w:after="0"/>
        <w:rPr>
          <w:rFonts w:ascii="Arial" w:cs="Arial" w:eastAsia="Arial" w:hAnsi="Arial"/>
          <w:sz w:val="21"/>
          <w:szCs w:val="21"/>
          <w:u w:val="single" w:color="auto"/>
          <w:color w:val="0000FF"/>
        </w:rPr>
      </w:pPr>
      <w:hyperlink w:anchor="page66">
        <w:r>
          <w:rPr>
            <w:rFonts w:ascii="Arial" w:cs="Arial" w:eastAsia="Arial" w:hAnsi="Arial"/>
            <w:sz w:val="21"/>
            <w:szCs w:val="21"/>
            <w:u w:val="single" w:color="auto"/>
            <w:color w:val="0000FF"/>
          </w:rPr>
          <w:t>60</w:t>
        </w:r>
      </w:hyperlink>
    </w:p>
    <w:p>
      <w:pPr>
        <w:spacing w:after="0" w:line="117" w:lineRule="exact"/>
        <w:rPr>
          <w:sz w:val="20"/>
          <w:szCs w:val="20"/>
          <w:color w:val="auto"/>
        </w:rPr>
      </w:pPr>
    </w:p>
    <w:p>
      <w:pPr>
        <w:jc w:val="right"/>
        <w:spacing w:after="0"/>
        <w:rPr>
          <w:rFonts w:ascii="Arial" w:cs="Arial" w:eastAsia="Arial" w:hAnsi="Arial"/>
          <w:sz w:val="21"/>
          <w:szCs w:val="21"/>
          <w:u w:val="single" w:color="auto"/>
          <w:color w:val="0000FF"/>
        </w:rPr>
      </w:pPr>
      <w:hyperlink w:anchor="page68">
        <w:r>
          <w:rPr>
            <w:rFonts w:ascii="Arial" w:cs="Arial" w:eastAsia="Arial" w:hAnsi="Arial"/>
            <w:sz w:val="21"/>
            <w:szCs w:val="21"/>
            <w:u w:val="single" w:color="auto"/>
            <w:color w:val="0000FF"/>
          </w:rPr>
          <w:t>62</w:t>
        </w:r>
      </w:hyperlink>
    </w:p>
    <w:p>
      <w:pPr>
        <w:sectPr>
          <w:pgSz w:w="11900" w:h="16838" w:orient="portrait"/>
          <w:cols w:equalWidth="0" w:num="2">
            <w:col w:w="10340" w:space="420"/>
            <w:col w:w="620"/>
          </w:cols>
          <w:pgMar w:left="260" w:top="123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Pr>
          <w:p>
            <w:pPr>
              <w:spacing w:after="0"/>
              <w:rPr>
                <w:sz w:val="16"/>
                <w:szCs w:val="16"/>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(Note 2)</w:t>
            </w:r>
          </w:p>
        </w:tc>
        <w:tc>
          <w:tcPr>
            <w:tcW w:w="0" w:type="dxa"/>
            <w:vAlign w:val="bottom"/>
          </w:tcPr>
          <w:p>
            <w:pPr>
              <w:spacing w:after="0"/>
              <w:rPr>
                <w:sz w:val="1"/>
                <w:szCs w:val="1"/>
                <w:color w:val="auto"/>
              </w:rPr>
            </w:pPr>
          </w:p>
        </w:tc>
      </w:tr>
      <w:tr>
        <w:trPr>
          <w:trHeight w:val="25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58,056</w:t>
            </w:r>
          </w:p>
        </w:tc>
        <w:tc>
          <w:tcPr>
            <w:tcW w:w="0" w:type="dxa"/>
            <w:vAlign w:val="bottom"/>
          </w:tcPr>
          <w:p>
            <w:pPr>
              <w:spacing w:after="0"/>
              <w:rPr>
                <w:sz w:val="1"/>
                <w:szCs w:val="1"/>
                <w:color w:val="auto"/>
              </w:rPr>
            </w:pPr>
          </w:p>
        </w:tc>
      </w:tr>
      <w:tr>
        <w:trPr>
          <w:trHeight w:val="238"/>
        </w:trPr>
        <w:tc>
          <w:tcPr>
            <w:tcW w:w="86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$0 at March 31, 2018 and $391 at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15,049</w:t>
            </w:r>
          </w:p>
        </w:tc>
        <w:tc>
          <w:tcPr>
            <w:tcW w:w="0" w:type="dxa"/>
            <w:vAlign w:val="bottom"/>
          </w:tcPr>
          <w:p>
            <w:pPr>
              <w:spacing w:after="0"/>
              <w:rPr>
                <w:sz w:val="1"/>
                <w:szCs w:val="1"/>
                <w:color w:val="auto"/>
              </w:rPr>
            </w:pPr>
          </w:p>
        </w:tc>
      </w:tr>
      <w:tr>
        <w:trPr>
          <w:trHeight w:val="238"/>
        </w:trPr>
        <w:tc>
          <w:tcPr>
            <w:tcW w:w="86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15,088</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1"/>
        </w:trPr>
        <w:tc>
          <w:tcPr>
            <w:tcW w:w="8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81,001</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94,801</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0" w:type="dxa"/>
            <w:vAlign w:val="bottom"/>
          </w:tcPr>
          <w:p>
            <w:pPr>
              <w:spacing w:after="0"/>
              <w:rPr>
                <w:sz w:val="1"/>
                <w:szCs w:val="1"/>
                <w:color w:val="auto"/>
              </w:rPr>
            </w:pPr>
          </w:p>
        </w:tc>
      </w:tr>
      <w:tr>
        <w:trPr>
          <w:trHeight w:val="238"/>
        </w:trPr>
        <w:tc>
          <w:tcPr>
            <w:tcW w:w="86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68,600</w:t>
            </w:r>
          </w:p>
        </w:tc>
        <w:tc>
          <w:tcPr>
            <w:tcW w:w="0" w:type="dxa"/>
            <w:vAlign w:val="bottom"/>
          </w:tcPr>
          <w:p>
            <w:pPr>
              <w:spacing w:after="0"/>
              <w:rPr>
                <w:sz w:val="1"/>
                <w:szCs w:val="1"/>
                <w:color w:val="auto"/>
              </w:rPr>
            </w:pPr>
          </w:p>
        </w:tc>
      </w:tr>
      <w:tr>
        <w:trPr>
          <w:trHeight w:val="238"/>
        </w:trPr>
        <w:tc>
          <w:tcPr>
            <w:tcW w:w="8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8"/>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269,702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0" w:type="dxa"/>
            <w:vAlign w:val="bottom"/>
          </w:tcPr>
          <w:p>
            <w:pPr>
              <w:spacing w:after="0"/>
              <w:rPr>
                <w:sz w:val="1"/>
                <w:szCs w:val="1"/>
                <w:color w:val="auto"/>
              </w:rPr>
            </w:pPr>
          </w:p>
        </w:tc>
      </w:tr>
      <w:tr>
        <w:trPr>
          <w:trHeight w:val="238"/>
        </w:trPr>
        <w:tc>
          <w:tcPr>
            <w:tcW w:w="86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revenue, current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0" w:type="dxa"/>
            <w:vAlign w:val="bottom"/>
          </w:tcPr>
          <w:p>
            <w:pPr>
              <w:spacing w:after="0"/>
              <w:rPr>
                <w:sz w:val="1"/>
                <w:szCs w:val="1"/>
                <w:color w:val="auto"/>
              </w:rPr>
            </w:pPr>
          </w:p>
        </w:tc>
      </w:tr>
      <w:tr>
        <w:trPr>
          <w:trHeight w:val="231"/>
        </w:trPr>
        <w:tc>
          <w:tcPr>
            <w:tcW w:w="8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33,474</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195,238</w:t>
            </w:r>
          </w:p>
        </w:tc>
        <w:tc>
          <w:tcPr>
            <w:tcW w:w="0" w:type="dxa"/>
            <w:vAlign w:val="bottom"/>
          </w:tcPr>
          <w:p>
            <w:pPr>
              <w:spacing w:after="0"/>
              <w:rPr>
                <w:sz w:val="1"/>
                <w:szCs w:val="1"/>
                <w:color w:val="auto"/>
              </w:rPr>
            </w:pPr>
          </w:p>
        </w:tc>
      </w:tr>
      <w:tr>
        <w:trPr>
          <w:trHeight w:val="238"/>
        </w:trPr>
        <w:tc>
          <w:tcPr>
            <w:tcW w:w="8680" w:type="dxa"/>
            <w:vAlign w:val="bottom"/>
          </w:tcPr>
          <w:p>
            <w:pPr>
              <w:ind w:left="20"/>
              <w:spacing w:after="0"/>
              <w:rPr>
                <w:sz w:val="20"/>
                <w:szCs w:val="20"/>
                <w:color w:val="auto"/>
              </w:rPr>
            </w:pPr>
            <w:r>
              <w:rPr>
                <w:rFonts w:ascii="Arial" w:cs="Arial" w:eastAsia="Arial" w:hAnsi="Arial"/>
                <w:sz w:val="18"/>
                <w:szCs w:val="18"/>
                <w:color w:val="auto"/>
              </w:rPr>
              <w:t>Deferred tax liability, net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38"/>
        </w:trPr>
        <w:tc>
          <w:tcPr>
            <w:tcW w:w="86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8"/>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256,416</w:t>
            </w:r>
          </w:p>
        </w:tc>
        <w:tc>
          <w:tcPr>
            <w:tcW w:w="0" w:type="dxa"/>
            <w:vAlign w:val="bottom"/>
          </w:tcPr>
          <w:p>
            <w:pPr>
              <w:spacing w:after="0"/>
              <w:rPr>
                <w:sz w:val="1"/>
                <w:szCs w:val="1"/>
                <w:color w:val="auto"/>
              </w:rPr>
            </w:pPr>
          </w:p>
        </w:tc>
      </w:tr>
      <w:tr>
        <w:trPr>
          <w:trHeight w:val="218"/>
        </w:trPr>
        <w:tc>
          <w:tcPr>
            <w:tcW w:w="86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680" w:type="dxa"/>
            <w:vAlign w:val="bottom"/>
          </w:tcPr>
          <w:p>
            <w:pPr>
              <w:ind w:left="200"/>
              <w:spacing w:after="0"/>
              <w:rPr>
                <w:sz w:val="20"/>
                <w:szCs w:val="20"/>
                <w:color w:val="auto"/>
              </w:rPr>
            </w:pPr>
            <w:r>
              <w:rPr>
                <w:rFonts w:ascii="Arial" w:cs="Arial" w:eastAsia="Arial" w:hAnsi="Arial"/>
                <w:sz w:val="18"/>
                <w:szCs w:val="18"/>
                <w:color w:val="auto"/>
                <w:w w:val="89"/>
              </w:rPr>
              <w:t>Preferred stock, $0.001 par value, 10,000 shares authorized, no shares issued and outstanding at March 31, 2018 and</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80" w:type="dxa"/>
            <w:vAlign w:val="bottom"/>
          </w:tcPr>
          <w:p>
            <w:pPr>
              <w:ind w:left="200"/>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Common stock, $0.001 par value, 200,000 shares authorized at March 31, 2018 and December 31, 2017; 38,908 and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38,787 shares issued and outstanding as of March 31, 2018 and December 31, 2017,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8"/>
        </w:trPr>
        <w:tc>
          <w:tcPr>
            <w:tcW w:w="86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562,151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531,666</w:t>
            </w:r>
          </w:p>
        </w:tc>
        <w:tc>
          <w:tcPr>
            <w:tcW w:w="0" w:type="dxa"/>
            <w:vAlign w:val="bottom"/>
          </w:tcPr>
          <w:p>
            <w:pPr>
              <w:spacing w:after="0"/>
              <w:rPr>
                <w:sz w:val="1"/>
                <w:szCs w:val="1"/>
                <w:color w:val="auto"/>
              </w:rPr>
            </w:pPr>
          </w:p>
        </w:tc>
      </w:tr>
      <w:tr>
        <w:trPr>
          <w:trHeight w:val="28"/>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8"/>
        </w:trPr>
        <w:tc>
          <w:tcPr>
            <w:tcW w:w="8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(513,084)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(500,196)</w:t>
            </w:r>
          </w:p>
        </w:tc>
        <w:tc>
          <w:tcPr>
            <w:tcW w:w="0" w:type="dxa"/>
            <w:vAlign w:val="bottom"/>
          </w:tcPr>
          <w:p>
            <w:pPr>
              <w:spacing w:after="0"/>
              <w:rPr>
                <w:sz w:val="1"/>
                <w:szCs w:val="1"/>
                <w:color w:val="auto"/>
              </w:rPr>
            </w:pPr>
          </w:p>
        </w:tc>
      </w:tr>
      <w:tr>
        <w:trPr>
          <w:trHeight w:val="28"/>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31"/>
        </w:trPr>
        <w:tc>
          <w:tcPr>
            <w:tcW w:w="86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269,702</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287,351</w:t>
            </w:r>
          </w:p>
        </w:tc>
        <w:tc>
          <w:tcPr>
            <w:tcW w:w="0" w:type="dxa"/>
            <w:vAlign w:val="bottom"/>
          </w:tcPr>
          <w:p>
            <w:pPr>
              <w:spacing w:after="0"/>
              <w:rPr>
                <w:sz w:val="1"/>
                <w:szCs w:val="1"/>
                <w:color w:val="auto"/>
              </w:rPr>
            </w:pPr>
          </w:p>
        </w:tc>
      </w:tr>
      <w:tr>
        <w:trPr>
          <w:trHeight w:val="28"/>
        </w:trPr>
        <w:tc>
          <w:tcPr>
            <w:tcW w:w="868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4"/>
        </w:trPr>
        <w:tc>
          <w:tcPr>
            <w:tcW w:w="8680" w:type="dxa"/>
            <w:vAlign w:val="bottom"/>
          </w:tcPr>
          <w:p>
            <w:pPr>
              <w:ind w:left="56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6"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2"/>
        </w:trPr>
        <w:tc>
          <w:tcPr>
            <w:tcW w:w="8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1"/>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40" w:type="dxa"/>
            <w:vAlign w:val="bottom"/>
          </w:tcPr>
          <w:p>
            <w:pPr>
              <w:ind w:left="200"/>
              <w:spacing w:after="0"/>
              <w:rPr>
                <w:sz w:val="20"/>
                <w:szCs w:val="20"/>
                <w:color w:val="auto"/>
              </w:rPr>
            </w:pPr>
            <w:r>
              <w:rPr>
                <w:rFonts w:ascii="Arial" w:cs="Arial" w:eastAsia="Arial" w:hAnsi="Arial"/>
                <w:sz w:val="18"/>
                <w:szCs w:val="18"/>
                <w:color w:val="auto"/>
              </w:rPr>
              <w:t>Product revenue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21,307</w:t>
            </w:r>
          </w:p>
        </w:tc>
        <w:tc>
          <w:tcPr>
            <w:tcW w:w="0" w:type="dxa"/>
            <w:vAlign w:val="bottom"/>
          </w:tcPr>
          <w:p>
            <w:pPr>
              <w:spacing w:after="0"/>
              <w:rPr>
                <w:sz w:val="1"/>
                <w:szCs w:val="1"/>
                <w:color w:val="auto"/>
              </w:rPr>
            </w:pP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0" w:type="dxa"/>
            <w:vAlign w:val="bottom"/>
          </w:tcPr>
          <w:p>
            <w:pPr>
              <w:spacing w:after="0"/>
              <w:rPr>
                <w:sz w:val="1"/>
                <w:szCs w:val="1"/>
                <w:color w:val="auto"/>
              </w:rPr>
            </w:pPr>
          </w:p>
        </w:tc>
      </w:tr>
      <w:tr>
        <w:trPr>
          <w:trHeight w:val="238"/>
        </w:trPr>
        <w:tc>
          <w:tcPr>
            <w:tcW w:w="8540" w:type="dxa"/>
            <w:vAlign w:val="bottom"/>
          </w:tcPr>
          <w:p>
            <w:pPr>
              <w:ind w:left="200"/>
              <w:spacing w:after="0"/>
              <w:rPr>
                <w:sz w:val="20"/>
                <w:szCs w:val="20"/>
                <w:color w:val="auto"/>
              </w:rPr>
            </w:pPr>
            <w:r>
              <w:rPr>
                <w:rFonts w:ascii="Arial" w:cs="Arial" w:eastAsia="Arial" w:hAnsi="Arial"/>
                <w:sz w:val="18"/>
                <w:szCs w:val="18"/>
                <w:color w:val="auto"/>
              </w:rPr>
              <w:t>License revenue</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0" w:type="dxa"/>
            <w:vAlign w:val="bottom"/>
          </w:tcPr>
          <w:p>
            <w:pPr>
              <w:spacing w:after="0"/>
              <w:rPr>
                <w:sz w:val="1"/>
                <w:szCs w:val="1"/>
                <w:color w:val="auto"/>
              </w:rPr>
            </w:pPr>
          </w:p>
        </w:tc>
      </w:tr>
      <w:tr>
        <w:trPr>
          <w:trHeight w:val="218"/>
        </w:trPr>
        <w:tc>
          <w:tcPr>
            <w:tcW w:w="85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product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0" w:type="dxa"/>
            <w:vAlign w:val="bottom"/>
          </w:tcPr>
          <w:p>
            <w:pPr>
              <w:spacing w:after="0"/>
              <w:rPr>
                <w:sz w:val="1"/>
                <w:szCs w:val="1"/>
                <w:color w:val="auto"/>
              </w:rPr>
            </w:pPr>
          </w:p>
        </w:tc>
      </w:tr>
      <w:tr>
        <w:trPr>
          <w:trHeight w:val="238"/>
        </w:trPr>
        <w:tc>
          <w:tcPr>
            <w:tcW w:w="8540" w:type="dxa"/>
            <w:vAlign w:val="bottom"/>
          </w:tcPr>
          <w:p>
            <w:pPr>
              <w:ind w:left="20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38"/>
        </w:trPr>
        <w:tc>
          <w:tcPr>
            <w:tcW w:w="8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22,576</w:t>
            </w:r>
          </w:p>
        </w:tc>
        <w:tc>
          <w:tcPr>
            <w:tcW w:w="0" w:type="dxa"/>
            <w:vAlign w:val="bottom"/>
          </w:tcPr>
          <w:p>
            <w:pPr>
              <w:spacing w:after="0"/>
              <w:rPr>
                <w:sz w:val="1"/>
                <w:szCs w:val="1"/>
                <w:color w:val="auto"/>
              </w:rPr>
            </w:pP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43,069</w:t>
            </w:r>
          </w:p>
        </w:tc>
        <w:tc>
          <w:tcPr>
            <w:tcW w:w="0" w:type="dxa"/>
            <w:vAlign w:val="bottom"/>
          </w:tcPr>
          <w:p>
            <w:pPr>
              <w:spacing w:after="0"/>
              <w:rPr>
                <w:sz w:val="1"/>
                <w:szCs w:val="1"/>
                <w:color w:val="auto"/>
              </w:rPr>
            </w:pPr>
          </w:p>
        </w:tc>
      </w:tr>
      <w:tr>
        <w:trPr>
          <w:trHeight w:val="231"/>
        </w:trPr>
        <w:tc>
          <w:tcPr>
            <w:tcW w:w="8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0" w:type="dxa"/>
            <w:vAlign w:val="bottom"/>
          </w:tcPr>
          <w:p>
            <w:pPr>
              <w:spacing w:after="0"/>
              <w:rPr>
                <w:sz w:val="1"/>
                <w:szCs w:val="1"/>
                <w:color w:val="auto"/>
              </w:rPr>
            </w:pP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vMerge w:val="continue"/>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8"/>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5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8"/>
        </w:trPr>
        <w:tc>
          <w:tcPr>
            <w:tcW w:w="8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1236"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 March 31,</w:t>
            </w:r>
          </w:p>
        </w:tc>
      </w:tr>
      <w:tr>
        <w:trPr>
          <w:trHeight w:val="192"/>
        </w:trPr>
        <w:tc>
          <w:tcPr>
            <w:tcW w:w="8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(17,202)</w:t>
            </w: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Net change in unrealized (loss) / gain on investments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1"/>
        </w:trPr>
        <w:tc>
          <w:tcPr>
            <w:tcW w:w="85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(17,167)</w:t>
            </w:r>
          </w:p>
        </w:tc>
      </w:tr>
      <w:tr>
        <w:trPr>
          <w:trHeight w:val="28"/>
        </w:trPr>
        <w:tc>
          <w:tcPr>
            <w:tcW w:w="8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3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 March 31,</w:t>
            </w:r>
          </w:p>
        </w:tc>
      </w:tr>
      <w:tr>
        <w:trPr>
          <w:trHeight w:val="192"/>
        </w:trPr>
        <w:tc>
          <w:tcPr>
            <w:tcW w:w="8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31"/>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(17,202)</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8"/>
        </w:trPr>
        <w:tc>
          <w:tcPr>
            <w:tcW w:w="85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1,951</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38"/>
        </w:trPr>
        <w:tc>
          <w:tcPr>
            <w:tcW w:w="8540" w:type="dxa"/>
            <w:vAlign w:val="bottom"/>
          </w:tcPr>
          <w:p>
            <w:pPr>
              <w:ind w:left="120"/>
              <w:spacing w:after="0"/>
              <w:rPr>
                <w:sz w:val="20"/>
                <w:szCs w:val="20"/>
                <w:color w:val="auto"/>
              </w:rPr>
            </w:pPr>
            <w:r>
              <w:rPr>
                <w:rFonts w:ascii="Arial" w:cs="Arial" w:eastAsia="Arial" w:hAnsi="Arial"/>
                <w:sz w:val="18"/>
                <w:szCs w:val="18"/>
                <w:color w:val="auto"/>
              </w:rPr>
              <w:t>Amortization of developed technology</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2,800</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non-cash items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8"/>
        </w:trPr>
        <w:tc>
          <w:tcPr>
            <w:tcW w:w="854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8"/>
        </w:trPr>
        <w:tc>
          <w:tcPr>
            <w:tcW w:w="85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38"/>
        </w:trPr>
        <w:tc>
          <w:tcPr>
            <w:tcW w:w="854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8"/>
        </w:trPr>
        <w:tc>
          <w:tcPr>
            <w:tcW w:w="85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38"/>
        </w:trPr>
        <w:tc>
          <w:tcPr>
            <w:tcW w:w="8540" w:type="dxa"/>
            <w:vAlign w:val="bottom"/>
          </w:tcPr>
          <w:p>
            <w:pPr>
              <w:ind w:left="2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r>
      <w:tr>
        <w:trPr>
          <w:trHeight w:val="206"/>
        </w:trPr>
        <w:tc>
          <w:tcPr>
            <w:tcW w:w="854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45"/>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38"/>
        </w:trPr>
        <w:tc>
          <w:tcPr>
            <w:tcW w:w="8540" w:type="dxa"/>
            <w:vAlign w:val="bottom"/>
          </w:tcPr>
          <w:p>
            <w:pPr>
              <w:ind w:left="120"/>
              <w:spacing w:after="0"/>
              <w:rPr>
                <w:sz w:val="20"/>
                <w:szCs w:val="20"/>
                <w:color w:val="auto"/>
              </w:rPr>
            </w:pPr>
            <w:r>
              <w:rPr>
                <w:rFonts w:ascii="Arial" w:cs="Arial" w:eastAsia="Arial" w:hAnsi="Arial"/>
                <w:sz w:val="18"/>
                <w:szCs w:val="18"/>
                <w:color w:val="auto"/>
              </w:rPr>
              <w:t>Proceeds from sales and maturities of investments</w:t>
            </w:r>
          </w:p>
        </w:tc>
        <w:tc>
          <w:tcPr>
            <w:tcW w:w="2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19,375</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1"/>
        </w:trPr>
        <w:tc>
          <w:tcPr>
            <w:tcW w:w="8540" w:type="dxa"/>
            <w:vAlign w:val="bottom"/>
          </w:tcPr>
          <w:p>
            <w:pPr>
              <w:ind w:left="20"/>
              <w:spacing w:after="0"/>
              <w:rPr>
                <w:sz w:val="20"/>
                <w:szCs w:val="20"/>
                <w:color w:val="auto"/>
              </w:rPr>
            </w:pPr>
            <w:r>
              <w:rPr>
                <w:rFonts w:ascii="Arial" w:cs="Arial" w:eastAsia="Arial" w:hAnsi="Arial"/>
                <w:sz w:val="18"/>
                <w:szCs w:val="18"/>
                <w:color w:val="auto"/>
              </w:rPr>
              <w:t>Net cash (used in) / provided by investing activities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8"/>
        </w:trPr>
        <w:tc>
          <w:tcPr>
            <w:tcW w:w="8540" w:type="dxa"/>
            <w:vAlign w:val="bottom"/>
          </w:tcPr>
          <w:p>
            <w:pPr>
              <w:ind w:left="120"/>
              <w:spacing w:after="0"/>
              <w:rPr>
                <w:sz w:val="20"/>
                <w:szCs w:val="20"/>
                <w:color w:val="auto"/>
              </w:rPr>
            </w:pPr>
            <w:r>
              <w:rPr>
                <w:rFonts w:ascii="Arial" w:cs="Arial" w:eastAsia="Arial" w:hAnsi="Arial"/>
                <w:sz w:val="18"/>
                <w:szCs w:val="18"/>
                <w:color w:val="auto"/>
              </w:rPr>
              <w:t>Payment of debt issuance costs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1"/>
        </w:trPr>
        <w:tc>
          <w:tcPr>
            <w:tcW w:w="8540" w:type="dxa"/>
            <w:vAlign w:val="bottom"/>
          </w:tcPr>
          <w:p>
            <w:pPr>
              <w:ind w:left="20"/>
              <w:spacing w:after="0"/>
              <w:rPr>
                <w:sz w:val="20"/>
                <w:szCs w:val="20"/>
                <w:color w:val="auto"/>
              </w:rPr>
            </w:pPr>
            <w:r>
              <w:rPr>
                <w:rFonts w:ascii="Arial" w:cs="Arial" w:eastAsia="Arial" w:hAnsi="Arial"/>
                <w:sz w:val="18"/>
                <w:szCs w:val="18"/>
                <w:color w:val="auto"/>
              </w:rPr>
              <w:t>Net cash (used in) / provided by financing activities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8"/>
        </w:trPr>
        <w:tc>
          <w:tcPr>
            <w:tcW w:w="8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8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1"/>
        </w:trPr>
        <w:tc>
          <w:tcPr>
            <w:tcW w:w="8540" w:type="dxa"/>
            <w:vAlign w:val="bottom"/>
          </w:tcPr>
          <w:p>
            <w:pPr>
              <w:ind w:left="20"/>
              <w:spacing w:after="0"/>
              <w:rPr>
                <w:sz w:val="20"/>
                <w:szCs w:val="20"/>
                <w:color w:val="auto"/>
              </w:rPr>
            </w:pPr>
            <w:r>
              <w:rPr>
                <w:rFonts w:ascii="Arial" w:cs="Arial" w:eastAsia="Arial" w:hAnsi="Arial"/>
                <w:sz w:val="18"/>
                <w:szCs w:val="18"/>
                <w:color w:val="auto"/>
              </w:rPr>
              <w:t>Net (decrease) / increase in cash and cash equivalents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9,052</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35,045</w:t>
            </w:r>
          </w:p>
        </w:tc>
      </w:tr>
      <w:tr>
        <w:trPr>
          <w:trHeight w:val="231"/>
        </w:trPr>
        <w:tc>
          <w:tcPr>
            <w:tcW w:w="85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44,097</w:t>
            </w: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00"/>
          </w:cols>
          <w:pgMar w:left="240" w:top="12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1236"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0" w:lineRule="exact"/>
        <w:rPr>
          <w:sz w:val="20"/>
          <w:szCs w:val="20"/>
          <w:color w:val="auto"/>
        </w:rPr>
      </w:pPr>
    </w:p>
    <w:p>
      <w:pPr>
        <w:ind w:right="320" w:firstLine="425"/>
        <w:spacing w:after="0" w:line="255"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216" w:lineRule="exact"/>
        <w:rPr>
          <w:sz w:val="20"/>
          <w:szCs w:val="20"/>
          <w:color w:val="auto"/>
        </w:rPr>
      </w:pPr>
    </w:p>
    <w:p>
      <w:pPr>
        <w:ind w:right="20" w:firstLine="389"/>
        <w:spacing w:after="0" w:line="319" w:lineRule="auto"/>
        <w:rPr>
          <w:sz w:val="20"/>
          <w:szCs w:val="20"/>
          <w:color w:val="auto"/>
        </w:rPr>
      </w:pPr>
      <w:r>
        <w:rPr>
          <w:rFonts w:ascii="Arial" w:cs="Arial" w:eastAsia="Arial" w:hAnsi="Arial"/>
          <w:sz w:val="15"/>
          <w:szCs w:val="15"/>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200" w:lineRule="exact"/>
        <w:rPr>
          <w:sz w:val="20"/>
          <w:szCs w:val="20"/>
          <w:color w:val="auto"/>
        </w:rPr>
      </w:pPr>
    </w:p>
    <w:p>
      <w:pPr>
        <w:spacing w:after="0" w:line="231" w:lineRule="exact"/>
        <w:rPr>
          <w:sz w:val="20"/>
          <w:szCs w:val="20"/>
          <w:color w:val="auto"/>
        </w:rPr>
      </w:pPr>
    </w:p>
    <w:p>
      <w:pPr>
        <w:ind w:right="7920" w:firstLine="6"/>
        <w:spacing w:after="0" w:line="526" w:lineRule="auto"/>
        <w:tabs>
          <w:tab w:leader="none" w:pos="17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25"/>
        <w:spacing w:after="0" w:line="305"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2017, has been derived from audited consolidated financial statements at that date but does not include all disclosures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statement of our financial information. The results of operations for the three months ended March 31, 2018 are not necessarily indicative of the results to be expected for the year ending December 31, 2018, or for any other interim period or for any other future year. All intercompany transactions and balances have been eliminated in consolidation.</w:t>
      </w:r>
    </w:p>
    <w:p>
      <w:pPr>
        <w:spacing w:after="0" w:line="184" w:lineRule="exact"/>
        <w:rPr>
          <w:sz w:val="20"/>
          <w:szCs w:val="20"/>
          <w:color w:val="auto"/>
        </w:rPr>
      </w:pPr>
    </w:p>
    <w:p>
      <w:pPr>
        <w:ind w:right="340" w:firstLine="425"/>
        <w:spacing w:after="0" w:line="319" w:lineRule="auto"/>
        <w:rPr>
          <w:sz w:val="20"/>
          <w:szCs w:val="20"/>
          <w:color w:val="auto"/>
        </w:rPr>
      </w:pPr>
      <w:r>
        <w:rPr>
          <w:rFonts w:ascii="Arial" w:cs="Arial" w:eastAsia="Arial" w:hAnsi="Arial"/>
          <w:sz w:val="15"/>
          <w:szCs w:val="15"/>
          <w:color w:val="auto"/>
        </w:rPr>
        <w:t>The preparation of these condensed consolidated financial statements requires management to make estimates and assumptions that affect the amounts reported in the condensed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condensed consolidated financial statements.</w:t>
      </w:r>
    </w:p>
    <w:p>
      <w:pPr>
        <w:spacing w:after="0" w:line="171" w:lineRule="exact"/>
        <w:rPr>
          <w:sz w:val="20"/>
          <w:szCs w:val="20"/>
          <w:color w:val="auto"/>
        </w:rPr>
      </w:pPr>
    </w:p>
    <w:p>
      <w:pPr>
        <w:ind w:firstLine="319"/>
        <w:spacing w:after="0"/>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accompanying notes in Item 8 of Part II, "Financial Statements and Supplementary Data," for the year ended December 31, 2017, included in our Annual Report on Form 10-K.</w:t>
      </w:r>
    </w:p>
    <w:p>
      <w:pPr>
        <w:spacing w:after="0" w:line="215" w:lineRule="exact"/>
        <w:rPr>
          <w:sz w:val="20"/>
          <w:szCs w:val="20"/>
          <w:color w:val="auto"/>
        </w:rPr>
      </w:pPr>
    </w:p>
    <w:p>
      <w:pPr>
        <w:jc w:val="both"/>
        <w:ind w:right="200" w:firstLine="319"/>
        <w:spacing w:after="0"/>
        <w:rPr>
          <w:sz w:val="20"/>
          <w:szCs w:val="20"/>
          <w:color w:val="auto"/>
        </w:rPr>
      </w:pPr>
      <w:r>
        <w:rPr>
          <w:rFonts w:ascii="Arial" w:cs="Arial" w:eastAsia="Arial" w:hAnsi="Arial"/>
          <w:sz w:val="18"/>
          <w:szCs w:val="18"/>
          <w:color w:val="auto"/>
        </w:rPr>
        <w:t>Certain prior period amounts in the condensed consolidated statements of cash flows have been reclassified to conform to the current period presentation. These reclassifications were immaterial and did not affect prior period total assets, total liabilities, stockholders' equity, total revenue, total costs and expenses, loss from operations or net loss.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50" w:lineRule="exact"/>
        <w:rPr>
          <w:sz w:val="20"/>
          <w:szCs w:val="20"/>
          <w:color w:val="auto"/>
        </w:rPr>
      </w:pPr>
    </w:p>
    <w:p>
      <w:pPr>
        <w:ind w:right="120" w:firstLine="425"/>
        <w:spacing w:after="0" w:line="252"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options to purchase common stock, and shares associated with the potential conversion of our convertible notes are considered to be potentially dilutive common shares but have been excluded from the calculation of diluted net loss per share as their effect is anti-dilutive for all periods presented.</w:t>
      </w:r>
    </w:p>
    <w:p>
      <w:pPr>
        <w:sectPr>
          <w:pgSz w:w="11900" w:h="16838" w:orient="portrait"/>
          <w:cols w:equalWidth="0" w:num="1">
            <w:col w:w="11420"/>
          </w:cols>
          <w:pgMar w:left="240" w:top="3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73"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right="20" w:firstLine="425"/>
        <w:spacing w:after="0" w:line="265"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three months ended March 31, 2018, and 2017 because including them would have been anti-dilutive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 March 31,</w:t>
            </w:r>
          </w:p>
        </w:tc>
      </w:tr>
      <w:tr>
        <w:trPr>
          <w:trHeight w:val="192"/>
        </w:trPr>
        <w:tc>
          <w:tcPr>
            <w:tcW w:w="400" w:type="dxa"/>
            <w:vAlign w:val="bottom"/>
            <w:tcBorders>
              <w:bottom w:val="single" w:sz="8" w:color="CCEEFF"/>
            </w:tcBorders>
          </w:tcPr>
          <w:p>
            <w:pPr>
              <w:spacing w:after="0"/>
              <w:rPr>
                <w:sz w:val="16"/>
                <w:szCs w:val="16"/>
                <w:color w:val="auto"/>
              </w:rPr>
            </w:pPr>
          </w:p>
        </w:tc>
        <w:tc>
          <w:tcPr>
            <w:tcW w:w="8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44"/>
        </w:trPr>
        <w:tc>
          <w:tcPr>
            <w:tcW w:w="9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performance awards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r>
      <w:tr>
        <w:trPr>
          <w:trHeight w:val="238"/>
        </w:trPr>
        <w:tc>
          <w:tcPr>
            <w:tcW w:w="400" w:type="dxa"/>
            <w:vAlign w:val="bottom"/>
          </w:tcPr>
          <w:p>
            <w:pPr>
              <w:ind w:left="20"/>
              <w:spacing w:after="0"/>
              <w:rPr>
                <w:sz w:val="20"/>
                <w:szCs w:val="20"/>
                <w:color w:val="auto"/>
              </w:rPr>
            </w:pPr>
            <w:r>
              <w:rPr>
                <w:rFonts w:ascii="Arial" w:cs="Arial" w:eastAsia="Arial" w:hAnsi="Arial"/>
                <w:sz w:val="18"/>
                <w:szCs w:val="18"/>
                <w:color w:val="auto"/>
                <w:w w:val="89"/>
              </w:rPr>
              <w:t>2018</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19,036</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00" w:type="dxa"/>
            <w:vAlign w:val="bottom"/>
          </w:tcPr>
          <w:p>
            <w:pPr>
              <w:spacing w:after="0"/>
              <w:rPr>
                <w:sz w:val="2"/>
                <w:szCs w:val="2"/>
                <w:color w:val="auto"/>
              </w:rPr>
            </w:pPr>
          </w:p>
        </w:tc>
        <w:tc>
          <w:tcPr>
            <w:tcW w:w="8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8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Notes potential make-whole shares, March 31, 2018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898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3,598</w:t>
            </w:r>
          </w:p>
        </w:tc>
      </w:tr>
      <w:tr>
        <w:trPr>
          <w:trHeight w:val="28"/>
        </w:trPr>
        <w:tc>
          <w:tcPr>
            <w:tcW w:w="400" w:type="dxa"/>
            <w:vAlign w:val="bottom"/>
            <w:tcBorders>
              <w:bottom w:val="single" w:sz="8" w:color="CCEEFF"/>
            </w:tcBorders>
          </w:tcPr>
          <w:p>
            <w:pPr>
              <w:spacing w:after="0"/>
              <w:rPr>
                <w:sz w:val="2"/>
                <w:szCs w:val="2"/>
                <w:color w:val="auto"/>
              </w:rPr>
            </w:pPr>
          </w:p>
        </w:tc>
        <w:tc>
          <w:tcPr>
            <w:tcW w:w="8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4"/>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Total</w:t>
            </w:r>
          </w:p>
        </w:tc>
        <w:tc>
          <w:tcPr>
            <w:tcW w:w="8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24,858</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accumulated other comprehensive loss, net of tax, for the three months ended March 31, 2018, are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Foreign Currency</w:t>
            </w:r>
          </w:p>
        </w:tc>
        <w:tc>
          <w:tcPr>
            <w:tcW w:w="14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Net Unrealized Gain</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46"/>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2"/>
              </w:rPr>
              <w:t>Translation</w:t>
            </w:r>
          </w:p>
        </w:tc>
        <w:tc>
          <w:tcPr>
            <w:tcW w:w="1480" w:type="dxa"/>
            <w:vAlign w:val="bottom"/>
            <w:gridSpan w:val="3"/>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on Securities</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44"/>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8"/>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7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8"/>
        </w:trPr>
        <w:tc>
          <w:tcPr>
            <w:tcW w:w="7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340" w:firstLine="389"/>
        <w:spacing w:after="0" w:line="265" w:lineRule="auto"/>
        <w:rPr>
          <w:sz w:val="20"/>
          <w:szCs w:val="20"/>
          <w:color w:val="auto"/>
        </w:rPr>
      </w:pPr>
      <w:r>
        <w:rPr>
          <w:rFonts w:ascii="Arial" w:cs="Arial" w:eastAsia="Arial" w:hAnsi="Arial"/>
          <w:sz w:val="18"/>
          <w:szCs w:val="18"/>
          <w:color w:val="auto"/>
        </w:rPr>
        <w:t>Immaterial amounts of unrealized gains and losses have been reclassified into the condensed consolidated statement of operations for the three months ended March 31, 2018.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64" w:lineRule="exact"/>
        <w:rPr>
          <w:sz w:val="20"/>
          <w:szCs w:val="20"/>
          <w:color w:val="auto"/>
        </w:rPr>
      </w:pPr>
    </w:p>
    <w:p>
      <w:pPr>
        <w:ind w:firstLine="319"/>
        <w:spacing w:after="0" w:line="265"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exceeds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211" w:lineRule="exact"/>
        <w:rPr>
          <w:sz w:val="20"/>
          <w:szCs w:val="20"/>
          <w:color w:val="auto"/>
        </w:rPr>
      </w:pPr>
    </w:p>
    <w:p>
      <w:pPr>
        <w:ind w:right="120" w:firstLine="319"/>
        <w:spacing w:after="0" w:line="300" w:lineRule="auto"/>
        <w:rPr>
          <w:sz w:val="20"/>
          <w:szCs w:val="20"/>
          <w:color w:val="auto"/>
        </w:rPr>
      </w:pPr>
      <w:r>
        <w:rPr>
          <w:rFonts w:ascii="Arial" w:cs="Arial" w:eastAsia="Arial" w:hAnsi="Arial"/>
          <w:sz w:val="15"/>
          <w:szCs w:val="15"/>
          <w:color w:val="auto"/>
        </w:rPr>
        <w:t>We evaluate our finite-lived intangible assets and other long-lived assets for indicators of possible impairment when events or changes in circumstances indicate that the carrying amount of an asset may not be recoverable. If any indicator of impairment exists, we assess the recoverability of the affected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February 2014, we closed an underwritten public offering $201.3 million aggregate principal amount of our 2.75% Senior Convertible Notes due 2034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("2014 Notes"). In March 2018, we entered into separate privately negotiated transactions with certain holders of our 2014 Notes to exchange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approximately $150.0 million in aggregate principal amount of the 2014 Notes for our new 2.75% Exchange Convertible Senior Notes due 2034 ("2018 Notes").</w:t>
      </w:r>
    </w:p>
    <w:p>
      <w:pPr>
        <w:spacing w:after="0" w:line="268" w:lineRule="exact"/>
        <w:rPr>
          <w:sz w:val="20"/>
          <w:szCs w:val="20"/>
          <w:color w:val="auto"/>
        </w:rPr>
      </w:pPr>
    </w:p>
    <w:p>
      <w:pPr>
        <w:ind w:right="320" w:firstLine="319"/>
        <w:spacing w:after="0" w:line="250" w:lineRule="auto"/>
        <w:rPr>
          <w:sz w:val="20"/>
          <w:szCs w:val="20"/>
          <w:color w:val="auto"/>
        </w:rPr>
      </w:pPr>
      <w:r>
        <w:rPr>
          <w:rFonts w:ascii="Arial" w:cs="Arial" w:eastAsia="Arial" w:hAnsi="Arial"/>
          <w:sz w:val="18"/>
          <w:szCs w:val="18"/>
          <w:color w:val="auto"/>
        </w:rPr>
        <w:t>Following the exchange, approximately $51.3 million aggregate principal amount of the 2014 Notes remain outstanding in addition to $150.0 million in aggregate principal amount of the 2018 Notes.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Footnote 4. Convertible Notes for the accounting treatment of the transaction and additional information about the exchange.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44" w:lineRule="exact"/>
        <w:rPr>
          <w:sz w:val="20"/>
          <w:szCs w:val="20"/>
          <w:color w:val="auto"/>
        </w:rPr>
      </w:pPr>
    </w:p>
    <w:p>
      <w:pPr>
        <w:ind w:right="220" w:firstLine="319"/>
        <w:spacing w:after="0"/>
        <w:rPr>
          <w:sz w:val="20"/>
          <w:szCs w:val="20"/>
          <w:color w:val="auto"/>
        </w:rPr>
      </w:pPr>
      <w:r>
        <w:rPr>
          <w:rFonts w:ascii="Arial" w:cs="Arial" w:eastAsia="Arial" w:hAnsi="Arial"/>
          <w:sz w:val="18"/>
          <w:szCs w:val="18"/>
          <w:color w:val="auto"/>
        </w:rPr>
        <w:t>In May 2014, the FASB issued ASU 2014-09 Revenue from Contracts with Customers ("Topic 606"). Topic 606 and its related amendments supersede Revenue Recognition (Topic 605), issued in June 2010, and provide principles for recognizing revenue for goods and services in a manner consistent with the transfer of control of those goods and services to the customer.</w:t>
      </w:r>
    </w:p>
    <w:p>
      <w:pPr>
        <w:spacing w:after="0" w:line="215" w:lineRule="exact"/>
        <w:rPr>
          <w:sz w:val="20"/>
          <w:szCs w:val="20"/>
          <w:color w:val="auto"/>
        </w:rPr>
      </w:pPr>
    </w:p>
    <w:p>
      <w:pPr>
        <w:ind w:right="200" w:firstLine="319"/>
        <w:spacing w:after="0" w:line="250" w:lineRule="auto"/>
        <w:rPr>
          <w:sz w:val="20"/>
          <w:szCs w:val="20"/>
          <w:color w:val="auto"/>
        </w:rPr>
      </w:pPr>
      <w:r>
        <w:rPr>
          <w:rFonts w:ascii="Arial" w:cs="Arial" w:eastAsia="Arial" w:hAnsi="Arial"/>
          <w:sz w:val="17"/>
          <w:szCs w:val="17"/>
          <w:color w:val="auto"/>
        </w:rPr>
        <w:t>We adopted Topic 606 on January 1, 2018, using the modified retrospective method applied to those contracts with unrecognized revenue on the adoption date. We recognized the effect of applying the new revenue standard by recording a cumulative catch-up adjustment that reduced the accumulated deficit component of stockholders’ equity by $0.4 million, and increased current assets by $0.2 million and non-current assets by $0.2 million. The adjustment capitalized certain sales commission costs that were incurred to obtain instrument service contracts. Under Topic 605, we accounted for these incremental contract acquisition costs by recognizing them as expense at the point the contract was awarded. Under Topic 606, the costs are capitalized and amortized to expense over the life of the contract, which is generally one to three years. The comparative information for periods prior to January 1, 2018, has not been restated and continues to be reported in accordance with Topic 605.</w:t>
      </w:r>
    </w:p>
    <w:p>
      <w:pPr>
        <w:spacing w:after="0" w:line="207" w:lineRule="exact"/>
        <w:rPr>
          <w:sz w:val="20"/>
          <w:szCs w:val="20"/>
          <w:color w:val="auto"/>
        </w:rPr>
      </w:pPr>
    </w:p>
    <w:p>
      <w:pPr>
        <w:ind w:right="20" w:firstLine="319"/>
        <w:spacing w:after="0" w:line="250" w:lineRule="auto"/>
        <w:rPr>
          <w:sz w:val="20"/>
          <w:szCs w:val="20"/>
          <w:color w:val="auto"/>
        </w:rPr>
      </w:pPr>
      <w:r>
        <w:rPr>
          <w:rFonts w:ascii="Arial" w:cs="Arial" w:eastAsia="Arial" w:hAnsi="Arial"/>
          <w:sz w:val="18"/>
          <w:szCs w:val="18"/>
          <w:color w:val="auto"/>
        </w:rPr>
        <w:t>The following table summarizes the cumulative effect of adopting Topic 606 on amounts previously reported in our consolidated balance sheet at December 31, 2017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Balance at December</w:t>
            </w:r>
          </w:p>
        </w:tc>
        <w:tc>
          <w:tcPr>
            <w:tcW w:w="18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Topic 606 Transition</w:t>
            </w:r>
          </w:p>
        </w:tc>
        <w:tc>
          <w:tcPr>
            <w:tcW w:w="1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Balance at January 1, 2018</w:t>
            </w:r>
          </w:p>
        </w:tc>
        <w:tc>
          <w:tcPr>
            <w:tcW w:w="0" w:type="dxa"/>
            <w:vAlign w:val="bottom"/>
          </w:tcPr>
          <w:p>
            <w:pPr>
              <w:spacing w:after="0"/>
              <w:rPr>
                <w:sz w:val="1"/>
                <w:szCs w:val="1"/>
                <w:color w:val="auto"/>
              </w:rPr>
            </w:pPr>
          </w:p>
        </w:tc>
      </w:tr>
      <w:tr>
        <w:trPr>
          <w:trHeight w:val="190"/>
        </w:trPr>
        <w:tc>
          <w:tcPr>
            <w:tcW w:w="62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Adjustments</w:t>
            </w: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94,801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94,954</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38"/>
        </w:trPr>
        <w:tc>
          <w:tcPr>
            <w:tcW w:w="636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287,351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287,709</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(499,838)</w:t>
            </w:r>
          </w:p>
        </w:tc>
        <w:tc>
          <w:tcPr>
            <w:tcW w:w="0" w:type="dxa"/>
            <w:vAlign w:val="bottom"/>
          </w:tcPr>
          <w:p>
            <w:pPr>
              <w:spacing w:after="0"/>
              <w:rPr>
                <w:sz w:val="1"/>
                <w:szCs w:val="1"/>
                <w:color w:val="auto"/>
              </w:rPr>
            </w:pPr>
          </w:p>
        </w:tc>
      </w:tr>
      <w:tr>
        <w:trPr>
          <w:trHeight w:val="23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20"/>
                <w:szCs w:val="20"/>
                <w:color w:val="auto"/>
              </w:rPr>
            </w:pPr>
          </w:p>
        </w:tc>
        <w:tc>
          <w:tcPr>
            <w:tcW w:w="580" w:type="dxa"/>
            <w:vAlign w:val="bottom"/>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31,293</w:t>
            </w:r>
          </w:p>
        </w:tc>
        <w:tc>
          <w:tcPr>
            <w:tcW w:w="0" w:type="dxa"/>
            <w:vAlign w:val="bottom"/>
          </w:tcPr>
          <w:p>
            <w:pPr>
              <w:spacing w:after="0"/>
              <w:rPr>
                <w:sz w:val="1"/>
                <w:szCs w:val="1"/>
                <w:color w:val="auto"/>
              </w:rPr>
            </w:pPr>
          </w:p>
        </w:tc>
      </w:tr>
      <w:tr>
        <w:trPr>
          <w:trHeight w:val="28"/>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287,709</w:t>
            </w:r>
          </w:p>
        </w:tc>
        <w:tc>
          <w:tcPr>
            <w:tcW w:w="0" w:type="dxa"/>
            <w:vAlign w:val="bottom"/>
          </w:tcPr>
          <w:p>
            <w:pPr>
              <w:spacing w:after="0"/>
              <w:rPr>
                <w:sz w:val="1"/>
                <w:szCs w:val="1"/>
                <w:color w:val="auto"/>
              </w:rPr>
            </w:pPr>
          </w:p>
        </w:tc>
      </w:tr>
      <w:tr>
        <w:trPr>
          <w:trHeight w:val="28"/>
        </w:trPr>
        <w:tc>
          <w:tcPr>
            <w:tcW w:w="6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40" w:firstLine="319"/>
        <w:spacing w:after="0" w:line="250" w:lineRule="auto"/>
        <w:rPr>
          <w:sz w:val="20"/>
          <w:szCs w:val="20"/>
          <w:color w:val="auto"/>
        </w:rPr>
      </w:pPr>
      <w:r>
        <w:rPr>
          <w:rFonts w:ascii="Arial" w:cs="Arial" w:eastAsia="Arial" w:hAnsi="Arial"/>
          <w:sz w:val="18"/>
          <w:szCs w:val="18"/>
          <w:color w:val="auto"/>
        </w:rPr>
        <w:t>The following table summarizes the impacts on our condensed consolidated statements of operations of adopting Topic 606 compared to Topic 605 for the three months ended March 31, 2018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 Reported</w:t>
            </w:r>
          </w:p>
        </w:tc>
        <w:tc>
          <w:tcPr>
            <w:tcW w:w="680" w:type="dxa"/>
            <w:vAlign w:val="bottom"/>
          </w:tcPr>
          <w:p>
            <w:pPr>
              <w:spacing w:after="0"/>
              <w:rPr>
                <w:sz w:val="14"/>
                <w:szCs w:val="14"/>
                <w:color w:val="auto"/>
              </w:rPr>
            </w:pPr>
          </w:p>
        </w:tc>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Without Adoption of Topic</w:t>
            </w:r>
          </w:p>
        </w:tc>
        <w:tc>
          <w:tcPr>
            <w:tcW w:w="360" w:type="dxa"/>
            <w:vAlign w:val="bottom"/>
          </w:tcPr>
          <w:p>
            <w:pPr>
              <w:spacing w:after="0"/>
              <w:rPr>
                <w:sz w:val="14"/>
                <w:szCs w:val="14"/>
                <w:color w:val="auto"/>
              </w:rPr>
            </w:pPr>
          </w:p>
        </w:tc>
        <w:tc>
          <w:tcPr>
            <w:tcW w:w="1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0"/>
        </w:trPr>
        <w:tc>
          <w:tcPr>
            <w:tcW w:w="46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606</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Three Months Ended March 31, 2018</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Borders>
              <w:bottom w:val="single" w:sz="8" w:color="CCEEFF"/>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18,805</w:t>
            </w:r>
          </w:p>
        </w:tc>
        <w:tc>
          <w:tcPr>
            <w:tcW w:w="6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center"/>
              <w:ind w:left="934"/>
              <w:spacing w:after="0"/>
              <w:rPr>
                <w:sz w:val="20"/>
                <w:szCs w:val="20"/>
                <w:color w:val="auto"/>
              </w:rPr>
            </w:pPr>
            <w:r>
              <w:rPr>
                <w:rFonts w:ascii="Arial" w:cs="Arial" w:eastAsia="Arial" w:hAnsi="Arial"/>
                <w:sz w:val="18"/>
                <w:szCs w:val="18"/>
                <w:color w:val="auto"/>
                <w:w w:val="90"/>
              </w:rPr>
              <w:t>18,838</w:t>
            </w:r>
          </w:p>
        </w:tc>
        <w:tc>
          <w:tcPr>
            <w:tcW w:w="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center"/>
              <w:ind w:left="1414"/>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1540" w:type="dxa"/>
            <w:vAlign w:val="bottom"/>
          </w:tcPr>
          <w:p>
            <w:pPr>
              <w:jc w:val="right"/>
              <w:ind w:right="1354"/>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37,881</w:t>
            </w:r>
          </w:p>
        </w:tc>
        <w:tc>
          <w:tcPr>
            <w:tcW w:w="66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1720" w:type="dxa"/>
            <w:vAlign w:val="bottom"/>
          </w:tcPr>
          <w:p>
            <w:pPr>
              <w:jc w:val="center"/>
              <w:ind w:left="934"/>
              <w:spacing w:after="0"/>
              <w:rPr>
                <w:sz w:val="20"/>
                <w:szCs w:val="20"/>
                <w:color w:val="auto"/>
              </w:rPr>
            </w:pPr>
            <w:r>
              <w:rPr>
                <w:rFonts w:ascii="Arial" w:cs="Arial" w:eastAsia="Arial" w:hAnsi="Arial"/>
                <w:sz w:val="18"/>
                <w:szCs w:val="18"/>
                <w:color w:val="auto"/>
                <w:w w:val="90"/>
              </w:rPr>
              <w:t>37,914</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center"/>
              <w:ind w:left="1414"/>
              <w:spacing w:after="0"/>
              <w:rPr>
                <w:sz w:val="20"/>
                <w:szCs w:val="20"/>
                <w:color w:val="auto"/>
              </w:rPr>
            </w:pPr>
            <w:r>
              <w:rPr>
                <w:rFonts w:ascii="Arial" w:cs="Arial" w:eastAsia="Arial" w:hAnsi="Arial"/>
                <w:sz w:val="18"/>
                <w:szCs w:val="18"/>
                <w:color w:val="auto"/>
                <w:w w:val="93"/>
              </w:rPr>
              <w:t>(33)</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540" w:type="dxa"/>
            <w:vAlign w:val="bottom"/>
            <w:tcBorders>
              <w:bottom w:val="single" w:sz="8" w:color="CCEEFF"/>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(12,633)</w:t>
            </w:r>
          </w:p>
        </w:tc>
        <w:tc>
          <w:tcPr>
            <w:tcW w:w="6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center"/>
              <w:ind w:left="914"/>
              <w:spacing w:after="0"/>
              <w:rPr>
                <w:sz w:val="20"/>
                <w:szCs w:val="20"/>
                <w:color w:val="auto"/>
              </w:rPr>
            </w:pPr>
            <w:r>
              <w:rPr>
                <w:rFonts w:ascii="Arial" w:cs="Arial" w:eastAsia="Arial" w:hAnsi="Arial"/>
                <w:sz w:val="18"/>
                <w:szCs w:val="18"/>
                <w:color w:val="auto"/>
                <w:w w:val="89"/>
              </w:rPr>
              <w:t>(12,666)</w:t>
            </w:r>
          </w:p>
        </w:tc>
        <w:tc>
          <w:tcPr>
            <w:tcW w:w="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center"/>
              <w:ind w:left="1414"/>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38"/>
        </w:trPr>
        <w:tc>
          <w:tcPr>
            <w:tcW w:w="4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540" w:type="dxa"/>
            <w:vAlign w:val="bottom"/>
          </w:tcPr>
          <w:p>
            <w:pPr>
              <w:jc w:val="right"/>
              <w:ind w:right="1354"/>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(14,430)</w:t>
            </w:r>
          </w:p>
        </w:tc>
        <w:tc>
          <w:tcPr>
            <w:tcW w:w="660" w:type="dxa"/>
            <w:vAlign w:val="bottom"/>
          </w:tcPr>
          <w:p>
            <w:pPr>
              <w:jc w:val="right"/>
              <w:ind w:right="377"/>
              <w:spacing w:after="0"/>
              <w:rPr>
                <w:sz w:val="20"/>
                <w:szCs w:val="20"/>
                <w:color w:val="auto"/>
              </w:rPr>
            </w:pPr>
            <w:r>
              <w:rPr>
                <w:rFonts w:ascii="Arial" w:cs="Arial" w:eastAsia="Arial" w:hAnsi="Arial"/>
                <w:sz w:val="18"/>
                <w:szCs w:val="18"/>
                <w:color w:val="auto"/>
              </w:rPr>
              <w:t>$</w:t>
            </w:r>
          </w:p>
        </w:tc>
        <w:tc>
          <w:tcPr>
            <w:tcW w:w="1720" w:type="dxa"/>
            <w:vAlign w:val="bottom"/>
          </w:tcPr>
          <w:p>
            <w:pPr>
              <w:jc w:val="center"/>
              <w:ind w:left="914"/>
              <w:spacing w:after="0"/>
              <w:rPr>
                <w:sz w:val="20"/>
                <w:szCs w:val="20"/>
                <w:color w:val="auto"/>
              </w:rPr>
            </w:pPr>
            <w:r>
              <w:rPr>
                <w:rFonts w:ascii="Arial" w:cs="Arial" w:eastAsia="Arial" w:hAnsi="Arial"/>
                <w:sz w:val="18"/>
                <w:szCs w:val="18"/>
                <w:color w:val="auto"/>
                <w:w w:val="89"/>
              </w:rPr>
              <w:t>(14,463)</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tcPr>
          <w:p>
            <w:pPr>
              <w:jc w:val="center"/>
              <w:ind w:left="1414"/>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1540" w:type="dxa"/>
            <w:vAlign w:val="bottom"/>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(13,247)</w:t>
            </w:r>
          </w:p>
        </w:tc>
        <w:tc>
          <w:tcPr>
            <w:tcW w:w="66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center"/>
              <w:ind w:left="914"/>
              <w:spacing w:after="0"/>
              <w:rPr>
                <w:sz w:val="20"/>
                <w:szCs w:val="20"/>
                <w:color w:val="auto"/>
              </w:rPr>
            </w:pPr>
            <w:r>
              <w:rPr>
                <w:rFonts w:ascii="Arial" w:cs="Arial" w:eastAsia="Arial" w:hAnsi="Arial"/>
                <w:sz w:val="18"/>
                <w:szCs w:val="18"/>
                <w:color w:val="auto"/>
                <w:w w:val="89"/>
              </w:rPr>
              <w:t>(13,280)</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center"/>
              <w:ind w:left="1414"/>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8"/>
        </w:trPr>
        <w:tc>
          <w:tcPr>
            <w:tcW w:w="46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right="40" w:firstLine="319"/>
        <w:spacing w:after="0" w:line="250" w:lineRule="auto"/>
        <w:rPr>
          <w:sz w:val="20"/>
          <w:szCs w:val="20"/>
          <w:color w:val="auto"/>
        </w:rPr>
      </w:pPr>
      <w:r>
        <w:rPr>
          <w:rFonts w:ascii="Arial" w:cs="Arial" w:eastAsia="Arial" w:hAnsi="Arial"/>
          <w:sz w:val="18"/>
          <w:szCs w:val="18"/>
          <w:color w:val="auto"/>
        </w:rPr>
        <w:t>The following table summarizes the impacts on our condensed consolidated balance sheets of adopting Topic 606 compared to Topic 605 at March 31, 2018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 Reported</w:t>
            </w:r>
          </w:p>
        </w:tc>
        <w:tc>
          <w:tcPr>
            <w:tcW w:w="72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Balance Without Adoption of Topic</w:t>
            </w:r>
          </w:p>
        </w:tc>
        <w:tc>
          <w:tcPr>
            <w:tcW w:w="400" w:type="dxa"/>
            <w:vAlign w:val="bottom"/>
          </w:tcPr>
          <w:p>
            <w:pPr>
              <w:spacing w:after="0"/>
              <w:rPr>
                <w:sz w:val="14"/>
                <w:szCs w:val="14"/>
                <w:color w:val="auto"/>
              </w:rPr>
            </w:pPr>
          </w:p>
        </w:tc>
        <w:tc>
          <w:tcPr>
            <w:tcW w:w="18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76"/>
              <w:spacing w:after="0"/>
              <w:rPr>
                <w:sz w:val="20"/>
                <w:szCs w:val="20"/>
                <w:color w:val="auto"/>
              </w:rPr>
            </w:pPr>
            <w:r>
              <w:rPr>
                <w:rFonts w:ascii="Arial" w:cs="Arial" w:eastAsia="Arial" w:hAnsi="Arial"/>
                <w:sz w:val="14"/>
                <w:szCs w:val="14"/>
                <w:b w:val="1"/>
                <w:bCs w:val="1"/>
                <w:color w:val="auto"/>
              </w:rPr>
              <w:t>606</w:t>
            </w: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March 31, 2018</w:t>
            </w:r>
          </w:p>
        </w:tc>
        <w:tc>
          <w:tcPr>
            <w:tcW w:w="4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Borders>
              <w:bottom w:val="single" w:sz="8" w:color="CCEEFF"/>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2,227</w:t>
            </w:r>
          </w:p>
        </w:tc>
        <w:tc>
          <w:tcPr>
            <w:tcW w:w="4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8"/>
        </w:trPr>
        <w:tc>
          <w:tcPr>
            <w:tcW w:w="46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jc w:val="right"/>
              <w:ind w:right="135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81,001</w:t>
            </w:r>
          </w:p>
        </w:tc>
        <w:tc>
          <w:tcPr>
            <w:tcW w:w="4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80,832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540" w:type="dxa"/>
            <w:vAlign w:val="bottom"/>
            <w:tcBorders>
              <w:bottom w:val="single" w:sz="8" w:color="CCEEFF"/>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7,360</w:t>
            </w:r>
          </w:p>
        </w:tc>
        <w:tc>
          <w:tcPr>
            <w:tcW w:w="4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8"/>
        </w:trPr>
        <w:tc>
          <w:tcPr>
            <w:tcW w:w="460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540" w:type="dxa"/>
            <w:vAlign w:val="bottom"/>
          </w:tcPr>
          <w:p>
            <w:pPr>
              <w:jc w:val="right"/>
              <w:ind w:right="135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269,702</w:t>
            </w:r>
          </w:p>
        </w:tc>
        <w:tc>
          <w:tcPr>
            <w:tcW w:w="4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269,311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8"/>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540" w:type="dxa"/>
            <w:vAlign w:val="bottom"/>
            <w:tcBorders>
              <w:bottom w:val="single" w:sz="8" w:color="CCEEFF"/>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48,574</w:t>
            </w:r>
          </w:p>
        </w:tc>
        <w:tc>
          <w:tcPr>
            <w:tcW w:w="4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8"/>
        </w:trPr>
        <w:tc>
          <w:tcPr>
            <w:tcW w:w="460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540" w:type="dxa"/>
            <w:vAlign w:val="bottom"/>
          </w:tcPr>
          <w:p>
            <w:pPr>
              <w:jc w:val="right"/>
              <w:ind w:right="135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269,702</w:t>
            </w:r>
          </w:p>
        </w:tc>
        <w:tc>
          <w:tcPr>
            <w:tcW w:w="42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269,311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right="220" w:firstLine="319"/>
        <w:spacing w:after="0" w:line="261"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ASU addresses eight specific cash flow issues and their presentation within the statement of cash flows. We adopted this ASU in the first quarter of 2018. The adoption of this ASU did not have a material impact on our condensed consolidated financial statements.</w:t>
      </w:r>
    </w:p>
    <w:p>
      <w:pPr>
        <w:spacing w:after="0" w:line="199" w:lineRule="exact"/>
        <w:rPr>
          <w:sz w:val="20"/>
          <w:szCs w:val="20"/>
          <w:color w:val="auto"/>
        </w:rPr>
      </w:pPr>
    </w:p>
    <w:p>
      <w:pPr>
        <w:ind w:firstLine="319"/>
        <w:spacing w:after="0" w:line="237"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We adopted this ASU in the first quarter of 2018. The adoption of this ASU did not have a material impact on our condensed consolidated financial statements.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244" w:lineRule="exact"/>
        <w:rPr>
          <w:sz w:val="20"/>
          <w:szCs w:val="20"/>
          <w:color w:val="auto"/>
        </w:rPr>
      </w:pPr>
    </w:p>
    <w:p>
      <w:pPr>
        <w:ind w:firstLine="389"/>
        <w:spacing w:after="0" w:line="313" w:lineRule="auto"/>
        <w:rPr>
          <w:sz w:val="20"/>
          <w:szCs w:val="20"/>
          <w:color w:val="auto"/>
        </w:rPr>
      </w:pPr>
      <w:r>
        <w:rPr>
          <w:rFonts w:ascii="Arial" w:cs="Arial" w:eastAsia="Arial" w:hAnsi="Arial"/>
          <w:sz w:val="15"/>
          <w:szCs w:val="15"/>
          <w:color w:val="auto"/>
        </w:rPr>
        <w:t>In February 2016, the FASB issued ASU 2016-02 Leases (Topic 842). This ASU requires lessees to recognize a right-of-use asset and a lease liability on the balance sheet for all leases with the exception of short-term leases. For lessees, leases will continue to be classified as either operating or finance leases in the income statement. Lessor accounting under this ASU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effect that the updated standard will have on our consolidated financial statements.</w:t>
      </w:r>
    </w:p>
    <w:p>
      <w:pPr>
        <w:spacing w:after="0" w:line="176" w:lineRule="exact"/>
        <w:rPr>
          <w:sz w:val="20"/>
          <w:szCs w:val="20"/>
          <w:color w:val="auto"/>
        </w:rPr>
      </w:pPr>
    </w:p>
    <w:p>
      <w:pPr>
        <w:ind w:right="100" w:firstLine="389"/>
        <w:spacing w:after="0" w:line="250"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The ASU will be effective for annual and interim goodwill impairment testing performed for our fiscal year beginning January 1, 2020, with early adoption permitted. We are currently evaluating the effect that the updated standard will have on our consolidated financial statements.</w:t>
      </w:r>
    </w:p>
    <w:p>
      <w:pPr>
        <w:spacing w:after="0" w:line="233" w:lineRule="exact"/>
        <w:rPr>
          <w:sz w:val="20"/>
          <w:szCs w:val="20"/>
          <w:color w:val="auto"/>
        </w:rPr>
      </w:pPr>
    </w:p>
    <w:p>
      <w:pPr>
        <w:ind w:right="280" w:firstLine="389"/>
        <w:spacing w:after="0" w:line="309" w:lineRule="auto"/>
        <w:rPr>
          <w:sz w:val="20"/>
          <w:szCs w:val="20"/>
          <w:color w:val="auto"/>
        </w:rPr>
      </w:pPr>
      <w:r>
        <w:rPr>
          <w:rFonts w:ascii="Arial" w:cs="Arial" w:eastAsia="Arial" w:hAnsi="Arial"/>
          <w:sz w:val="15"/>
          <w:szCs w:val="15"/>
          <w:color w:val="auto"/>
        </w:rPr>
        <w:t>In February 2018, the FASB issued ASU 2018-02 Income Statement - Reporting Comprehensive Income (Topic 220): Reclassification of Certain Tax Effects from Accumulated Other Comprehensive Income. This ASU amends the reporting of comprehensive income to allow a reclassification from accumulated other comprehensive income to retained earnings for stranded tax effects resulting from the Tax Cuts and Jobs Act (the "Tax Act"). The Tax Act was enacted in December 2017 and reduced the U.S federal corporate income tax rate and made other changes to U.S. federal tax law. ASU 2018-02 will be effective for our fiscal year beginning January 1, 2019, and early adoption is permitted. We are currently evaluating the accounting, transition, and disclosure requirements of the standard. We are currently evaluating the effect that the updated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50" w:lineRule="exact"/>
        <w:rPr>
          <w:sz w:val="20"/>
          <w:szCs w:val="20"/>
          <w:color w:val="auto"/>
        </w:rPr>
      </w:pPr>
    </w:p>
    <w:p>
      <w:pPr>
        <w:ind w:right="80" w:firstLine="319"/>
        <w:spacing w:after="0"/>
        <w:rPr>
          <w:sz w:val="20"/>
          <w:szCs w:val="20"/>
          <w:color w:val="auto"/>
        </w:rPr>
      </w:pPr>
      <w:r>
        <w:rPr>
          <w:rFonts w:ascii="Arial" w:cs="Arial" w:eastAsia="Arial" w:hAnsi="Arial"/>
          <w:sz w:val="18"/>
          <w:szCs w:val="18"/>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is reported net of any sales, use and value-added taxes we collect from customers as required by government authorities.</w:t>
      </w:r>
    </w:p>
    <w:p>
      <w:pPr>
        <w:spacing w:after="0" w:line="231" w:lineRule="exact"/>
        <w:rPr>
          <w:sz w:val="20"/>
          <w:szCs w:val="20"/>
          <w:color w:val="auto"/>
        </w:rPr>
      </w:pPr>
    </w:p>
    <w:p>
      <w:pPr>
        <w:ind w:right="200" w:firstLine="319"/>
        <w:spacing w:after="0" w:line="300" w:lineRule="auto"/>
        <w:rPr>
          <w:sz w:val="20"/>
          <w:szCs w:val="20"/>
          <w:color w:val="auto"/>
        </w:rPr>
      </w:pPr>
      <w:r>
        <w:rPr>
          <w:rFonts w:ascii="Arial" w:cs="Arial" w:eastAsia="Arial" w:hAnsi="Arial"/>
          <w:sz w:val="15"/>
          <w:szCs w:val="15"/>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31" w:lineRule="exact"/>
        <w:rPr>
          <w:sz w:val="20"/>
          <w:szCs w:val="20"/>
          <w:color w:val="auto"/>
        </w:rPr>
      </w:pPr>
    </w:p>
    <w:p>
      <w:pPr>
        <w:ind w:right="380" w:firstLine="319"/>
        <w:spacing w:after="0" w:line="348" w:lineRule="auto"/>
        <w:rPr>
          <w:sz w:val="20"/>
          <w:szCs w:val="20"/>
          <w:color w:val="auto"/>
        </w:rPr>
      </w:pPr>
      <w:r>
        <w:rPr>
          <w:rFonts w:ascii="Arial" w:cs="Arial" w:eastAsia="Arial" w:hAnsi="Arial"/>
          <w:sz w:val="15"/>
          <w:szCs w:val="15"/>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w:t>
      </w:r>
    </w:p>
    <w:p>
      <w:pPr>
        <w:spacing w:after="0" w:line="137" w:lineRule="exact"/>
        <w:rPr>
          <w:sz w:val="20"/>
          <w:szCs w:val="20"/>
          <w:color w:val="auto"/>
        </w:rPr>
      </w:pPr>
    </w:p>
    <w:p>
      <w:pPr>
        <w:ind w:right="80" w:firstLine="319"/>
        <w:spacing w:after="0"/>
        <w:rPr>
          <w:sz w:val="20"/>
          <w:szCs w:val="20"/>
          <w:color w:val="auto"/>
        </w:rPr>
      </w:pPr>
      <w:r>
        <w:rPr>
          <w:rFonts w:ascii="Arial" w:cs="Arial" w:eastAsia="Arial" w:hAnsi="Arial"/>
          <w:sz w:val="18"/>
          <w:szCs w:val="18"/>
          <w:color w:val="auto"/>
        </w:rPr>
        <w:t>Customers generally do not have a unilateral right to return products after delivery. Instruments are sold with an assurance-type warranty and the estimated cost of the warranty is recognized as expense at the point when revenue is recognized. Invoices are generally issued at shipment and become due in 30 to 60 days.</w:t>
      </w:r>
    </w:p>
    <w:p>
      <w:pPr>
        <w:spacing w:after="0" w:line="215" w:lineRule="exact"/>
        <w:rPr>
          <w:sz w:val="20"/>
          <w:szCs w:val="20"/>
          <w:color w:val="auto"/>
        </w:rPr>
      </w:pPr>
    </w:p>
    <w:p>
      <w:pPr>
        <w:ind w:right="100" w:firstLine="319"/>
        <w:spacing w:after="0" w:line="250" w:lineRule="auto"/>
        <w:rPr>
          <w:sz w:val="20"/>
          <w:szCs w:val="20"/>
          <w:color w:val="auto"/>
        </w:rPr>
      </w:pPr>
      <w:r>
        <w:rPr>
          <w:rFonts w:ascii="Arial" w:cs="Arial" w:eastAsia="Arial" w:hAnsi="Arial"/>
          <w:sz w:val="18"/>
          <w:szCs w:val="18"/>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 revenue from repairs, installation, training and other specialized product support services at the point in time the work is completed.</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Installation and training services are generally billed in advance of service. Repairs and other services are generally billed at the point the work is completed.</w:t>
      </w:r>
    </w:p>
    <w:p>
      <w:pPr>
        <w:spacing w:after="0" w:line="252" w:lineRule="exact"/>
        <w:rPr>
          <w:sz w:val="20"/>
          <w:szCs w:val="20"/>
          <w:color w:val="auto"/>
        </w:rPr>
      </w:pPr>
    </w:p>
    <w:p>
      <w:pPr>
        <w:ind w:firstLine="319"/>
        <w:spacing w:after="0" w:line="237" w:lineRule="auto"/>
        <w:rPr>
          <w:sz w:val="20"/>
          <w:szCs w:val="20"/>
          <w:color w:val="auto"/>
        </w:rPr>
      </w:pPr>
      <w:r>
        <w:rPr>
          <w:rFonts w:ascii="Arial" w:cs="Arial" w:eastAsia="Arial" w:hAnsi="Arial"/>
          <w:sz w:val="18"/>
          <w:szCs w:val="18"/>
          <w:color w:val="auto"/>
        </w:rPr>
        <w:t>Revenue associated with instrument service contracts is recognized ratably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31" w:lineRule="exact"/>
        <w:rPr>
          <w:sz w:val="20"/>
          <w:szCs w:val="20"/>
          <w:color w:val="auto"/>
        </w:rPr>
      </w:pPr>
    </w:p>
    <w:p>
      <w:pPr>
        <w:jc w:val="both"/>
        <w:ind w:right="20" w:firstLine="319"/>
        <w:spacing w:after="0" w:line="261" w:lineRule="auto"/>
        <w:rPr>
          <w:sz w:val="20"/>
          <w:szCs w:val="20"/>
          <w:color w:val="auto"/>
        </w:rPr>
      </w:pPr>
      <w:r>
        <w:rPr>
          <w:rFonts w:ascii="Arial" w:cs="Arial" w:eastAsia="Arial" w:hAnsi="Arial"/>
          <w:sz w:val="17"/>
          <w:szCs w:val="17"/>
          <w:color w:val="auto"/>
        </w:rPr>
        <w:t>At December 31, 2017, and March 31, 2018, we reported $15.2 million and $16.0 million, respectively, of deferred revenue on our condensed consolidated balance sheet. During the three months ended March 31, 2018, $3.1 million of the opening balance was recognized as revenue and $3.9 million of net additional advance payments were received from customers, primarily associated with our mass cytometry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7"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right="400" w:firstLine="319"/>
        <w:spacing w:after="0" w:line="250" w:lineRule="auto"/>
        <w:rPr>
          <w:sz w:val="20"/>
          <w:szCs w:val="20"/>
          <w:color w:val="auto"/>
        </w:rPr>
      </w:pPr>
      <w:r>
        <w:rPr>
          <w:rFonts w:ascii="Arial" w:cs="Arial" w:eastAsia="Arial" w:hAnsi="Arial"/>
          <w:sz w:val="18"/>
          <w:szCs w:val="18"/>
          <w:color w:val="auto"/>
        </w:rPr>
        <w:t>The following table summarizes the expected timing of revenue recognition for unfulfilled performance obligations associated with instrument service contracts that were partially completed at March 31, 2018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4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160" w:type="dxa"/>
            <w:vAlign w:val="bottom"/>
          </w:tcPr>
          <w:p>
            <w:pPr>
              <w:spacing w:after="0"/>
              <w:rPr>
                <w:sz w:val="20"/>
                <w:szCs w:val="20"/>
                <w:color w:val="auto"/>
              </w:rPr>
            </w:pPr>
          </w:p>
        </w:tc>
        <w:tc>
          <w:tcPr>
            <w:tcW w:w="152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 xml:space="preserve">Expected Revenue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4"/>
        </w:trPr>
        <w:tc>
          <w:tcPr>
            <w:tcW w:w="9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 (remainder of the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38"/>
        </w:trPr>
        <w:tc>
          <w:tcPr>
            <w:tcW w:w="9360" w:type="dxa"/>
            <w:vAlign w:val="bottom"/>
          </w:tcPr>
          <w:p>
            <w:pPr>
              <w:ind w:left="2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8"/>
        </w:trPr>
        <w:tc>
          <w:tcPr>
            <w:tcW w:w="9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38"/>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8"/>
        </w:trPr>
        <w:tc>
          <w:tcPr>
            <w:tcW w:w="9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firstLine="6"/>
        <w:spacing w:after="0" w:line="254" w:lineRule="auto"/>
        <w:tabs>
          <w:tab w:leader="none" w:pos="168" w:val="left"/>
        </w:tabs>
        <w:numPr>
          <w:ilvl w:val="0"/>
          <w:numId w:val="4"/>
        </w:numPr>
        <w:rPr>
          <w:rFonts w:ascii="Arial" w:cs="Arial" w:eastAsia="Arial" w:hAnsi="Arial"/>
          <w:sz w:val="19"/>
          <w:szCs w:val="19"/>
          <w:color w:val="auto"/>
          <w:vertAlign w:val="superscript"/>
        </w:rPr>
      </w:pPr>
      <w:r>
        <w:rPr>
          <w:rFonts w:ascii="Arial" w:cs="Arial" w:eastAsia="Arial" w:hAnsi="Arial"/>
          <w:sz w:val="16"/>
          <w:szCs w:val="16"/>
          <w:color w:val="auto"/>
        </w:rPr>
        <w:t>Expected revenue includes both billed amounts included in deferred revenue and unbilled amounts that not reflected in our consolidated financial statements and are subject to change if our customers decide to cancel or modify their contracts. Purchase orders for instrument service contracts can generally be cancelled in advance without penalty.</w:t>
      </w:r>
    </w:p>
    <w:p>
      <w:pPr>
        <w:spacing w:after="0" w:line="205" w:lineRule="exact"/>
        <w:rPr>
          <w:sz w:val="20"/>
          <w:szCs w:val="20"/>
          <w:color w:val="auto"/>
        </w:rPr>
      </w:pPr>
    </w:p>
    <w:p>
      <w:pPr>
        <w:ind w:right="360" w:firstLine="319"/>
        <w:spacing w:after="0" w:line="250" w:lineRule="auto"/>
        <w:rPr>
          <w:sz w:val="20"/>
          <w:szCs w:val="20"/>
          <w:color w:val="auto"/>
        </w:rPr>
      </w:pPr>
      <w:r>
        <w:rPr>
          <w:rFonts w:ascii="Arial" w:cs="Arial" w:eastAsia="Arial" w:hAnsi="Arial"/>
          <w:sz w:val="18"/>
          <w:szCs w:val="18"/>
          <w:color w:val="auto"/>
        </w:rPr>
        <w:t>We apply the practical expedient that permits us to not disclose information about unsatisfied performance obligations that are expected to be delivered within one year.</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Costs</w:t>
      </w:r>
    </w:p>
    <w:p>
      <w:pPr>
        <w:spacing w:after="0" w:line="231" w:lineRule="exact"/>
        <w:rPr>
          <w:sz w:val="20"/>
          <w:szCs w:val="20"/>
          <w:color w:val="auto"/>
        </w:rPr>
      </w:pPr>
    </w:p>
    <w:p>
      <w:pPr>
        <w:ind w:right="280" w:firstLine="319"/>
        <w:spacing w:after="0" w:line="237" w:lineRule="auto"/>
        <w:rPr>
          <w:sz w:val="20"/>
          <w:szCs w:val="20"/>
          <w:color w:val="auto"/>
        </w:rPr>
      </w:pPr>
      <w:r>
        <w:rPr>
          <w:rFonts w:ascii="Arial" w:cs="Arial" w:eastAsia="Arial" w:hAnsi="Arial"/>
          <w:sz w:val="18"/>
          <w:szCs w:val="18"/>
          <w:color w:val="auto"/>
        </w:rPr>
        <w:t>Incremental sales commission costs incurred to obtain instrument service contracts are capitalized and amortized to selling, general and administrative expense over the life of the contract, which is generally one to three years. As a practical expedient, we expense sales commissions associated with product support services that are delivered in less than one year as they are incurred. Sales commissions associated with the sale of products are expensed as they are incurred.</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reported $0.4 million of capitalized commission costs from instrument service contracts as of January 1, 2018, and March 31, 2018, respectively.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Additional costs capitalized during the three months ended March 31, 2018, net of amortization, was not material.</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231" w:lineRule="exact"/>
        <w:rPr>
          <w:sz w:val="20"/>
          <w:szCs w:val="20"/>
          <w:color w:val="auto"/>
        </w:rPr>
      </w:pPr>
    </w:p>
    <w:p>
      <w:pPr>
        <w:ind w:right="220" w:firstLine="319"/>
        <w:spacing w:after="0" w:line="288" w:lineRule="auto"/>
        <w:rPr>
          <w:sz w:val="20"/>
          <w:szCs w:val="20"/>
          <w:color w:val="auto"/>
        </w:rPr>
      </w:pPr>
      <w:r>
        <w:rPr>
          <w:rFonts w:ascii="Arial" w:cs="Arial" w:eastAsia="Arial" w:hAnsi="Arial"/>
          <w:sz w:val="15"/>
          <w:szCs w:val="15"/>
          <w:color w:val="auto"/>
        </w:rPr>
        <w:t>Applying the revenue recognition practices discussed above often requires significant judgment. Assessing collectability requires us to determine if the customer has the ability and intent to make payments. This requires a comprehensive review of all relevant facts, including the customer’s historical practices and current financial condition. Estimating the amount of our future warranty obligations requires judgment. If warranty claims or the cost of servicing our products under warranty exceed our estimates, our cost of revenues could be adversely affected in future periods. Judgment is required when identifying performance obligations, estimating SSP and allocating purchasing consideration in multi-element arrangements. Moreover, significant judgment is required when interpreting commercial terms and determining when control of goods and services passes to the customer. Any material changes created by errors in judgment could have a material effect on our operating results and overall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7"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37" w:lineRule="exact"/>
        <w:rPr>
          <w:sz w:val="20"/>
          <w:szCs w:val="20"/>
          <w:color w:val="auto"/>
        </w:rPr>
      </w:pPr>
    </w:p>
    <w:p>
      <w:pPr>
        <w:ind w:right="220" w:firstLine="319"/>
        <w:spacing w:after="0" w:line="250" w:lineRule="auto"/>
        <w:rPr>
          <w:sz w:val="20"/>
          <w:szCs w:val="20"/>
          <w:color w:val="auto"/>
        </w:rPr>
      </w:pPr>
      <w:r>
        <w:rPr>
          <w:rFonts w:ascii="Arial" w:cs="Arial" w:eastAsia="Arial" w:hAnsi="Arial"/>
          <w:sz w:val="18"/>
          <w:szCs w:val="18"/>
          <w:color w:val="auto"/>
        </w:rPr>
        <w:t>The following table disaggregates our revenue for the three months ended March 31, 2018, and 2017, respectively, by geographic area and by products and services (in thousands):</w:t>
      </w:r>
    </w:p>
    <w:p>
      <w:pPr>
        <w:spacing w:after="0" w:line="1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Year Over Year</w:t>
            </w: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1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8"/>
        </w:trPr>
        <w:tc>
          <w:tcPr>
            <w:tcW w:w="5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Markets: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ind w:right="932"/>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10,116</w:t>
            </w:r>
          </w:p>
        </w:tc>
        <w:tc>
          <w:tcPr>
            <w:tcW w:w="80" w:type="dxa"/>
            <w:vAlign w:val="bottom"/>
          </w:tcPr>
          <w:p>
            <w:pPr>
              <w:spacing w:after="0"/>
              <w:rPr>
                <w:sz w:val="20"/>
                <w:szCs w:val="20"/>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11,831</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5,941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8"/>
        </w:trPr>
        <w:tc>
          <w:tcPr>
            <w:tcW w:w="5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25,248</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9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Products and Services:</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140" w:type="dxa"/>
            <w:vAlign w:val="bottom"/>
            <w:tcBorders>
              <w:bottom w:val="single" w:sz="8" w:color="CCEEFF"/>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Arial" w:cs="Arial" w:eastAsia="Arial" w:hAnsi="Arial"/>
                <w:sz w:val="18"/>
                <w:szCs w:val="18"/>
                <w:color w:val="auto"/>
              </w:rPr>
              <w:t>Consumables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12,957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59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1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20,477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8"/>
        </w:trPr>
        <w:tc>
          <w:tcPr>
            <w:tcW w:w="5920" w:type="dxa"/>
            <w:vAlign w:val="bottom"/>
          </w:tcPr>
          <w:p>
            <w:pPr>
              <w:ind w:left="20"/>
              <w:spacing w:after="0"/>
              <w:rPr>
                <w:sz w:val="20"/>
                <w:szCs w:val="20"/>
                <w:color w:val="auto"/>
              </w:rPr>
            </w:pPr>
            <w:r>
              <w:rPr>
                <w:rFonts w:ascii="Arial" w:cs="Arial" w:eastAsia="Arial" w:hAnsi="Arial"/>
                <w:sz w:val="18"/>
                <w:szCs w:val="18"/>
                <w:color w:val="auto"/>
              </w:rPr>
              <w:t>Services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8"/>
        </w:trPr>
        <w:tc>
          <w:tcPr>
            <w:tcW w:w="59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14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25,248</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Convertible Notes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Senior Convertible Notes (2014 Notes)</w:t>
      </w:r>
    </w:p>
    <w:p>
      <w:pPr>
        <w:spacing w:after="0" w:line="244" w:lineRule="exact"/>
        <w:rPr>
          <w:sz w:val="20"/>
          <w:szCs w:val="20"/>
          <w:color w:val="auto"/>
        </w:rPr>
      </w:pPr>
    </w:p>
    <w:p>
      <w:pPr>
        <w:ind w:right="100" w:firstLine="478"/>
        <w:spacing w:after="0" w:line="300" w:lineRule="auto"/>
        <w:rPr>
          <w:sz w:val="20"/>
          <w:szCs w:val="20"/>
          <w:color w:val="auto"/>
        </w:rPr>
      </w:pPr>
      <w:r>
        <w:rPr>
          <w:rFonts w:ascii="Arial" w:cs="Arial" w:eastAsia="Arial" w:hAnsi="Arial"/>
          <w:sz w:val="15"/>
          <w:szCs w:val="15"/>
          <w:color w:val="auto"/>
        </w:rPr>
        <w:t>On February 4, 2014, we closed an underwritten public offering of $201.3 million aggregate principal amount of our 2.75% Senior Convertible Notes due 2034 (2014 Notes), pursuant to an underwriting agreement, dated January 29, 2014. The 2014 Notes accrue interest at a rate of 2.75% per year, payable semi-annually in arrears on February 1 and August 1 of each year. Interest on the 2014 Notes will accrue from February 4, 2014. The 2014 Notes will mature on February 1, 2034, unless earlier converted, redeemed, or repurchased in accordance with the terms of the 2014 Notes. The initial conversion rate of the 2014 Notes is 17.8750 shares of our common stock, par value $0.001 per share, per $1,000 principal amount of 2014 Notes (which is equivalent to an initial conversion price of approximately $55.94 per share). The conversion rate will be subject to adjustment upon the occurrence of certain specified events, including upon a conversion in connection with a fundamental change, as defined in the indenture governing the 2014 Notes or, subject to certain conditions, redemption of the 2014 Notes by the Company. Holders may surrender their 2014 Notes for conversion at any time prior to the stated maturity date. On or after February 6, 2018 and prior to February 6, 2021, we may redeem any or all of the 2014 Notes in cash if the closing price of our common stock exceeds 130% of the conversion price for a specified number of days, and on or after February 6, 2021, we may redeem any or all of the 2014 Notes in cash without any such condition. The redemption price of the 2014 Notes will equal 100% of the principal amount of the 2014 Notes plus accrued and unpaid interest. Holders may require us to repurchase all or a portion of their 2014 Notes on each of February 6, 2021, February 6, 2024, and February 6, 2029 at a repurchase price in cash equal to 100% of the principal amount of the 2014 Notes plus accrued and unpaid interest. If we undergo a fundamental change, as defined in the indenture governing the 2014 Notes, holders may require us to repurchase the 2014 Notes in whole or in part for cash at a repurchase price equal to 100% of the principal amount of the 2014 Notes plus accrued and unpaid interest.</w:t>
      </w:r>
    </w:p>
    <w:p>
      <w:pPr>
        <w:spacing w:after="0" w:line="200" w:lineRule="exact"/>
        <w:rPr>
          <w:sz w:val="20"/>
          <w:szCs w:val="20"/>
          <w:color w:val="auto"/>
        </w:rPr>
      </w:pPr>
    </w:p>
    <w:p>
      <w:pPr>
        <w:spacing w:after="0" w:line="206" w:lineRule="exact"/>
        <w:rPr>
          <w:sz w:val="20"/>
          <w:szCs w:val="20"/>
          <w:color w:val="auto"/>
        </w:rPr>
      </w:pPr>
    </w:p>
    <w:p>
      <w:pPr>
        <w:ind w:right="160" w:firstLine="389"/>
        <w:spacing w:after="0" w:line="366" w:lineRule="auto"/>
        <w:rPr>
          <w:sz w:val="20"/>
          <w:szCs w:val="20"/>
          <w:color w:val="auto"/>
        </w:rPr>
      </w:pPr>
      <w:r>
        <w:rPr>
          <w:rFonts w:ascii="Arial" w:cs="Arial" w:eastAsia="Arial" w:hAnsi="Arial"/>
          <w:sz w:val="15"/>
          <w:szCs w:val="15"/>
          <w:color w:val="auto"/>
        </w:rPr>
        <w:t>In February 2014, we received $195.2 million, net of underwriting discounts, from the issuance of the 2014 Notes and incurred approximately $1.1 million in offering-related expenses. The underwriting discount of $6.0 million and the debt issuance costs of $1.1 million were recorded as offsets to the proceeds.</w:t>
      </w:r>
    </w:p>
    <w:p>
      <w:pPr>
        <w:spacing w:after="0" w:line="3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2018 Senior Convertible Notes (2018 Notes)</w:t>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w:t>
      </w: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520"/>
          </w:cols>
          <w:pgMar w:left="240" w:top="127" w:right="1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exchange approximately $150.0 million in aggregate principal amount of the 2014 Notes for new convertible notes (the "2018 Notes"). As of the closing of the 2018 Notes on March 12, 2018, the estimated fair value was $145.5 million. The difference between the $150.0 million aggregate principal amount of the 2018 Notes and its fair value will be amortized over the expected term of the 2018 Notes using the effective interest method through the first note holder put date, of February 6, 2023.</w:t>
      </w:r>
    </w:p>
    <w:p>
      <w:pPr>
        <w:spacing w:after="0" w:line="219" w:lineRule="exact"/>
        <w:rPr>
          <w:sz w:val="20"/>
          <w:szCs w:val="20"/>
          <w:color w:val="auto"/>
        </w:rPr>
      </w:pPr>
    </w:p>
    <w:p>
      <w:pPr>
        <w:ind w:right="140" w:firstLine="319"/>
        <w:spacing w:after="0" w:line="312" w:lineRule="auto"/>
        <w:rPr>
          <w:sz w:val="20"/>
          <w:szCs w:val="20"/>
          <w:color w:val="auto"/>
        </w:rPr>
      </w:pPr>
      <w:r>
        <w:rPr>
          <w:rFonts w:ascii="Arial" w:cs="Arial" w:eastAsia="Arial" w:hAnsi="Arial"/>
          <w:sz w:val="15"/>
          <w:szCs w:val="15"/>
          <w:color w:val="auto"/>
        </w:rPr>
        <w:t>We accounted for the exchange transaction as an extinguishment of debt due to the significance of the change in value of the embedded conversion option, resulting in a $0.1 million gain. The gain on extinguishment of debt was calculated as the difference between the reacquisition price (i.e., the fair value of the principal amount of 2018 Notes) and the net carrying value of the 2014 Notes exchanged net of unamortized debt discount and debt issuance cost write-offs.</w:t>
      </w:r>
    </w:p>
    <w:p>
      <w:pPr>
        <w:spacing w:after="0" w:line="164" w:lineRule="exact"/>
        <w:rPr>
          <w:sz w:val="20"/>
          <w:szCs w:val="20"/>
          <w:color w:val="auto"/>
        </w:rPr>
      </w:pPr>
    </w:p>
    <w:p>
      <w:pPr>
        <w:ind w:firstLine="319"/>
        <w:spacing w:after="0" w:line="248" w:lineRule="auto"/>
        <w:rPr>
          <w:sz w:val="20"/>
          <w:szCs w:val="20"/>
          <w:color w:val="auto"/>
        </w:rPr>
      </w:pPr>
      <w:r>
        <w:rPr>
          <w:rFonts w:ascii="Arial" w:cs="Arial" w:eastAsia="Arial" w:hAnsi="Arial"/>
          <w:sz w:val="17"/>
          <w:szCs w:val="17"/>
          <w:color w:val="auto"/>
        </w:rPr>
        <w:t>The 2018 Notes accrue interest at a rate of 2.75%, payable semi-annually in arrears on February 1 and August 1 of each year. Interest on the 2018 Notes will accrue from February 1, 2018. The 2018 Notes will mature on February 1, 2034, unless earlier converted, redeemed, or repurchased in accordance with the terms of the indenture governing the 2018 Notes. The initial conversion rate of the 2018 Notes is 126.9438 shares of our common stock, par value $0.001 per share, per $1,000 principal amount of the 2018 Notes (which is equivalent to an initial conversion price of approximately $7.88 per share). The conversion rate will be subject to adjustment upon the occurrence of certain specified events. Any time prior to the maturity of the 2018 Notes, we may convert the 2018 Notes, in whole but not in part, into cash, shares of our common stock, or combination thereof, if the closing price of our common stock equals or exceeds 110% of the conversion price then in effect for a specified number of days ("Issuer’s Conversion Option"). On or after February 6, 2022, we may elect to redeem all or any portion of the 2018 Notes at a redemption price equal to 100% of the accreted principal amount of the 2018 Notes on the redemption date of the 2018 Notes, plus accrued and unpaid interest.</w:t>
      </w:r>
    </w:p>
    <w:p>
      <w:pPr>
        <w:spacing w:after="0" w:line="213" w:lineRule="exact"/>
        <w:rPr>
          <w:sz w:val="20"/>
          <w:szCs w:val="20"/>
          <w:color w:val="auto"/>
        </w:rPr>
      </w:pPr>
    </w:p>
    <w:p>
      <w:pPr>
        <w:ind w:right="60" w:firstLine="319"/>
        <w:spacing w:after="0" w:line="291" w:lineRule="auto"/>
        <w:rPr>
          <w:sz w:val="20"/>
          <w:szCs w:val="20"/>
          <w:color w:val="auto"/>
        </w:rPr>
      </w:pPr>
      <w:r>
        <w:rPr>
          <w:rFonts w:ascii="Arial" w:cs="Arial" w:eastAsia="Arial" w:hAnsi="Arial"/>
          <w:sz w:val="15"/>
          <w:szCs w:val="15"/>
          <w:color w:val="auto"/>
        </w:rPr>
        <w:t>Holders of the 2018 Notes have the right, at their option, to require us to purchase all or a portion of the 2018 Notes (i) on February 6, 2023, February 6, 2026 and February 6, 2029 or (ii) in the event of a fundamental change, as defined in the indenture governing the 2018 Notes, in each case, at a repurchase price equal to 100% of the accreted principal amount (i.e., up to 120% of the outstanding principal amount) of the 2018 Notes on the fundamental change repurchase date, plus accrued and unpaid interest. Holders who convert their 2018 Notes voluntarily prior to our exercise of the Issuer's Conversion Option or in connection with a make-whole fundamental change prior to February 6, 2023 are entitled, under certain circumstances, to a make-whole premium in the form of an increase in the conversion rate determined by reference to a make-whole table set forth in the indenture governing the 2018 Notes.</w:t>
      </w:r>
    </w:p>
    <w:p>
      <w:pPr>
        <w:spacing w:after="0" w:line="179" w:lineRule="exact"/>
        <w:rPr>
          <w:sz w:val="20"/>
          <w:szCs w:val="20"/>
          <w:color w:val="auto"/>
        </w:rPr>
      </w:pPr>
    </w:p>
    <w:p>
      <w:pPr>
        <w:ind w:right="20" w:firstLine="319"/>
        <w:spacing w:after="0" w:line="291" w:lineRule="auto"/>
        <w:rPr>
          <w:sz w:val="20"/>
          <w:szCs w:val="20"/>
          <w:color w:val="auto"/>
        </w:rPr>
      </w:pPr>
      <w:r>
        <w:rPr>
          <w:rFonts w:ascii="Arial" w:cs="Arial" w:eastAsia="Arial" w:hAnsi="Arial"/>
          <w:sz w:val="15"/>
          <w:szCs w:val="15"/>
          <w:color w:val="auto"/>
        </w:rPr>
        <w:t>As the 2018 Notes are convertible, at our election, into cash, shares of our common stock, or a combination of cash and shares of our common stock, we accounted for the 2018 Notes under the cash conversion guidance in ASC 470, whereby the embedded conversion option in the 2018 Notes was separated and accounted for in equity. The embedded conversion option value was calculated as the difference between (i) the total fair value of the 2018 Notes and (ii) the fair value of a similar debt instrument excluding the embedded conversion option. We determined an embedded conversion option value of $29.3 million, which was recorded in additional paid-in-capital and reduced the carrying value of the 2018 Notes. The resulting discount on the 2018 Notes will be amortized over the expected term of the 2018 Notes, using the effective interest method through the first note holder put date, of February 6, 2023.</w:t>
      </w:r>
    </w:p>
    <w:p>
      <w:pPr>
        <w:spacing w:after="0" w:line="179" w:lineRule="exact"/>
        <w:rPr>
          <w:sz w:val="20"/>
          <w:szCs w:val="20"/>
          <w:color w:val="auto"/>
        </w:rPr>
      </w:pPr>
    </w:p>
    <w:p>
      <w:pPr>
        <w:ind w:right="60" w:firstLine="319"/>
        <w:spacing w:after="0" w:line="294" w:lineRule="auto"/>
        <w:rPr>
          <w:sz w:val="20"/>
          <w:szCs w:val="20"/>
          <w:color w:val="auto"/>
        </w:rPr>
      </w:pPr>
      <w:r>
        <w:rPr>
          <w:rFonts w:ascii="Arial" w:cs="Arial" w:eastAsia="Arial" w:hAnsi="Arial"/>
          <w:sz w:val="15"/>
          <w:szCs w:val="15"/>
          <w:color w:val="auto"/>
        </w:rPr>
        <w:t>Offering-related costs for the 2018 Notes were approximately $2.8 million, and are expected to be paid in the second quarter of 2018. Offering-related costs of $2.2 million were capitalized as debt issuance costs, recorded as an offset to the carrying value of the 2018 Notes, and will be amortized over the expected term of the 2018 Notes using the effective interest method through the first note holder put date of February 6, 2023. Offering-related costs of $0.6 million were accounted for as equity issuance costs, recorded as an offset to additional paid-in capital, and are not subject to amortization. Offering-related costs were allocated between debt and equity in the same proportion as the allocation of the 2018 Notes between debt and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the components of the 2014 Notes and the 2018 Notes are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 2018</w:t>
            </w:r>
          </w:p>
        </w:tc>
        <w:tc>
          <w:tcPr>
            <w:tcW w:w="34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Arial" w:cs="Arial" w:eastAsia="Arial" w:hAnsi="Arial"/>
                <w:sz w:val="14"/>
                <w:szCs w:val="14"/>
                <w:b w:val="1"/>
                <w:bCs w:val="1"/>
                <w:color w:val="auto"/>
              </w:rPr>
              <w:t>December 31, 2017</w:t>
            </w:r>
          </w:p>
        </w:tc>
      </w:tr>
      <w:tr>
        <w:trPr>
          <w:trHeight w:val="231"/>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2.75% 2014 Notes due 2034</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color w:val="auto"/>
              </w:rPr>
              <w:t>Principal amount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51,250</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201,250</w:t>
            </w:r>
          </w:p>
        </w:tc>
      </w:tr>
      <w:tr>
        <w:trPr>
          <w:trHeight w:val="28"/>
        </w:trPr>
        <w:tc>
          <w:tcPr>
            <w:tcW w:w="6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color w:val="auto"/>
              </w:rPr>
              <w:t>Unamortized debt issuance cost</w:t>
            </w: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8"/>
        </w:trPr>
        <w:tc>
          <w:tcPr>
            <w:tcW w:w="6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195,238</w:t>
            </w:r>
          </w:p>
        </w:tc>
      </w:tr>
      <w:tr>
        <w:trPr>
          <w:trHeight w:val="218"/>
        </w:trPr>
        <w:tc>
          <w:tcPr>
            <w:tcW w:w="6780" w:type="dxa"/>
            <w:vAlign w:val="bottom"/>
          </w:tcPr>
          <w:p>
            <w:pPr>
              <w:ind w:left="20"/>
              <w:spacing w:after="0"/>
              <w:rPr>
                <w:sz w:val="20"/>
                <w:szCs w:val="20"/>
                <w:color w:val="auto"/>
              </w:rPr>
            </w:pPr>
            <w:r>
              <w:rPr>
                <w:rFonts w:ascii="Arial" w:cs="Arial" w:eastAsia="Arial" w:hAnsi="Arial"/>
                <w:sz w:val="18"/>
                <w:szCs w:val="18"/>
                <w:color w:val="auto"/>
              </w:rPr>
              <w:t>2.75% 2018 Notes due 2034</w:t>
            </w:r>
          </w:p>
        </w:tc>
        <w:tc>
          <w:tcPr>
            <w:tcW w:w="3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8"/>
        </w:trPr>
        <w:tc>
          <w:tcPr>
            <w:tcW w:w="6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color w:val="auto"/>
              </w:rPr>
              <w:t>Premium accretion of 2018 Notes</w:t>
            </w: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debt discount</w:t>
            </w:r>
          </w:p>
        </w:tc>
        <w:tc>
          <w:tcPr>
            <w:tcW w:w="3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780" w:type="dxa"/>
            <w:vAlign w:val="bottom"/>
          </w:tcPr>
          <w:p>
            <w:pPr>
              <w:ind w:left="20"/>
              <w:spacing w:after="0"/>
              <w:rPr>
                <w:sz w:val="20"/>
                <w:szCs w:val="20"/>
                <w:color w:val="auto"/>
              </w:rPr>
            </w:pPr>
            <w:r>
              <w:rPr>
                <w:rFonts w:ascii="Arial" w:cs="Arial" w:eastAsia="Arial" w:hAnsi="Arial"/>
                <w:sz w:val="18"/>
                <w:szCs w:val="18"/>
                <w:color w:val="auto"/>
              </w:rPr>
              <w:t>Unamortized debt issuance cost</w:t>
            </w:r>
          </w:p>
        </w:tc>
        <w:tc>
          <w:tcPr>
            <w:tcW w:w="3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9"/>
        </w:trPr>
        <w:tc>
          <w:tcPr>
            <w:tcW w:w="67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6780" w:type="dxa"/>
            <w:vAlign w:val="bottom"/>
          </w:tcPr>
          <w:p>
            <w:pPr>
              <w:spacing w:after="0"/>
              <w:rPr>
                <w:sz w:val="20"/>
                <w:szCs w:val="20"/>
                <w:color w:val="auto"/>
              </w:rPr>
            </w:pPr>
          </w:p>
        </w:tc>
        <w:tc>
          <w:tcPr>
            <w:tcW w:w="3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164,156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195,238</w:t>
            </w:r>
          </w:p>
        </w:tc>
      </w:tr>
      <w:tr>
        <w:trPr>
          <w:trHeight w:val="28"/>
        </w:trPr>
        <w:tc>
          <w:tcPr>
            <w:tcW w:w="6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40" w:right="9300" w:hanging="234"/>
        <w:spacing w:after="0" w:line="632"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i w:val="1"/>
          <w:iCs w:val="1"/>
          <w:color w:val="auto"/>
        </w:rPr>
        <w:t>Financial Instruments</w:t>
      </w:r>
    </w:p>
    <w:p>
      <w:pPr>
        <w:ind w:left="400"/>
        <w:spacing w:after="0"/>
        <w:rPr>
          <w:sz w:val="20"/>
          <w:szCs w:val="20"/>
          <w:color w:val="auto"/>
        </w:rPr>
      </w:pPr>
      <w:r>
        <w:rPr>
          <w:rFonts w:ascii="Arial" w:cs="Arial" w:eastAsia="Arial" w:hAnsi="Arial"/>
          <w:sz w:val="17"/>
          <w:szCs w:val="17"/>
          <w:color w:val="auto"/>
        </w:rPr>
        <w:t>The following tables summarize our cash and available-for-sale securities by significant category within the fair value hierarchy (in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Cash and Cash</w:t>
            </w:r>
          </w:p>
        </w:tc>
        <w:tc>
          <w:tcPr>
            <w:tcW w:w="160" w:type="dxa"/>
            <w:vAlign w:val="bottom"/>
          </w:tcPr>
          <w:p>
            <w:pPr>
              <w:spacing w:after="0"/>
              <w:rPr>
                <w:sz w:val="14"/>
                <w:szCs w:val="14"/>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160" w:type="dxa"/>
            <w:vAlign w:val="bottom"/>
          </w:tcPr>
          <w:p>
            <w:pPr>
              <w:spacing w:after="0"/>
              <w:rPr>
                <w:sz w:val="16"/>
                <w:szCs w:val="16"/>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6"/>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100"/>
              <w:spacing w:after="0"/>
              <w:rPr>
                <w:sz w:val="20"/>
                <w:szCs w:val="20"/>
                <w:color w:val="auto"/>
              </w:rPr>
            </w:pPr>
            <w:r>
              <w:rPr>
                <w:rFonts w:ascii="Arial" w:cs="Arial" w:eastAsia="Arial" w:hAnsi="Arial"/>
                <w:sz w:val="18"/>
                <w:szCs w:val="18"/>
                <w:color w:val="auto"/>
              </w:rPr>
              <w:t>Level I:</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0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8"/>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8"/>
        </w:trPr>
        <w:tc>
          <w:tcPr>
            <w:tcW w:w="4020" w:type="dxa"/>
            <w:vAlign w:val="bottom"/>
          </w:tcPr>
          <w:p>
            <w:pPr>
              <w:ind w:left="100"/>
              <w:spacing w:after="0"/>
              <w:rPr>
                <w:sz w:val="20"/>
                <w:szCs w:val="20"/>
                <w:color w:val="auto"/>
              </w:rPr>
            </w:pPr>
            <w:r>
              <w:rPr>
                <w:rFonts w:ascii="Arial" w:cs="Arial" w:eastAsia="Arial" w:hAnsi="Arial"/>
                <w:sz w:val="18"/>
                <w:szCs w:val="18"/>
                <w:color w:val="auto"/>
              </w:rPr>
              <w:t>Level II:</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58"/>
        </w:trPr>
        <w:tc>
          <w:tcPr>
            <w:tcW w:w="4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Cash and Cash</w:t>
            </w:r>
          </w:p>
        </w:tc>
        <w:tc>
          <w:tcPr>
            <w:tcW w:w="160" w:type="dxa"/>
            <w:vAlign w:val="bottom"/>
          </w:tcPr>
          <w:p>
            <w:pPr>
              <w:spacing w:after="0"/>
              <w:rPr>
                <w:sz w:val="14"/>
                <w:szCs w:val="14"/>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160" w:type="dxa"/>
            <w:vAlign w:val="bottom"/>
          </w:tcPr>
          <w:p>
            <w:pPr>
              <w:spacing w:after="0"/>
              <w:rPr>
                <w:sz w:val="16"/>
                <w:szCs w:val="16"/>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26"/>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20,129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20" w:type="dxa"/>
            <w:vAlign w:val="bottom"/>
          </w:tcPr>
          <w:p>
            <w:pPr>
              <w:ind w:left="100"/>
              <w:spacing w:after="0"/>
              <w:rPr>
                <w:sz w:val="20"/>
                <w:szCs w:val="20"/>
                <w:color w:val="auto"/>
              </w:rPr>
            </w:pPr>
            <w:r>
              <w:rPr>
                <w:rFonts w:ascii="Arial" w:cs="Arial" w:eastAsia="Arial" w:hAnsi="Arial"/>
                <w:sz w:val="18"/>
                <w:szCs w:val="18"/>
                <w:color w:val="auto"/>
              </w:rPr>
              <w:t>Level I:</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02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8"/>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8"/>
        </w:trPr>
        <w:tc>
          <w:tcPr>
            <w:tcW w:w="4020" w:type="dxa"/>
            <w:vAlign w:val="bottom"/>
          </w:tcPr>
          <w:p>
            <w:pPr>
              <w:ind w:left="100"/>
              <w:spacing w:after="0"/>
              <w:rPr>
                <w:sz w:val="20"/>
                <w:szCs w:val="20"/>
                <w:color w:val="auto"/>
              </w:rPr>
            </w:pPr>
            <w:r>
              <w:rPr>
                <w:rFonts w:ascii="Arial" w:cs="Arial" w:eastAsia="Arial" w:hAnsi="Arial"/>
                <w:sz w:val="18"/>
                <w:szCs w:val="18"/>
                <w:color w:val="auto"/>
              </w:rPr>
              <w:t>Level II:</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58"/>
        </w:trPr>
        <w:tc>
          <w:tcPr>
            <w:tcW w:w="4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20" w:firstLine="389"/>
        <w:spacing w:after="0" w:line="265" w:lineRule="auto"/>
        <w:rPr>
          <w:sz w:val="20"/>
          <w:szCs w:val="20"/>
          <w:color w:val="auto"/>
        </w:rPr>
      </w:pPr>
      <w:r>
        <w:rPr>
          <w:rFonts w:ascii="Arial" w:cs="Arial" w:eastAsia="Arial" w:hAnsi="Arial"/>
          <w:sz w:val="18"/>
          <w:szCs w:val="18"/>
          <w:color w:val="auto"/>
        </w:rPr>
        <w:t>There were no transfers between Level I and Level II measurements during the three months ended March 31, 2018, and 2017, and there were no changes in the valuation techniques used.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contractual maturity periods of $5.3 million of our marketable debt securities are within one year from March 31, 2018.</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244" w:lineRule="exact"/>
        <w:rPr>
          <w:sz w:val="20"/>
          <w:szCs w:val="20"/>
          <w:color w:val="auto"/>
        </w:rPr>
      </w:pPr>
    </w:p>
    <w:p>
      <w:pPr>
        <w:ind w:right="160" w:firstLine="389"/>
        <w:spacing w:after="0" w:line="295" w:lineRule="auto"/>
        <w:rPr>
          <w:sz w:val="20"/>
          <w:szCs w:val="20"/>
          <w:color w:val="auto"/>
        </w:rPr>
      </w:pPr>
      <w:r>
        <w:rPr>
          <w:rFonts w:ascii="Arial" w:cs="Arial" w:eastAsia="Arial" w:hAnsi="Arial"/>
          <w:sz w:val="17"/>
          <w:szCs w:val="17"/>
          <w:color w:val="auto"/>
        </w:rPr>
        <w:t>The estimated fair value of the 2014 Notes is based on a market approach. The estimated fair value was approximately $43.1 million and $166.2 million (par value $51.3 million and $201.3 million) as of March 31, 2018, and December 31, 2017, respectively, and represents a Level II valuation.</w:t>
      </w:r>
    </w:p>
    <w:p>
      <w:pPr>
        <w:spacing w:after="0" w:line="183" w:lineRule="exact"/>
        <w:rPr>
          <w:sz w:val="20"/>
          <w:szCs w:val="20"/>
          <w:color w:val="auto"/>
        </w:rPr>
      </w:pPr>
    </w:p>
    <w:p>
      <w:pPr>
        <w:ind w:right="280" w:firstLine="319"/>
        <w:spacing w:after="0" w:line="250" w:lineRule="auto"/>
        <w:rPr>
          <w:sz w:val="20"/>
          <w:szCs w:val="20"/>
          <w:color w:val="auto"/>
        </w:rPr>
      </w:pPr>
      <w:r>
        <w:rPr>
          <w:rFonts w:ascii="Arial" w:cs="Arial" w:eastAsia="Arial" w:hAnsi="Arial"/>
          <w:sz w:val="18"/>
          <w:szCs w:val="18"/>
          <w:color w:val="auto"/>
        </w:rPr>
        <w:t>The estimated fair value of the 2018 Notes is based on a market approach. The estimated fair value was approximately $136.6 million (par value $150.0 million) as of March 31, 2018.</w:t>
      </w:r>
    </w:p>
    <w:p>
      <w:pPr>
        <w:spacing w:after="0" w:line="200" w:lineRule="exact"/>
        <w:rPr>
          <w:sz w:val="20"/>
          <w:szCs w:val="20"/>
          <w:color w:val="auto"/>
        </w:rPr>
      </w:pPr>
    </w:p>
    <w:p>
      <w:pPr>
        <w:spacing w:after="0" w:line="245" w:lineRule="exact"/>
        <w:rPr>
          <w:sz w:val="20"/>
          <w:szCs w:val="20"/>
          <w:color w:val="auto"/>
        </w:rPr>
      </w:pPr>
    </w:p>
    <w:p>
      <w:pPr>
        <w:ind w:right="980" w:firstLine="319"/>
        <w:spacing w:after="0" w:line="250" w:lineRule="auto"/>
        <w:rPr>
          <w:sz w:val="20"/>
          <w:szCs w:val="20"/>
          <w:color w:val="auto"/>
        </w:rPr>
      </w:pPr>
      <w:r>
        <w:rPr>
          <w:rFonts w:ascii="Arial" w:cs="Arial" w:eastAsia="Arial" w:hAnsi="Arial"/>
          <w:sz w:val="18"/>
          <w:szCs w:val="18"/>
          <w:color w:val="auto"/>
        </w:rPr>
        <w:t>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250" w:lineRule="exact"/>
        <w:rPr>
          <w:sz w:val="20"/>
          <w:szCs w:val="20"/>
          <w:color w:val="auto"/>
        </w:rPr>
      </w:pPr>
    </w:p>
    <w:p>
      <w:pPr>
        <w:ind w:right="160" w:firstLine="389"/>
        <w:spacing w:after="0" w:line="265" w:lineRule="auto"/>
        <w:rPr>
          <w:sz w:val="20"/>
          <w:szCs w:val="20"/>
          <w:color w:val="auto"/>
        </w:rPr>
      </w:pPr>
      <w:r>
        <w:rPr>
          <w:rFonts w:ascii="Arial" w:cs="Arial" w:eastAsia="Arial" w:hAnsi="Arial"/>
          <w:sz w:val="18"/>
          <w:szCs w:val="18"/>
          <w:color w:val="auto"/>
        </w:rPr>
        <w:t>Intangible assets include developed technology related to the DVS acquisition and other intangible assets included in Other non-current assets. Intangible assets, net were as follows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480" w:type="dxa"/>
            <w:vAlign w:val="bottom"/>
          </w:tcPr>
          <w:p>
            <w:pPr>
              <w:spacing w:after="0"/>
              <w:rPr>
                <w:sz w:val="12"/>
                <w:szCs w:val="12"/>
                <w:color w:val="auto"/>
              </w:rPr>
            </w:pPr>
          </w:p>
        </w:tc>
        <w:tc>
          <w:tcPr>
            <w:tcW w:w="9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4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 Period</w:t>
            </w:r>
          </w:p>
        </w:tc>
        <w:tc>
          <w:tcPr>
            <w:tcW w:w="0" w:type="dxa"/>
            <w:vAlign w:val="bottom"/>
          </w:tcPr>
          <w:p>
            <w:pPr>
              <w:spacing w:after="0"/>
              <w:rPr>
                <w:sz w:val="1"/>
                <w:szCs w:val="1"/>
                <w:color w:val="auto"/>
              </w:rPr>
            </w:pPr>
          </w:p>
        </w:tc>
      </w:tr>
      <w:tr>
        <w:trPr>
          <w:trHeight w:val="244"/>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38"/>
        </w:trPr>
        <w:tc>
          <w:tcPr>
            <w:tcW w:w="5580" w:type="dxa"/>
            <w:vAlign w:val="bottom"/>
          </w:tcPr>
          <w:p>
            <w:pPr>
              <w:ind w:left="20"/>
              <w:spacing w:after="0"/>
              <w:rPr>
                <w:sz w:val="20"/>
                <w:szCs w:val="20"/>
                <w:color w:val="auto"/>
              </w:rPr>
            </w:pPr>
            <w:r>
              <w:rPr>
                <w:rFonts w:ascii="Arial" w:cs="Arial" w:eastAsia="Arial" w:hAnsi="Arial"/>
                <w:sz w:val="18"/>
                <w:szCs w:val="18"/>
                <w:color w:val="auto"/>
              </w:rPr>
              <w:t>Patents and licenses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8"/>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71,051</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540" w:type="dxa"/>
            <w:vAlign w:val="bottom"/>
          </w:tcPr>
          <w:p>
            <w:pPr>
              <w:spacing w:after="0"/>
              <w:rPr>
                <w:sz w:val="12"/>
                <w:szCs w:val="12"/>
                <w:color w:val="auto"/>
              </w:rPr>
            </w:pPr>
          </w:p>
        </w:tc>
        <w:tc>
          <w:tcPr>
            <w:tcW w:w="84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5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Amortization Period</w:t>
            </w:r>
          </w:p>
        </w:tc>
        <w:tc>
          <w:tcPr>
            <w:tcW w:w="0" w:type="dxa"/>
            <w:vAlign w:val="bottom"/>
          </w:tcPr>
          <w:p>
            <w:pPr>
              <w:spacing w:after="0"/>
              <w:rPr>
                <w:sz w:val="1"/>
                <w:szCs w:val="1"/>
                <w:color w:val="auto"/>
              </w:rPr>
            </w:pPr>
          </w:p>
        </w:tc>
      </w:tr>
      <w:tr>
        <w:trPr>
          <w:trHeight w:val="244"/>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38"/>
        </w:trPr>
        <w:tc>
          <w:tcPr>
            <w:tcW w:w="5580" w:type="dxa"/>
            <w:vAlign w:val="bottom"/>
          </w:tcPr>
          <w:p>
            <w:pPr>
              <w:ind w:left="20"/>
              <w:spacing w:after="0"/>
              <w:rPr>
                <w:sz w:val="20"/>
                <w:szCs w:val="20"/>
                <w:color w:val="auto"/>
              </w:rPr>
            </w:pPr>
            <w:r>
              <w:rPr>
                <w:rFonts w:ascii="Arial" w:cs="Arial" w:eastAsia="Arial" w:hAnsi="Arial"/>
                <w:sz w:val="18"/>
                <w:szCs w:val="18"/>
                <w:color w:val="auto"/>
              </w:rPr>
              <w:t>Patents and licenses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5,553</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8"/>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(49,121)</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20" w:firstLine="425"/>
        <w:spacing w:after="0" w:line="255" w:lineRule="auto"/>
        <w:rPr>
          <w:sz w:val="20"/>
          <w:szCs w:val="20"/>
          <w:color w:val="auto"/>
        </w:rPr>
      </w:pPr>
      <w:r>
        <w:rPr>
          <w:rFonts w:ascii="Arial" w:cs="Arial" w:eastAsia="Arial" w:hAnsi="Arial"/>
          <w:sz w:val="18"/>
          <w:szCs w:val="18"/>
          <w:color w:val="auto"/>
        </w:rPr>
        <w:t>In connection with the acquisition of DVS in February 2014, we acquired developed technology with a gross fair value of $112.0 million. These acquired intangible assets are being amortized to cost of product revenue over their useful life of ten years. Related amortization for the three months ended March 31, 2018, and 2017 was $2.8 million for both periods.</w:t>
      </w:r>
    </w:p>
    <w:p>
      <w:pPr>
        <w:spacing w:after="0" w:line="216" w:lineRule="exact"/>
        <w:rPr>
          <w:sz w:val="20"/>
          <w:szCs w:val="20"/>
          <w:color w:val="auto"/>
        </w:rPr>
      </w:pPr>
    </w:p>
    <w:p>
      <w:pPr>
        <w:ind w:right="540" w:firstLine="389"/>
        <w:spacing w:after="0" w:line="265" w:lineRule="auto"/>
        <w:rPr>
          <w:sz w:val="20"/>
          <w:szCs w:val="20"/>
          <w:color w:val="auto"/>
        </w:rPr>
      </w:pPr>
      <w:r>
        <w:rPr>
          <w:rFonts w:ascii="Arial" w:cs="Arial" w:eastAsia="Arial" w:hAnsi="Arial"/>
          <w:sz w:val="18"/>
          <w:szCs w:val="18"/>
          <w:color w:val="auto"/>
        </w:rPr>
        <w:t>Based on the carrying value of intangible assets, net as of March 31, 2018, the annual amortization expense for intangible assets is expected to be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(remainder of the year)</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Balance Sheet Details</w:t>
            </w: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8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Arial" w:cs="Arial" w:eastAsia="Arial" w:hAnsi="Arial"/>
                <w:sz w:val="18"/>
                <w:szCs w:val="18"/>
                <w:color w:val="auto"/>
              </w:rPr>
              <w:t>Inventories consisted of the following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Borders>
              <w:bottom w:val="single" w:sz="8" w:color="CCEEFF"/>
            </w:tcBorders>
            <w:shd w:val="clear" w:color="auto" w:fill="CCEEFF"/>
          </w:tcPr>
          <w:p>
            <w:pPr>
              <w:spacing w:after="0"/>
              <w:rPr>
                <w:sz w:val="23"/>
                <w:szCs w:val="23"/>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inventories, net</w:t>
            </w: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127"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1" w:lineRule="exact"/>
        <w:rPr>
          <w:sz w:val="20"/>
          <w:szCs w:val="20"/>
          <w:color w:val="auto"/>
        </w:rPr>
      </w:pPr>
    </w:p>
    <w:p>
      <w:pPr>
        <w:ind w:right="160" w:firstLine="389"/>
        <w:spacing w:after="0" w:line="252" w:lineRule="auto"/>
        <w:rPr>
          <w:sz w:val="20"/>
          <w:szCs w:val="20"/>
          <w:color w:val="auto"/>
        </w:rPr>
      </w:pPr>
      <w:r>
        <w:rPr>
          <w:rFonts w:ascii="Arial" w:cs="Arial" w:eastAsia="Arial" w:hAnsi="Arial"/>
          <w:sz w:val="18"/>
          <w:szCs w:val="18"/>
          <w:color w:val="auto"/>
        </w:rPr>
        <w:t>We accrue for estimated warranty obligations once revenue is recognized. Management periodically reviews the estimated fair value of its warranty liability and records adjustments based on the terms of warranties provided to customers, as well as historical and anticipated warranty claim experience. Activity for our warranty accrual for the three months ended March 31, 2018, and 2017, which is included in other accrued liabilities, is summarized below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r>
      <w:tr>
        <w:trPr>
          <w:trHeight w:val="244"/>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1,023</w:t>
            </w:r>
          </w:p>
        </w:tc>
      </w:tr>
      <w:tr>
        <w:trPr>
          <w:trHeight w:val="238"/>
        </w:trPr>
        <w:tc>
          <w:tcPr>
            <w:tcW w:w="8440" w:type="dxa"/>
            <w:vAlign w:val="bottom"/>
          </w:tcPr>
          <w:p>
            <w:pPr>
              <w:spacing w:after="0"/>
              <w:rPr>
                <w:sz w:val="20"/>
                <w:szCs w:val="20"/>
                <w:color w:val="auto"/>
              </w:rPr>
            </w:pPr>
            <w:r>
              <w:rPr>
                <w:rFonts w:ascii="Arial" w:cs="Arial" w:eastAsia="Arial" w:hAnsi="Arial"/>
                <w:sz w:val="18"/>
                <w:szCs w:val="18"/>
                <w:color w:val="auto"/>
              </w:rPr>
              <w:t>Accrual for current period warranties</w:t>
            </w:r>
          </w:p>
        </w:tc>
        <w:tc>
          <w:tcPr>
            <w:tcW w:w="92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337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8"/>
        </w:trPr>
        <w:tc>
          <w:tcPr>
            <w:tcW w:w="8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65"/>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9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58"/>
        </w:trPr>
        <w:tc>
          <w:tcPr>
            <w:tcW w:w="8440" w:type="dxa"/>
            <w:vAlign w:val="bottom"/>
          </w:tcPr>
          <w:p>
            <w:pPr>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591</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8740" w:firstLine="6"/>
        <w:spacing w:after="0" w:line="557" w:lineRule="auto"/>
        <w:tabs>
          <w:tab w:leader="none" w:pos="177"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ind w:right="240" w:firstLine="319"/>
        <w:spacing w:after="0" w:line="251" w:lineRule="auto"/>
        <w:rPr>
          <w:sz w:val="20"/>
          <w:szCs w:val="20"/>
          <w:color w:val="auto"/>
        </w:rPr>
      </w:pPr>
      <w:r>
        <w:rPr>
          <w:rFonts w:ascii="Arial" w:cs="Arial" w:eastAsia="Arial" w:hAnsi="Arial"/>
          <w:sz w:val="18"/>
          <w:szCs w:val="18"/>
          <w:color w:val="auto"/>
        </w:rPr>
        <w:t>We have entered into various long-term non-cancelable operating lease agreements for equipment and facilities expiring at various times through March 2026. We lease office space under non-cancelable leases in the United States, Canada, Singapore, Japan, China, France and United Kingdom. Certain facility leases also contain rent escalation clauses. Our lease payments are expensed on a straight-line basis over the life of the leases. Rental expense under operating leases, net of amortization of lease incentives and sublease income for the three months ended March 31, 2018, and 2017 was $1.2 million and $1.6 million, respectively.</w:t>
      </w:r>
    </w:p>
    <w:p>
      <w:pPr>
        <w:spacing w:after="0" w:line="232" w:lineRule="exact"/>
        <w:rPr>
          <w:sz w:val="20"/>
          <w:szCs w:val="20"/>
          <w:color w:val="auto"/>
        </w:rPr>
      </w:pPr>
    </w:p>
    <w:p>
      <w:pPr>
        <w:ind w:right="820" w:firstLine="425"/>
        <w:spacing w:after="0" w:line="265"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March 31, 2018, are as follows (in thousands):</w:t>
      </w:r>
    </w:p>
    <w:tbl>
      <w:tblPr>
        <w:tblLayout w:type="fixed"/>
        <w:tblInd w:w="20" w:type="dxa"/>
        <w:tblCellMar>
          <w:top w:w="0" w:type="dxa"/>
          <w:left w:w="0" w:type="dxa"/>
          <w:bottom w:w="0" w:type="dxa"/>
          <w:right w:w="0" w:type="dxa"/>
        </w:tblCellMar>
      </w:tblPr>
      <w:tr>
        <w:trPr>
          <w:trHeight w:val="157"/>
        </w:trPr>
        <w:tc>
          <w:tcPr>
            <w:tcW w:w="6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3"/>
              </w:rPr>
              <w:t>Minimum Lease</w:t>
            </w:r>
          </w:p>
        </w:tc>
        <w:tc>
          <w:tcPr>
            <w:tcW w:w="120" w:type="dxa"/>
            <w:vAlign w:val="bottom"/>
          </w:tcPr>
          <w:p>
            <w:pPr>
              <w:spacing w:after="0"/>
              <w:rPr>
                <w:sz w:val="13"/>
                <w:szCs w:val="13"/>
                <w:color w:val="auto"/>
              </w:rPr>
            </w:pPr>
          </w:p>
        </w:tc>
        <w:tc>
          <w:tcPr>
            <w:tcW w:w="1380" w:type="dxa"/>
            <w:vAlign w:val="bottom"/>
          </w:tcPr>
          <w:p>
            <w:pPr>
              <w:jc w:val="right"/>
              <w:ind w:right="115"/>
              <w:spacing w:after="0" w:line="157" w:lineRule="exact"/>
              <w:rPr>
                <w:sz w:val="20"/>
                <w:szCs w:val="20"/>
                <w:color w:val="auto"/>
              </w:rPr>
            </w:pPr>
            <w:r>
              <w:rPr>
                <w:rFonts w:ascii="Arial" w:cs="Arial" w:eastAsia="Arial" w:hAnsi="Arial"/>
                <w:sz w:val="14"/>
                <w:szCs w:val="14"/>
                <w:b w:val="1"/>
                <w:bCs w:val="1"/>
                <w:color w:val="auto"/>
                <w:w w:val="91"/>
              </w:rPr>
              <w:t>Minimum Sublease</w:t>
            </w:r>
          </w:p>
        </w:tc>
        <w:tc>
          <w:tcPr>
            <w:tcW w:w="15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7"/>
              </w:rPr>
              <w:t>Net Operating Leases</w:t>
            </w:r>
          </w:p>
        </w:tc>
        <w:tc>
          <w:tcPr>
            <w:tcW w:w="0" w:type="dxa"/>
            <w:vAlign w:val="bottom"/>
          </w:tcPr>
          <w:p>
            <w:pPr>
              <w:spacing w:after="0"/>
              <w:rPr>
                <w:sz w:val="1"/>
                <w:szCs w:val="1"/>
                <w:color w:val="auto"/>
              </w:rPr>
            </w:pPr>
          </w:p>
        </w:tc>
      </w:tr>
      <w:tr>
        <w:trPr>
          <w:trHeight w:val="190"/>
        </w:trPr>
        <w:tc>
          <w:tcPr>
            <w:tcW w:w="6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Payments</w:t>
            </w:r>
          </w:p>
        </w:tc>
        <w:tc>
          <w:tcPr>
            <w:tcW w:w="120" w:type="dxa"/>
            <w:vAlign w:val="bottom"/>
          </w:tcPr>
          <w:p>
            <w:pPr>
              <w:spacing w:after="0"/>
              <w:rPr>
                <w:sz w:val="16"/>
                <w:szCs w:val="16"/>
                <w:color w:val="auto"/>
              </w:rPr>
            </w:pPr>
          </w:p>
        </w:tc>
        <w:tc>
          <w:tcPr>
            <w:tcW w:w="1380" w:type="dxa"/>
            <w:vAlign w:val="bottom"/>
          </w:tcPr>
          <w:p>
            <w:pPr>
              <w:jc w:val="right"/>
              <w:ind w:right="495"/>
              <w:spacing w:after="0"/>
              <w:rPr>
                <w:sz w:val="20"/>
                <w:szCs w:val="20"/>
                <w:color w:val="auto"/>
              </w:rPr>
            </w:pPr>
            <w:r>
              <w:rPr>
                <w:rFonts w:ascii="Arial" w:cs="Arial" w:eastAsia="Arial" w:hAnsi="Arial"/>
                <w:sz w:val="14"/>
                <w:szCs w:val="14"/>
                <w:b w:val="1"/>
                <w:bCs w:val="1"/>
                <w:color w:val="auto"/>
              </w:rPr>
              <w:t>Income</w:t>
            </w: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8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(remainder of the year)</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560" w:type="dxa"/>
            <w:vAlign w:val="bottom"/>
            <w:tcBorders>
              <w:top w:val="single" w:sz="8" w:color="auto"/>
              <w:bottom w:val="single" w:sz="8" w:color="CCEEFF"/>
            </w:tcBorders>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38"/>
        </w:trPr>
        <w:tc>
          <w:tcPr>
            <w:tcW w:w="6800" w:type="dxa"/>
            <w:vAlign w:val="bottom"/>
          </w:tcPr>
          <w:p>
            <w:pPr>
              <w:ind w:left="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(1,233)</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8"/>
        </w:trPr>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38"/>
        </w:trPr>
        <w:tc>
          <w:tcPr>
            <w:tcW w:w="680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8"/>
        </w:trPr>
        <w:tc>
          <w:tcPr>
            <w:tcW w:w="6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38"/>
        </w:trPr>
        <w:tc>
          <w:tcPr>
            <w:tcW w:w="68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8"/>
        </w:trPr>
        <w:tc>
          <w:tcPr>
            <w:tcW w:w="6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56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50" w:lineRule="exact"/>
        <w:rPr>
          <w:sz w:val="20"/>
          <w:szCs w:val="20"/>
          <w:color w:val="auto"/>
        </w:rPr>
      </w:pPr>
    </w:p>
    <w:p>
      <w:pPr>
        <w:ind w:right="20" w:firstLine="389"/>
        <w:spacing w:after="0" w:line="265"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200" w:lineRule="exact"/>
        <w:rPr>
          <w:sz w:val="20"/>
          <w:szCs w:val="20"/>
          <w:color w:val="auto"/>
        </w:rPr>
      </w:pPr>
    </w:p>
    <w:p>
      <w:pPr>
        <w:spacing w:after="0" w:line="264" w:lineRule="exact"/>
        <w:rPr>
          <w:sz w:val="20"/>
          <w:szCs w:val="20"/>
          <w:color w:val="auto"/>
        </w:rPr>
      </w:pPr>
    </w:p>
    <w:p>
      <w:pPr>
        <w:ind w:right="300" w:firstLine="319"/>
        <w:spacing w:after="0" w:line="265" w:lineRule="auto"/>
        <w:rPr>
          <w:sz w:val="20"/>
          <w:szCs w:val="20"/>
          <w:color w:val="auto"/>
        </w:rPr>
      </w:pPr>
      <w:r>
        <w:rPr>
          <w:rFonts w:ascii="Arial" w:cs="Arial" w:eastAsia="Arial" w:hAnsi="Arial"/>
          <w:sz w:val="18"/>
          <w:szCs w:val="18"/>
          <w:color w:val="auto"/>
        </w:rPr>
        <w:t>We incurred indemnification expenses between October 2015 and the third quarter of 2017 to defend claims by Thermo Fisher Scientific, Inc., (Thermo) against one of our employees. In December, 2015, Thermo filed a complaint in the Circuit Court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 related insurance recovery payment of $1.0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0" w:lineRule="exact"/>
        <w:rPr>
          <w:sz w:val="20"/>
          <w:szCs w:val="20"/>
          <w:color w:val="auto"/>
        </w:rPr>
      </w:pPr>
    </w:p>
    <w:p>
      <w:pPr>
        <w:ind w:firstLine="389"/>
        <w:spacing w:after="0" w:line="309" w:lineRule="auto"/>
        <w:rPr>
          <w:sz w:val="20"/>
          <w:szCs w:val="20"/>
          <w:color w:val="auto"/>
        </w:rPr>
      </w:pPr>
      <w:r>
        <w:rPr>
          <w:rFonts w:ascii="Arial" w:cs="Arial" w:eastAsia="Arial" w:hAnsi="Arial"/>
          <w:sz w:val="15"/>
          <w:szCs w:val="15"/>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we may revise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50" w:lineRule="exact"/>
        <w:rPr>
          <w:sz w:val="20"/>
          <w:szCs w:val="20"/>
          <w:color w:val="auto"/>
        </w:rPr>
      </w:pPr>
    </w:p>
    <w:p>
      <w:pPr>
        <w:ind w:firstLine="425"/>
        <w:spacing w:after="0" w:line="252" w:lineRule="auto"/>
        <w:rPr>
          <w:sz w:val="20"/>
          <w:szCs w:val="20"/>
          <w:color w:val="auto"/>
        </w:rPr>
      </w:pPr>
      <w:r>
        <w:rPr>
          <w:rFonts w:ascii="Arial" w:cs="Arial" w:eastAsia="Arial" w:hAnsi="Arial"/>
          <w:sz w:val="18"/>
          <w:szCs w:val="18"/>
          <w:color w:val="auto"/>
        </w:rPr>
        <w:t>We recognized stock-based compensation expense of $1.7 million and $2.4 million during the three months ended March 31, 2018, and 2017 respectively. As of March 31, 2018, we had $4.2 million, $7.3 million, and $1.7 million of unrecognized stock-based compensation expense related to stock options, restricted stock units, and performance stock units, respectively, which are expected to be recognized over a weighted average period of 3.0 years, 2.5 years, and 3.0 years, respectively.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Incentive Plans (Excluding Stock Option Exchange Program)</w:t>
      </w:r>
    </w:p>
    <w:p>
      <w:pPr>
        <w:spacing w:after="0" w:line="244" w:lineRule="exact"/>
        <w:rPr>
          <w:sz w:val="20"/>
          <w:szCs w:val="20"/>
          <w:color w:val="auto"/>
        </w:rPr>
      </w:pPr>
    </w:p>
    <w:p>
      <w:pPr>
        <w:ind w:right="140" w:firstLine="425"/>
        <w:spacing w:after="0" w:line="366" w:lineRule="auto"/>
        <w:rPr>
          <w:sz w:val="20"/>
          <w:szCs w:val="20"/>
          <w:color w:val="auto"/>
        </w:rPr>
      </w:pPr>
      <w:r>
        <w:rPr>
          <w:rFonts w:ascii="Arial" w:cs="Arial" w:eastAsia="Arial" w:hAnsi="Arial"/>
          <w:sz w:val="15"/>
          <w:szCs w:val="15"/>
          <w:color w:val="auto"/>
        </w:rPr>
        <w:t>During the three months ended March 31, 2018, we granted certain employees options to purchase 292,000 shares of common stock. The options granted during the three months ended March 31, 2018 had a weighted average exercise price of $6.33 per share and a total grant date fair value of $1.1 million.</w:t>
      </w:r>
    </w:p>
    <w:p>
      <w:pPr>
        <w:spacing w:after="0" w:line="138" w:lineRule="exact"/>
        <w:rPr>
          <w:sz w:val="20"/>
          <w:szCs w:val="20"/>
          <w:color w:val="auto"/>
        </w:rPr>
      </w:pPr>
    </w:p>
    <w:p>
      <w:pPr>
        <w:jc w:val="both"/>
        <w:ind w:right="460" w:firstLine="425"/>
        <w:spacing w:after="0" w:line="366" w:lineRule="auto"/>
        <w:rPr>
          <w:sz w:val="20"/>
          <w:szCs w:val="20"/>
          <w:color w:val="auto"/>
        </w:rPr>
      </w:pPr>
      <w:r>
        <w:rPr>
          <w:rFonts w:ascii="Arial" w:cs="Arial" w:eastAsia="Arial" w:hAnsi="Arial"/>
          <w:sz w:val="15"/>
          <w:szCs w:val="15"/>
          <w:color w:val="auto"/>
        </w:rPr>
        <w:t>During the three months ended March 31, 2018, we granted certain employees 84,288 restricted stock units. The restricted stock unit awards granted during the three months ended March 31, 2018 had fair market values ranging from $6.30 to $7.81 per unit and a total grant date fair value of $0.6 million.</w:t>
      </w:r>
    </w:p>
    <w:p>
      <w:pPr>
        <w:spacing w:after="0" w:line="138" w:lineRule="exact"/>
        <w:rPr>
          <w:sz w:val="20"/>
          <w:szCs w:val="20"/>
          <w:color w:val="auto"/>
        </w:rPr>
      </w:pPr>
    </w:p>
    <w:p>
      <w:pPr>
        <w:ind w:right="340" w:firstLine="425"/>
        <w:spacing w:after="0" w:line="366" w:lineRule="auto"/>
        <w:rPr>
          <w:sz w:val="20"/>
          <w:szCs w:val="20"/>
          <w:color w:val="auto"/>
        </w:rPr>
      </w:pPr>
      <w:r>
        <w:rPr>
          <w:rFonts w:ascii="Arial" w:cs="Arial" w:eastAsia="Arial" w:hAnsi="Arial"/>
          <w:sz w:val="15"/>
          <w:szCs w:val="15"/>
          <w:color w:val="auto"/>
        </w:rPr>
        <w:t>During the three months ended March 31, 2018, we granted certain executive officers 167,000 performance stock units. The performance stock unit awards granted during the three months ended March 31, 2018 had a grant date fair value of $10.09 per unit and a total grant date fair value of $1.7 million.</w:t>
      </w:r>
    </w:p>
    <w:p>
      <w:pPr>
        <w:spacing w:after="0" w:line="138" w:lineRule="exact"/>
        <w:rPr>
          <w:sz w:val="20"/>
          <w:szCs w:val="20"/>
          <w:color w:val="auto"/>
        </w:rPr>
      </w:pPr>
    </w:p>
    <w:p>
      <w:pPr>
        <w:ind w:right="120" w:firstLine="319"/>
        <w:spacing w:after="0" w:line="250" w:lineRule="auto"/>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 The expenses relating to these performance stock units will be recognized over their three-year vesting periods.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2018 Performance Stock Units</w:t>
      </w:r>
    </w:p>
    <w:p>
      <w:pPr>
        <w:spacing w:after="0" w:line="231" w:lineRule="exact"/>
        <w:rPr>
          <w:sz w:val="20"/>
          <w:szCs w:val="20"/>
          <w:color w:val="auto"/>
        </w:rPr>
      </w:pPr>
    </w:p>
    <w:p>
      <w:pPr>
        <w:ind w:right="60" w:firstLine="319"/>
        <w:spacing w:after="0" w:line="300" w:lineRule="auto"/>
        <w:rPr>
          <w:sz w:val="20"/>
          <w:szCs w:val="20"/>
          <w:color w:val="auto"/>
        </w:rPr>
      </w:pPr>
      <w:r>
        <w:rPr>
          <w:rFonts w:ascii="Arial" w:cs="Arial" w:eastAsia="Arial" w:hAnsi="Arial"/>
          <w:sz w:val="15"/>
          <w:szCs w:val="15"/>
          <w:color w:val="auto"/>
        </w:rPr>
        <w:t>During the three months ended March 31, 2018, we granted 167,000 performance stock units to certain executive officers and senior level employees. The number of performance stock units ultimately earned is calculated based on the Total Shareholder Return ("TSR") of our common stock as compared to the TSR of a defined group of peer companies during the performance period from January 1, 2018, to December 31, 2020. The percentage of performance stock units that vest will depend on our relative position at the end of the performance period and can range from 0% to 200% of the number of units granted.</w:t>
      </w:r>
    </w:p>
    <w:p>
      <w:pPr>
        <w:spacing w:after="0" w:line="173" w:lineRule="exact"/>
        <w:rPr>
          <w:sz w:val="20"/>
          <w:szCs w:val="20"/>
          <w:color w:val="auto"/>
        </w:rPr>
      </w:pPr>
    </w:p>
    <w:p>
      <w:pPr>
        <w:ind w:right="140" w:firstLine="319"/>
        <w:spacing w:after="0"/>
        <w:rPr>
          <w:sz w:val="20"/>
          <w:szCs w:val="20"/>
          <w:color w:val="auto"/>
        </w:rPr>
      </w:pPr>
      <w:r>
        <w:rPr>
          <w:rFonts w:ascii="Arial" w:cs="Arial" w:eastAsia="Arial" w:hAnsi="Arial"/>
          <w:sz w:val="18"/>
          <w:szCs w:val="18"/>
          <w:color w:val="auto"/>
        </w:rPr>
        <w:t>Under FASB ASC Topic 718, the provisions of the performance stock unit awards related to TSR are considered a market condition, and the effects of that market condition should be reflected in the grant date fair value of the awards. We used a Monte Carlo simulation pricing model to incorporate the market condition effects at our grant date with a fair value of $10.09 per unit.</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 Exchange Program</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right="20" w:firstLine="319"/>
        <w:spacing w:after="0" w:line="235" w:lineRule="auto"/>
        <w:rPr>
          <w:sz w:val="20"/>
          <w:szCs w:val="20"/>
          <w:color w:val="auto"/>
        </w:rPr>
      </w:pPr>
      <w:r>
        <w:rPr>
          <w:rFonts w:ascii="Arial" w:cs="Arial" w:eastAsia="Arial" w:hAnsi="Arial"/>
          <w:sz w:val="18"/>
          <w:szCs w:val="18"/>
          <w:color w:val="auto"/>
        </w:rPr>
        <w:t>On August 23, 2017, we launched a one-time stock option exchange program (Program) pursuant to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(Offer), for restricted stock units or stock options ("New Awards") covering a lesser number of shares than were subject to the Eligible Options exchanged immediately before being cancelled in the Offer. Non-employee members of our Board of Directors were not eligible to participate in the Program. The Program expired on September 20, 2017, with a closing price of $5.13 per share.</w:t>
      </w:r>
    </w:p>
    <w:p>
      <w:pPr>
        <w:spacing w:after="0" w:line="218" w:lineRule="exact"/>
        <w:rPr>
          <w:sz w:val="20"/>
          <w:szCs w:val="20"/>
          <w:color w:val="auto"/>
        </w:rPr>
      </w:pPr>
    </w:p>
    <w:p>
      <w:pPr>
        <w:ind w:right="220" w:firstLine="319"/>
        <w:spacing w:after="0" w:line="253" w:lineRule="auto"/>
        <w:rPr>
          <w:sz w:val="20"/>
          <w:szCs w:val="20"/>
          <w:color w:val="auto"/>
        </w:rPr>
      </w:pPr>
      <w:r>
        <w:rPr>
          <w:rFonts w:ascii="Arial" w:cs="Arial" w:eastAsia="Arial" w:hAnsi="Arial"/>
          <w:sz w:val="17"/>
          <w:szCs w:val="17"/>
          <w:color w:val="auto"/>
        </w:rPr>
        <w:t>115 employees elected to surrender Eligible Options to purchase a total of 1,204,198 shares of our common stock, representing approximately 50.02% of the total shares of common stock underlying the Eligible Options.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204" w:lineRule="exact"/>
        <w:rPr>
          <w:sz w:val="20"/>
          <w:szCs w:val="20"/>
          <w:color w:val="auto"/>
        </w:rPr>
      </w:pPr>
    </w:p>
    <w:p>
      <w:pPr>
        <w:jc w:val="both"/>
        <w:ind w:right="60" w:firstLine="319"/>
        <w:spacing w:after="0"/>
        <w:rPr>
          <w:sz w:val="20"/>
          <w:szCs w:val="20"/>
          <w:color w:val="auto"/>
        </w:rPr>
      </w:pPr>
      <w:r>
        <w:rPr>
          <w:rFonts w:ascii="Arial" w:cs="Arial" w:eastAsia="Arial" w:hAnsi="Arial"/>
          <w:sz w:val="18"/>
          <w:szCs w:val="18"/>
          <w:color w:val="auto"/>
        </w:rPr>
        <w:t>The Program did not result in a material incremental stock-based compensation expense because the fair value of the new awards was approximately equal to the fair value of the surrendered options immediately prior to the exchange date. The original fair value of the surrendered options plus the incremental stock-based compensation expense will be recognized over the vesting periods of the New Awards.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2017 Employee Stock Purchase Plan</w:t>
      </w:r>
    </w:p>
    <w:p>
      <w:pPr>
        <w:spacing w:after="0" w:line="244" w:lineRule="exact"/>
        <w:rPr>
          <w:sz w:val="20"/>
          <w:szCs w:val="20"/>
          <w:color w:val="auto"/>
        </w:rPr>
      </w:pPr>
    </w:p>
    <w:p>
      <w:pPr>
        <w:ind w:firstLine="389"/>
        <w:spacing w:after="0" w:line="309" w:lineRule="auto"/>
        <w:rPr>
          <w:sz w:val="20"/>
          <w:szCs w:val="20"/>
          <w:color w:val="auto"/>
        </w:rPr>
      </w:pPr>
      <w:r>
        <w:rPr>
          <w:rFonts w:ascii="Arial" w:cs="Arial" w:eastAsia="Arial" w:hAnsi="Arial"/>
          <w:sz w:val="15"/>
          <w:szCs w:val="15"/>
          <w:color w:val="auto"/>
        </w:rPr>
        <w:t>In August 2017, our stockholders approved our 2017 Employee Stock Purchase Plan (ESPP). 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for any calendar year. The purchase price at which shares are sold under the ESPP is 85% of the lower of the fair market value of a share of our common stock on the first day of the offering period or the last day of the offering period. Our first ESPP offering period began on October 1, 2017, with a shorter offering period ending on November 30, 2017. Our current offering period began on November 30, 2017, and will end on May 31, 2018.</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2016 Performance-based Stock Options and Restricted Stock Units</w:t>
      </w:r>
    </w:p>
    <w:p>
      <w:pPr>
        <w:spacing w:after="0" w:line="231" w:lineRule="exact"/>
        <w:rPr>
          <w:sz w:val="20"/>
          <w:szCs w:val="20"/>
          <w:color w:val="auto"/>
        </w:rPr>
      </w:pPr>
    </w:p>
    <w:p>
      <w:pPr>
        <w:ind w:right="140" w:firstLine="389"/>
        <w:spacing w:after="0" w:line="309" w:lineRule="auto"/>
        <w:rPr>
          <w:sz w:val="20"/>
          <w:szCs w:val="20"/>
          <w:color w:val="auto"/>
        </w:rPr>
      </w:pPr>
      <w:r>
        <w:rPr>
          <w:rFonts w:ascii="Arial" w:cs="Arial" w:eastAsia="Arial" w:hAnsi="Arial"/>
          <w:sz w:val="15"/>
          <w:szCs w:val="15"/>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We recognize stock-based compensation expense over the vesting period of the performance awards when achievement of the performance criteria becomes probable. During the three months ended March 31, 2018, it was determined that the requisite performance criteria had not been achieved. We did not recognize any expense related to these performance awards in 2018, 2017, or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0" w:lineRule="exact"/>
        <w:rPr>
          <w:sz w:val="20"/>
          <w:szCs w:val="20"/>
          <w:color w:val="auto"/>
        </w:rPr>
      </w:pPr>
    </w:p>
    <w:p>
      <w:pPr>
        <w:ind w:firstLine="425"/>
        <w:spacing w:after="0" w:line="255" w:lineRule="auto"/>
        <w:rPr>
          <w:sz w:val="20"/>
          <w:szCs w:val="20"/>
          <w:color w:val="auto"/>
        </w:rPr>
      </w:pPr>
      <w:r>
        <w:rPr>
          <w:rFonts w:ascii="Arial" w:cs="Arial" w:eastAsia="Arial" w:hAnsi="Arial"/>
          <w:sz w:val="18"/>
          <w:szCs w:val="18"/>
          <w:color w:val="auto"/>
        </w:rPr>
        <w:t>The benefit for income taxes for the periods presented differs from the 21% and the 35% U.S. Federal statutory rate, for the three months ended March 31, 2018, and 2017, respectively, primarily due to maintaining a valuation allowance for deferred tax assets, which primarily consist of net operating loss carryforwards.</w:t>
      </w:r>
    </w:p>
    <w:p>
      <w:pPr>
        <w:spacing w:after="0" w:line="230" w:lineRule="exact"/>
        <w:rPr>
          <w:sz w:val="20"/>
          <w:szCs w:val="20"/>
          <w:color w:val="auto"/>
        </w:rPr>
      </w:pPr>
    </w:p>
    <w:p>
      <w:pPr>
        <w:jc w:val="both"/>
        <w:ind w:right="520" w:firstLine="425"/>
        <w:spacing w:after="0" w:line="255" w:lineRule="auto"/>
        <w:rPr>
          <w:sz w:val="20"/>
          <w:szCs w:val="20"/>
          <w:color w:val="auto"/>
        </w:rPr>
      </w:pPr>
      <w:r>
        <w:rPr>
          <w:rFonts w:ascii="Arial" w:cs="Arial" w:eastAsia="Arial" w:hAnsi="Arial"/>
          <w:sz w:val="18"/>
          <w:szCs w:val="18"/>
          <w:color w:val="auto"/>
        </w:rPr>
        <w:t>We recorded a tax benefit of $1.2 million and $1.8 million for the three months ended March 31, 2018 and 2017, respectively, which was primarily attributable to the amortization of our acquisition-related deferred tax liability and losses from Canadian operations, partially offset by a tax provision and discrete tax items from our other foreign operations.</w:t>
      </w:r>
    </w:p>
    <w:p>
      <w:pPr>
        <w:spacing w:after="0" w:line="216" w:lineRule="exact"/>
        <w:rPr>
          <w:sz w:val="20"/>
          <w:szCs w:val="20"/>
          <w:color w:val="auto"/>
        </w:rPr>
      </w:pPr>
    </w:p>
    <w:p>
      <w:pPr>
        <w:ind w:right="120" w:firstLine="425"/>
        <w:spacing w:after="0" w:line="331" w:lineRule="auto"/>
        <w:rPr>
          <w:sz w:val="20"/>
          <w:szCs w:val="20"/>
          <w:color w:val="auto"/>
        </w:rPr>
      </w:pPr>
      <w:r>
        <w:rPr>
          <w:rFonts w:ascii="Arial" w:cs="Arial" w:eastAsia="Arial" w:hAnsi="Arial"/>
          <w:sz w:val="15"/>
          <w:szCs w:val="15"/>
          <w:color w:val="auto"/>
        </w:rPr>
        <w:t>Recording deferred tax assets is appropriate when realization of these assets is more likely than not. Assessing the realizability of deferred tax assets is dependent upon several factors including historical financial results. The deferred tax assets have been substantially offset by a valuation allowance because we have incurred net losses since our inception. We continue to evaluate the realizability of the deferred tax assets and related valuation allowance.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December 2017, the Tax Cuts and Jobs Act (the "Tax Act") was enacted. The Tax Act introduced a broad range of tax</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7"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reform measures that significantly change the federal income tax laws. The provisions of the Tax Act that may have significant impact on us include the permanent reduction of the corporate income tax rate from 35% to 21% (effective for tax years including or commencing on January 1, 2018), one-time transition tax on post-1986 foreign unremitted earnings, provision for Global Intangible Low-Taxed Income ("GILTI"), deduction for Foreign-Derived Intangible Income ("FDII"), repeal of corporate alternative minimum tax, limitation of various business deductions, modification of the maximum deduction of net operating loss with no carryback but indefinite carryforward provision and the limitation on the deductibility of executive compensation.</w:t>
      </w:r>
    </w:p>
    <w:p>
      <w:pPr>
        <w:spacing w:after="0" w:line="205" w:lineRule="exact"/>
        <w:rPr>
          <w:sz w:val="20"/>
          <w:szCs w:val="20"/>
          <w:color w:val="auto"/>
        </w:rPr>
      </w:pPr>
    </w:p>
    <w:p>
      <w:pPr>
        <w:ind w:right="20" w:firstLine="319"/>
        <w:spacing w:after="0" w:line="248" w:lineRule="auto"/>
        <w:rPr>
          <w:sz w:val="20"/>
          <w:szCs w:val="20"/>
          <w:color w:val="auto"/>
        </w:rPr>
      </w:pPr>
      <w:r>
        <w:rPr>
          <w:rFonts w:ascii="Arial" w:cs="Arial" w:eastAsia="Arial" w:hAnsi="Arial"/>
          <w:sz w:val="17"/>
          <w:szCs w:val="17"/>
          <w:color w:val="auto"/>
        </w:rPr>
        <w:t>At March 31, 2018, we continued to analyze the applicable provisions (as described above) of the Tax Act to determine if there would be any material impact to the Company. Based upon the 2018 forecast domestic loss, the exclusion of U.S. ordinary loss from the overall computation of the estimated annual effective tax rate, and the full valuation allowance against U.S. federal and state deferred tax assets, there is no significant impact from the Tax Act provisions as of March 31, 2018. We continue to analyze additional information and new guidance issued by relevant authorities related to the Tax Act which could impact the determination of the net deferred taxes subject to the re-measurement and the related impact to the assessment of valuation allowance. The prospects of supplemental legislation or regulatory processes to address questions that arise because of the Tax Act, or evolving technical interpretations of the tax law, as well as changes to the forecast or other additional analysis may cause the final impact from the Tax Act to differ materially from the provisional amounts recorded. We will continue to appropriately refine such amounts within the measurement period allowed by Staff Accounting Bulletin (“SAB”) No.118, no later than the fourth quarter of 2018.</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Information about Geographic Areas</w:t>
      </w:r>
    </w:p>
    <w:p>
      <w:pPr>
        <w:spacing w:after="0" w:line="250" w:lineRule="exact"/>
        <w:rPr>
          <w:sz w:val="20"/>
          <w:szCs w:val="20"/>
          <w:color w:val="auto"/>
        </w:rPr>
      </w:pPr>
    </w:p>
    <w:p>
      <w:pPr>
        <w:ind w:right="20" w:firstLine="425"/>
        <w:spacing w:after="0" w:line="269" w:lineRule="auto"/>
        <w:rPr>
          <w:sz w:val="20"/>
          <w:szCs w:val="20"/>
          <w:color w:val="auto"/>
        </w:rPr>
      </w:pPr>
      <w:r>
        <w:rPr>
          <w:rFonts w:ascii="Arial" w:cs="Arial" w:eastAsia="Arial" w:hAnsi="Arial"/>
          <w:sz w:val="17"/>
          <w:szCs w:val="17"/>
          <w:color w:val="auto"/>
        </w:rPr>
        <w:t>We operate in one reporting segment that develops, manufactures,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total revenue by geographic area of our customers for each period presented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Three Months Ended March 31,</w:t>
            </w:r>
          </w:p>
        </w:tc>
      </w:tr>
      <w:tr>
        <w:trPr>
          <w:trHeight w:val="192"/>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r>
      <w:tr>
        <w:trPr>
          <w:trHeight w:val="238"/>
        </w:trPr>
        <w:tc>
          <w:tcPr>
            <w:tcW w:w="8520" w:type="dxa"/>
            <w:vAlign w:val="bottom"/>
          </w:tcPr>
          <w:p>
            <w:pPr>
              <w:ind w:left="20"/>
              <w:spacing w:after="0"/>
              <w:rPr>
                <w:sz w:val="20"/>
                <w:szCs w:val="20"/>
                <w:color w:val="auto"/>
              </w:rPr>
            </w:pPr>
            <w:r>
              <w:rPr>
                <w:rFonts w:ascii="Arial" w:cs="Arial" w:eastAsia="Arial" w:hAnsi="Arial"/>
                <w:sz w:val="18"/>
                <w:szCs w:val="18"/>
                <w:color w:val="auto"/>
              </w:rPr>
              <w:t>Europe</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7,636</w:t>
            </w:r>
          </w:p>
        </w:tc>
      </w:tr>
      <w:tr>
        <w:trPr>
          <w:trHeight w:val="28"/>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r>
      <w:tr>
        <w:trPr>
          <w:trHeight w:val="238"/>
        </w:trPr>
        <w:tc>
          <w:tcPr>
            <w:tcW w:w="8520" w:type="dxa"/>
            <w:vAlign w:val="bottom"/>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8"/>
        </w:trPr>
        <w:tc>
          <w:tcPr>
            <w:tcW w:w="8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25,248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 individual customer represented more than 10% of our total revenues for the three months ended March 31, 2018, and 2017.</w:t>
      </w:r>
    </w:p>
    <w:p>
      <w:pPr>
        <w:spacing w:after="0" w:line="244" w:lineRule="exact"/>
        <w:rPr>
          <w:sz w:val="20"/>
          <w:szCs w:val="20"/>
          <w:color w:val="auto"/>
        </w:rPr>
      </w:pPr>
    </w:p>
    <w:p>
      <w:pPr>
        <w:ind w:right="120" w:firstLine="389"/>
        <w:spacing w:after="0" w:line="255" w:lineRule="auto"/>
        <w:rPr>
          <w:sz w:val="20"/>
          <w:szCs w:val="20"/>
          <w:color w:val="auto"/>
        </w:rPr>
      </w:pPr>
      <w:r>
        <w:rPr>
          <w:rFonts w:ascii="Arial" w:cs="Arial" w:eastAsia="Arial" w:hAnsi="Arial"/>
          <w:sz w:val="18"/>
          <w:szCs w:val="18"/>
          <w:color w:val="auto"/>
        </w:rPr>
        <w:t>Sales to customers in China represented 13% or $3.3 million and 10% or $2.4 million of our total revenue for the three months ended March 31, 2018, and 2017, respectively. Except for China, no other foreign country or jurisdiction had sales in excess of 10% of our total revenue during the three months ended March 31, 2018, and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Benefit Preservation Plan</w:t>
      </w:r>
    </w:p>
    <w:p>
      <w:pPr>
        <w:spacing w:after="0" w:line="244" w:lineRule="exact"/>
        <w:rPr>
          <w:sz w:val="20"/>
          <w:szCs w:val="20"/>
          <w:color w:val="auto"/>
        </w:rPr>
      </w:pPr>
    </w:p>
    <w:p>
      <w:pPr>
        <w:ind w:right="40" w:firstLine="389"/>
        <w:spacing w:after="0" w:line="252" w:lineRule="auto"/>
        <w:rPr>
          <w:sz w:val="20"/>
          <w:szCs w:val="20"/>
          <w:color w:val="auto"/>
        </w:rPr>
      </w:pPr>
      <w:r>
        <w:rPr>
          <w:rFonts w:ascii="Arial" w:cs="Arial" w:eastAsia="Arial" w:hAnsi="Arial"/>
          <w:sz w:val="18"/>
          <w:szCs w:val="18"/>
          <w:color w:val="auto"/>
        </w:rPr>
        <w:t>In November 2016, our board of directors approved a tax benefit preservation plan, or Tax Benefit Preservation Plan, in an effort to protect our tax benefits during the effective period of the tax benefit preservation plan. Under the Tax Benefit Preservation Plan, we issued preferred share purchase rights to holders of our common stock. In August 2017, the Tax Benefit Preservation Plan expired and all of the preferred share purchase rights distributed to the holders of our common stock pursuant to the tax plan also expired.</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At-The-Market Offering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p>
      <w:pPr>
        <w:ind w:firstLine="389"/>
        <w:spacing w:after="0" w:line="319" w:lineRule="auto"/>
        <w:rPr>
          <w:sz w:val="20"/>
          <w:szCs w:val="20"/>
          <w:color w:val="auto"/>
        </w:rPr>
      </w:pPr>
      <w:r>
        <w:rPr>
          <w:rFonts w:ascii="Arial" w:cs="Arial" w:eastAsia="Arial" w:hAnsi="Arial"/>
          <w:sz w:val="15"/>
          <w:szCs w:val="15"/>
          <w:color w:val="auto"/>
        </w:rPr>
        <w:t>In August 2017, we entered into a Sales Agreement with Cowen and Company, LLC (Cowen) to sell shares of our common stock having aggregate sales proceeds of up to $30 million, from time to time, through an “at-the-market” equity offering program under which Cowen would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w:t>
      </w:r>
    </w:p>
    <w:p>
      <w:pPr>
        <w:spacing w:after="0" w:line="171" w:lineRule="exact"/>
        <w:rPr>
          <w:sz w:val="20"/>
          <w:szCs w:val="20"/>
          <w:color w:val="auto"/>
        </w:rPr>
      </w:pPr>
    </w:p>
    <w:p>
      <w:pPr>
        <w:ind w:right="240" w:firstLine="389"/>
        <w:spacing w:after="0" w:line="252" w:lineRule="auto"/>
        <w:rPr>
          <w:sz w:val="20"/>
          <w:szCs w:val="20"/>
          <w:color w:val="auto"/>
        </w:rPr>
      </w:pPr>
      <w:r>
        <w:rPr>
          <w:rFonts w:ascii="Arial" w:cs="Arial" w:eastAsia="Arial" w:hAnsi="Arial"/>
          <w:sz w:val="18"/>
          <w:szCs w:val="18"/>
          <w:color w:val="auto"/>
        </w:rPr>
        <w:t>Under the Sales Agreement, in August 2017, we sold 9,090,909 shares of our common stock, $0.001 par value per share, through Cowen acting as our agent, for aggregate gross proceeds of $30.0 million. Our aggregate net proceeds from such sales were approximately $28.8 million, after deducting related expenses, including commissions to Cowen of approximately $0.7 million and issuance costs of approximately $0.5 million. These sales exhausted the shares that were available for sale under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ind w:firstLine="425"/>
        <w:spacing w:after="0" w:line="303" w:lineRule="auto"/>
        <w:rPr>
          <w:sz w:val="20"/>
          <w:szCs w:val="20"/>
          <w:color w:val="auto"/>
        </w:rPr>
      </w:pPr>
      <w:r>
        <w:rPr>
          <w:rFonts w:ascii="Arial" w:cs="Arial" w:eastAsia="Arial" w:hAnsi="Arial"/>
          <w:sz w:val="15"/>
          <w:szCs w:val="15"/>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85" w:lineRule="exact"/>
        <w:rPr>
          <w:sz w:val="20"/>
          <w:szCs w:val="20"/>
          <w:color w:val="auto"/>
        </w:rPr>
      </w:pPr>
    </w:p>
    <w:p>
      <w:pPr>
        <w:ind w:right="360" w:firstLine="425"/>
        <w:spacing w:after="0" w:line="313" w:lineRule="auto"/>
        <w:rPr>
          <w:sz w:val="20"/>
          <w:szCs w:val="20"/>
          <w:color w:val="auto"/>
        </w:rPr>
      </w:pPr>
      <w:r>
        <w:rPr>
          <w:rFonts w:ascii="Arial" w:cs="Arial" w:eastAsia="Arial" w:hAnsi="Arial"/>
          <w:sz w:val="15"/>
          <w:szCs w:val="15"/>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76" w:lineRule="exact"/>
        <w:rPr>
          <w:sz w:val="20"/>
          <w:szCs w:val="20"/>
          <w:color w:val="auto"/>
        </w:rPr>
      </w:pPr>
    </w:p>
    <w:p>
      <w:pPr>
        <w:ind w:right="80" w:firstLine="425"/>
        <w:spacing w:after="0" w:line="278"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97" w:lineRule="exact"/>
        <w:rPr>
          <w:sz w:val="20"/>
          <w:szCs w:val="20"/>
          <w:color w:val="auto"/>
        </w:rPr>
      </w:pPr>
    </w:p>
    <w:p>
      <w:pPr>
        <w:ind w:right="20" w:firstLine="425"/>
        <w:spacing w:after="0" w:line="251" w:lineRule="auto"/>
        <w:rPr>
          <w:sz w:val="20"/>
          <w:szCs w:val="20"/>
          <w:color w:val="auto"/>
        </w:rPr>
      </w:pPr>
      <w:r>
        <w:rPr>
          <w:rFonts w:ascii="Arial" w:cs="Arial" w:eastAsia="Arial" w:hAnsi="Arial"/>
          <w:sz w:val="18"/>
          <w:szCs w:val="18"/>
          <w:i w:val="1"/>
          <w:iCs w:val="1"/>
          <w:color w:val="auto"/>
        </w:rPr>
        <w:t>“Fluidigm,” the Fluidigm logo, “Access Array,” “Advanta,” “Biomark,” “C1,” “Callisto,” “Cell-ID,” “CyTOF,” “D3,” “Delta Gene,” “Digital Array,” “Dynamic Array,” “EP1,” “EQ,” “FC1,” “Flex Six,” “Helios,” “High-Precision 96.96 Genotyping,” "Hyperion," "Imaging Mass Cytometry," "IMC," “Juno,” “Maxpar,” “MCD,” “MSL,” “Nanoflex,” “Open App,” “Polaris,” “qdPCR 37K,” “Script Builder,” “Script Hub,” “Singular,” “SNP Trace” and “SNP Type” are trademarks or registered trademarks of Fluidigm Corporation. Other service marks, trademarks and trade names referred to in this Form 10-Q are the property of their respective owners.</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0" w:lineRule="exact"/>
        <w:rPr>
          <w:sz w:val="20"/>
          <w:szCs w:val="20"/>
          <w:color w:val="auto"/>
        </w:rPr>
      </w:pPr>
    </w:p>
    <w:p>
      <w:pPr>
        <w:ind w:right="20" w:firstLine="389"/>
        <w:spacing w:after="0" w:line="319" w:lineRule="auto"/>
        <w:rPr>
          <w:sz w:val="20"/>
          <w:szCs w:val="20"/>
          <w:color w:val="auto"/>
        </w:rPr>
      </w:pPr>
      <w:r>
        <w:rPr>
          <w:rFonts w:ascii="Arial" w:cs="Arial" w:eastAsia="Arial" w:hAnsi="Arial"/>
          <w:sz w:val="15"/>
          <w:szCs w:val="15"/>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71" w:lineRule="exact"/>
        <w:rPr>
          <w:sz w:val="20"/>
          <w:szCs w:val="20"/>
          <w:color w:val="auto"/>
        </w:rPr>
      </w:pPr>
    </w:p>
    <w:p>
      <w:pPr>
        <w:ind w:right="60" w:firstLine="425"/>
        <w:spacing w:after="0" w:line="331" w:lineRule="auto"/>
        <w:rPr>
          <w:sz w:val="20"/>
          <w:szCs w:val="20"/>
          <w:color w:val="auto"/>
        </w:rPr>
      </w:pPr>
      <w:r>
        <w:rPr>
          <w:rFonts w:ascii="Arial" w:cs="Arial" w:eastAsia="Arial" w:hAnsi="Arial"/>
          <w:sz w:val="15"/>
          <w:szCs w:val="15"/>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62" w:lineRule="exact"/>
        <w:rPr>
          <w:sz w:val="20"/>
          <w:szCs w:val="20"/>
          <w:color w:val="auto"/>
        </w:rPr>
      </w:pPr>
    </w:p>
    <w:p>
      <w:pPr>
        <w:ind w:right="180" w:firstLine="425"/>
        <w:spacing w:after="0" w:line="252"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219" w:lineRule="exact"/>
        <w:rPr>
          <w:sz w:val="20"/>
          <w:szCs w:val="20"/>
          <w:color w:val="auto"/>
        </w:rPr>
      </w:pPr>
    </w:p>
    <w:p>
      <w:pPr>
        <w:jc w:val="both"/>
        <w:ind w:right="540" w:firstLine="389"/>
        <w:spacing w:after="0" w:line="255" w:lineRule="auto"/>
        <w:rPr>
          <w:sz w:val="20"/>
          <w:szCs w:val="20"/>
          <w:color w:val="auto"/>
        </w:rPr>
      </w:pPr>
      <w:r>
        <w:rPr>
          <w:rFonts w:ascii="Arial" w:cs="Arial" w:eastAsia="Arial" w:hAnsi="Arial"/>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60"/>
        <w:spacing w:after="0" w:line="319" w:lineRule="auto"/>
        <w:rPr>
          <w:sz w:val="20"/>
          <w:szCs w:val="20"/>
          <w:color w:val="auto"/>
        </w:rPr>
      </w:pPr>
      <w:r>
        <w:rPr>
          <w:rFonts w:ascii="Arial" w:cs="Arial" w:eastAsia="Arial" w:hAnsi="Arial"/>
          <w:sz w:val="15"/>
          <w:szCs w:val="15"/>
          <w:color w:val="auto"/>
        </w:rPr>
        <w:t>Singapore manufactures our genomics instruments, several of which are assembled at facilities of our contract manufacturers in Singapore, with testing and calibration of the assembled products performed at our Singapore facility. All our IFCs for commercial sale and some IFCs for our research and development purposes also are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1" w:lineRule="exact"/>
        <w:rPr>
          <w:sz w:val="20"/>
          <w:szCs w:val="20"/>
          <w:color w:val="auto"/>
        </w:rPr>
      </w:pPr>
    </w:p>
    <w:p>
      <w:pPr>
        <w:ind w:right="40" w:firstLine="319"/>
        <w:spacing w:after="0" w:line="261" w:lineRule="auto"/>
        <w:rPr>
          <w:sz w:val="20"/>
          <w:szCs w:val="20"/>
          <w:color w:val="auto"/>
        </w:rPr>
      </w:pPr>
      <w:r>
        <w:rPr>
          <w:rFonts w:ascii="Arial" w:cs="Arial" w:eastAsia="Arial" w:hAnsi="Arial"/>
          <w:sz w:val="17"/>
          <w:szCs w:val="17"/>
          <w:color w:val="auto"/>
        </w:rPr>
        <w:t>Our total revenue for the three months ended March 31, 2018, was $25.2 million, compared to $25.5 million for the three months ended March 31, 2017. Our total revenue for the twelve months ended December 31, was $101.9 million in 2017, $104.4 million in 2016, and $114.7 million in 2015. We have incurred significant net losses since our inception in 1999 and, as of March 31, 2018, our accumulated deficit was $513.1 million.</w:t>
      </w:r>
    </w:p>
    <w:p>
      <w:pPr>
        <w:spacing w:after="0" w:line="199" w:lineRule="exact"/>
        <w:rPr>
          <w:sz w:val="20"/>
          <w:szCs w:val="20"/>
          <w:color w:val="auto"/>
        </w:rPr>
      </w:pPr>
    </w:p>
    <w:p>
      <w:pPr>
        <w:ind w:right="660" w:firstLine="319"/>
        <w:spacing w:after="0" w:line="265" w:lineRule="auto"/>
        <w:rPr>
          <w:sz w:val="20"/>
          <w:szCs w:val="20"/>
          <w:color w:val="auto"/>
        </w:rPr>
      </w:pPr>
      <w:r>
        <w:rPr>
          <w:rFonts w:ascii="Arial" w:cs="Arial" w:eastAsia="Arial" w:hAnsi="Arial"/>
          <w:sz w:val="18"/>
          <w:szCs w:val="18"/>
          <w:color w:val="auto"/>
        </w:rPr>
        <w:t>In August 2017, we sold 9,090,909 shares of our common stock through an “at-the-market” equity offering program, for aggregate net proceeds of approximately $28.8 million.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Recent Developments</w:t>
      </w:r>
    </w:p>
    <w:p>
      <w:pPr>
        <w:spacing w:after="0" w:line="244" w:lineRule="exact"/>
        <w:rPr>
          <w:sz w:val="20"/>
          <w:szCs w:val="20"/>
          <w:color w:val="auto"/>
        </w:rPr>
      </w:pPr>
    </w:p>
    <w:p>
      <w:pPr>
        <w:ind w:right="60" w:firstLine="319"/>
        <w:spacing w:after="0" w:line="248" w:lineRule="auto"/>
        <w:rPr>
          <w:sz w:val="20"/>
          <w:szCs w:val="20"/>
          <w:color w:val="auto"/>
        </w:rPr>
      </w:pPr>
      <w:r>
        <w:rPr>
          <w:rFonts w:ascii="Arial" w:cs="Arial" w:eastAsia="Arial" w:hAnsi="Arial"/>
          <w:sz w:val="17"/>
          <w:szCs w:val="17"/>
          <w:color w:val="auto"/>
        </w:rPr>
        <w:t>In February 2014, we closed an underwritten public offering of $201.3 million in aggregate principal amount of our 2.75% Senior Convertible Notes due 2034, which we refer to as our “2014 Notes.” In March 2018, we entered into privately negotiated transactions with certain holders of our 2014 Notes to exchange approximately $150.0 million in aggregate principal amount of the 2014 Notes for approximately $150.0 million in aggregate principal amount of our new 2.75% Exchange Convertible Senior Notes due 2034, which we refer to as our "2018 Notes," and collectively with the 2014 Notes, the "Notes". Following the exchange transactions, approximately $51.3 million in aggregate principal amount of 2014 Notes remained outstanding. Our board of directors determined that the private exchange transactions were in the best interest of the company and our stockholders following substantial review with management and our financial advisors concerning the amount of our outstanding indebtedness relative to the market capitalization of our common stock and, in particular, obligations under the indenture for the 2014 Notes that could require us to repurchase the 2014 Notes beginning in 2021 at a repurchase price equal to the aggregate principal amount of the 2014 Notes (approximately $201.3 million prior to the exchange). The principal differences between the 2014 Notes and the 2018 Notes are the following:</w:t>
      </w:r>
    </w:p>
    <w:p>
      <w:pPr>
        <w:spacing w:after="0" w:line="200" w:lineRule="exact"/>
        <w:rPr>
          <w:sz w:val="20"/>
          <w:szCs w:val="20"/>
          <w:color w:val="auto"/>
        </w:rPr>
      </w:pPr>
    </w:p>
    <w:p>
      <w:pPr>
        <w:spacing w:after="0" w:line="223" w:lineRule="exact"/>
        <w:rPr>
          <w:sz w:val="20"/>
          <w:szCs w:val="20"/>
          <w:color w:val="auto"/>
        </w:rPr>
      </w:pPr>
    </w:p>
    <w:p>
      <w:pPr>
        <w:ind w:left="540" w:right="60" w:hanging="19"/>
        <w:spacing w:after="0" w:line="252" w:lineRule="auto"/>
        <w:rPr>
          <w:sz w:val="20"/>
          <w:szCs w:val="20"/>
          <w:color w:val="auto"/>
        </w:rPr>
      </w:pPr>
      <w:r>
        <w:rPr>
          <w:sz w:val="1"/>
          <w:szCs w:val="1"/>
          <w:color w:val="auto"/>
        </w:rPr>
        <w:drawing>
          <wp:inline distT="0" distB="0" distL="0" distR="0">
            <wp:extent cx="59055" cy="590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The date on which we may be first required to repurchase the 2018 Notes has been extended to February 2023, compared to February 2021 under the 2014 Notes. In addition, while the applicable cash repurchase price for the 2014 Notes is 100% of the outstanding principal amount, the cash repurchase price for the 2018 Notes is based on a formula that would result in the 2018 Notes being redeemed for up to an amount equal to 120% of the original principal amount, plus, in each case, accrued and unpaid interest.</w:t>
      </w:r>
    </w:p>
    <w:p>
      <w:pPr>
        <w:spacing w:after="0" w:line="193" w:lineRule="exact"/>
        <w:rPr>
          <w:sz w:val="20"/>
          <w:szCs w:val="20"/>
          <w:color w:val="auto"/>
        </w:rPr>
      </w:pPr>
    </w:p>
    <w:p>
      <w:pPr>
        <w:ind w:left="540" w:right="60" w:hanging="19"/>
        <w:spacing w:after="0" w:line="255" w:lineRule="auto"/>
        <w:rPr>
          <w:sz w:val="20"/>
          <w:szCs w:val="20"/>
          <w:color w:val="auto"/>
        </w:rPr>
      </w:pPr>
      <w:r>
        <w:rPr>
          <w:sz w:val="1"/>
          <w:szCs w:val="1"/>
          <w:color w:val="auto"/>
        </w:rPr>
        <w:drawing>
          <wp:inline distT="0" distB="0" distL="0" distR="0">
            <wp:extent cx="59055" cy="590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The initial conversion price under the 2018 Notes is approximately $7.88, as compared to approximately $55.94 under the 2014 Notes. As a result, each of the outstanding 2018 Notes is initially convertible into 126.9438 shares of our common stock per $1,000 principal amount, while the 2014 Notes are initially convertible into 17.8750 shares of our common stock per $1,000 principal amount.</w:t>
      </w:r>
    </w:p>
    <w:p>
      <w:pPr>
        <w:spacing w:after="0" w:line="190" w:lineRule="exact"/>
        <w:rPr>
          <w:sz w:val="20"/>
          <w:szCs w:val="20"/>
          <w:color w:val="auto"/>
        </w:rPr>
      </w:pPr>
    </w:p>
    <w:p>
      <w:pPr>
        <w:ind w:left="540" w:right="140" w:hanging="19"/>
        <w:spacing w:after="0" w:line="251" w:lineRule="auto"/>
        <w:rPr>
          <w:sz w:val="20"/>
          <w:szCs w:val="20"/>
          <w:color w:val="auto"/>
        </w:rPr>
      </w:pPr>
      <w:r>
        <w:rPr>
          <w:sz w:val="1"/>
          <w:szCs w:val="1"/>
          <w:color w:val="auto"/>
        </w:rPr>
        <w:drawing>
          <wp:inline distT="0" distB="0" distL="0" distR="0">
            <wp:extent cx="59055" cy="590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Under the supplemental indenture for the 2018 Notes, we may at any time cause the then-outstanding 2018 Notes to be converted into shares of our common stock at the then-applicable 2018 Exchange Note conversion price if the volume weighted average price of our common stock is at least 110% of the applicable 2018 Exchange Note conversion price on each applicable trading day over a period specified in the supplement indenture for the 2018 Notes. Under the indenture for the 2014 Notes, we may only redeem the 2014 Notes for cash under certain circumstances during the period from February 6, 2018, through February 6, 2021.</w:t>
      </w:r>
    </w:p>
    <w:p>
      <w:pPr>
        <w:spacing w:after="0" w:line="192" w:lineRule="exact"/>
        <w:rPr>
          <w:sz w:val="20"/>
          <w:szCs w:val="20"/>
          <w:color w:val="auto"/>
        </w:rPr>
      </w:pPr>
    </w:p>
    <w:p>
      <w:pPr>
        <w:ind w:left="540" w:right="140" w:hanging="19"/>
        <w:spacing w:after="0" w:line="313" w:lineRule="auto"/>
        <w:rPr>
          <w:sz w:val="20"/>
          <w:szCs w:val="20"/>
          <w:color w:val="auto"/>
        </w:rPr>
      </w:pPr>
      <w:r>
        <w:rPr>
          <w:sz w:val="1"/>
          <w:szCs w:val="1"/>
          <w:color w:val="auto"/>
        </w:rPr>
        <w:drawing>
          <wp:inline distT="0" distB="0" distL="0" distR="0">
            <wp:extent cx="59055" cy="590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5"/>
          <w:szCs w:val="15"/>
          <w:color w:val="auto"/>
        </w:rPr>
        <w:t xml:space="preserve"> Under certain circumstances such as a “fundamental change” (as defined in the applicable indenture) that occurs prior to (i) February 6, 2021, in the case of the 2014 Notes and (ii) February 6, 2023, in the case of the 2018 Notes, holders of the Notes are entitled to a “make-whole” premium that will result in an increase in the applicable conversion rate. Under the terms of the 2018 Notes (but not the 2014 Notes), holders will be entitled to receive additional shares reflecting the economic equivalent of approximately two years of additional coupon payments, subject to certain limitations, in connection with a voluntary conversion by the noteholder prior to our exercise of our early conversion option.</w:t>
      </w:r>
    </w:p>
    <w:p>
      <w:pPr>
        <w:spacing w:after="0" w:line="388" w:lineRule="exact"/>
        <w:rPr>
          <w:sz w:val="20"/>
          <w:szCs w:val="20"/>
          <w:color w:val="auto"/>
        </w:rPr>
      </w:pPr>
    </w:p>
    <w:p>
      <w:pPr>
        <w:ind w:firstLine="319"/>
        <w:spacing w:after="0" w:line="250" w:lineRule="auto"/>
        <w:rPr>
          <w:sz w:val="20"/>
          <w:szCs w:val="20"/>
          <w:color w:val="auto"/>
        </w:rPr>
      </w:pPr>
      <w:r>
        <w:rPr>
          <w:rFonts w:ascii="Arial" w:cs="Arial" w:eastAsia="Arial" w:hAnsi="Arial"/>
          <w:sz w:val="17"/>
          <w:szCs w:val="17"/>
          <w:color w:val="auto"/>
        </w:rPr>
        <w:t>The foregoing summaries of the 2014 Notes, the 2018 Notes, and the recently completed exchange transactions are not complete and are qualified in their entirety by the applicable indentures, forms of global notes, and other agreements and documents filed with the Securities and Exchange Commission with respect to the 2018 Notes and the exchange, and investors should refer to the text of the Second Supplemental Indenture, dated March 6, 2018, between the Company and U.S. Bank National Association and the Form of Global Note included in the Second Supplemental Indenture, which are incorporated by reference as Exhibits 4.6 and 4.7, respectively, in our Annual Report on Form 10-K for the year ended December 31, 2017. With respect to the 2014 Notes, of which approximately $51.3 million in aggregate principal amount remains outstanding, investors should refer to the text of the Indenture, dated as of February 4, 2014, by and between Fluidigm Corporation and U.S. Bank</w:t>
      </w:r>
    </w:p>
    <w:p>
      <w:pPr>
        <w:sectPr>
          <w:pgSz w:w="11900" w:h="16838" w:orient="portrait"/>
          <w:cols w:equalWidth="0" w:num="1">
            <w:col w:w="11400"/>
          </w:cols>
          <w:pgMar w:left="240" w:top="127" w:right="2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00"/>
          </w:cols>
          <w:pgMar w:left="240" w:top="127" w:right="2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National Association, the First Supplemental Indenture, dated as of February 4, 2014, by and between Fluidigm Corporation and U.S. Bank National Association, and the Form of Global Note included in the First Supplemental Indenture which are incorporated by reference as Exhibits 4.2, 4.3 and 4.4, respectively, in our Annual Report on Form 10-K for the year ended December 31, 2017.</w:t>
      </w:r>
    </w:p>
    <w:p>
      <w:pPr>
        <w:spacing w:after="0" w:line="215" w:lineRule="exact"/>
        <w:rPr>
          <w:sz w:val="20"/>
          <w:szCs w:val="20"/>
          <w:color w:val="auto"/>
        </w:rPr>
      </w:pPr>
    </w:p>
    <w:p>
      <w:pPr>
        <w:ind w:firstLine="319"/>
        <w:spacing w:after="0" w:line="237" w:lineRule="auto"/>
        <w:rPr>
          <w:sz w:val="20"/>
          <w:szCs w:val="20"/>
          <w:color w:val="auto"/>
        </w:rPr>
      </w:pPr>
      <w:r>
        <w:rPr>
          <w:rFonts w:ascii="Arial" w:cs="Arial" w:eastAsia="Arial" w:hAnsi="Arial"/>
          <w:sz w:val="18"/>
          <w:szCs w:val="18"/>
          <w:color w:val="auto"/>
        </w:rPr>
        <w:t>Interest expense related to the 2014 Notes and 2018 Notes, collectively, the ("Convertible Notes") was approximately $1.9 million and $1.5 million during the three months ended March 31, 2018, and 2017, respectively. Approximately, $2.8 million of interest under the 2014 Notes was payable and paid, for each of the three months ended March 31, 2018, and 2017. The effective interest rate on the 2014 Notes and the 2018 Notes is approximately 3.0% and 12.3%, respectively.</w:t>
      </w:r>
    </w:p>
    <w:p>
      <w:pPr>
        <w:spacing w:after="0" w:line="218" w:lineRule="exact"/>
        <w:rPr>
          <w:sz w:val="20"/>
          <w:szCs w:val="20"/>
          <w:color w:val="auto"/>
        </w:rPr>
      </w:pPr>
    </w:p>
    <w:p>
      <w:pPr>
        <w:ind w:right="20" w:firstLine="319"/>
        <w:spacing w:after="0" w:line="238" w:lineRule="auto"/>
        <w:rPr>
          <w:sz w:val="20"/>
          <w:szCs w:val="20"/>
          <w:color w:val="auto"/>
        </w:rPr>
      </w:pPr>
      <w:r>
        <w:rPr>
          <w:rFonts w:ascii="Arial" w:cs="Arial" w:eastAsia="Arial" w:hAnsi="Arial"/>
          <w:sz w:val="18"/>
          <w:szCs w:val="18"/>
          <w:color w:val="auto"/>
        </w:rPr>
        <w:t>As of March 31, 2018, the net carrying values of the embedded conversion option, recorded in additional paid-in-capital, and the liability component of the 2018 Notes, recorded in convertible notes, were $28.7 million and $114.5 million respectively.</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 are $0.3 million of deferred debt issuance costs and $1.3 million of debt discount from the remaining 2014 Notes which continue to be deferred. The net carrying value of the 2014 Notes is $49.7 million as of March 31, 2018.</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Footnote 4. Convertible Notes for additional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50" w:lineRule="exact"/>
        <w:rPr>
          <w:sz w:val="20"/>
          <w:szCs w:val="20"/>
          <w:color w:val="auto"/>
        </w:rPr>
      </w:pPr>
    </w:p>
    <w:p>
      <w:pPr>
        <w:ind w:right="20" w:firstLine="425"/>
        <w:spacing w:after="0" w:line="266"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209" w:lineRule="exact"/>
        <w:rPr>
          <w:sz w:val="20"/>
          <w:szCs w:val="20"/>
          <w:color w:val="auto"/>
        </w:rPr>
      </w:pPr>
    </w:p>
    <w:p>
      <w:pPr>
        <w:ind w:right="60" w:firstLine="425"/>
        <w:spacing w:after="0" w:line="255"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three months ended March 31, 2018, compared to those disclosed in our Annual Report on Form 10-K for the year ended December 31, 2017, as filed with the SEC on March 8,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2 — “Summary of Significant Accounting Policies” in the notes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7"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ind w:right="40" w:firstLine="319"/>
        <w:spacing w:after="0" w:line="265"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months ended March 31, 2018, and 2017, and as a percentage of total revenue for the respective periods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244"/>
        </w:trPr>
        <w:tc>
          <w:tcPr>
            <w:tcW w:w="66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8"/>
        </w:trPr>
        <w:tc>
          <w:tcPr>
            <w:tcW w:w="6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8"/>
        </w:trPr>
        <w:tc>
          <w:tcPr>
            <w:tcW w:w="6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8"/>
        </w:trPr>
        <w:tc>
          <w:tcPr>
            <w:tcW w:w="6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8"/>
        </w:trPr>
        <w:tc>
          <w:tcPr>
            <w:tcW w:w="6600" w:type="dxa"/>
            <w:vAlign w:val="bottom"/>
          </w:tcPr>
          <w:p>
            <w:pPr>
              <w:ind w:left="120"/>
              <w:spacing w:after="0"/>
              <w:rPr>
                <w:sz w:val="20"/>
                <w:szCs w:val="20"/>
                <w:color w:val="auto"/>
              </w:rPr>
            </w:pPr>
            <w:r>
              <w:rPr>
                <w:rFonts w:ascii="Arial" w:cs="Arial" w:eastAsia="Arial" w:hAnsi="Arial"/>
                <w:sz w:val="18"/>
                <w:szCs w:val="18"/>
                <w:color w:val="auto"/>
              </w:rPr>
              <w:t>Cost of service revenue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r>
      <w:tr>
        <w:trPr>
          <w:trHeight w:val="28"/>
        </w:trPr>
        <w:tc>
          <w:tcPr>
            <w:tcW w:w="6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8"/>
        </w:trPr>
        <w:tc>
          <w:tcPr>
            <w:tcW w:w="66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22,576</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20"/>
                <w:szCs w:val="20"/>
                <w:color w:val="auto"/>
              </w:rPr>
            </w:pPr>
          </w:p>
        </w:tc>
      </w:tr>
      <w:tr>
        <w:trPr>
          <w:trHeight w:val="28"/>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9"/>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costs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31"/>
        </w:trPr>
        <w:tc>
          <w:tcPr>
            <w:tcW w:w="660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(17,536)</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auto"/>
            </w:tcBorders>
          </w:tcPr>
          <w:p>
            <w:pPr>
              <w:spacing w:after="0"/>
              <w:rPr>
                <w:sz w:val="20"/>
                <w:szCs w:val="20"/>
                <w:color w:val="auto"/>
              </w:rPr>
            </w:pPr>
          </w:p>
        </w:tc>
      </w:tr>
      <w:tr>
        <w:trPr>
          <w:trHeight w:val="28"/>
        </w:trPr>
        <w:tc>
          <w:tcPr>
            <w:tcW w:w="6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45"/>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8"/>
        </w:trPr>
        <w:tc>
          <w:tcPr>
            <w:tcW w:w="660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8"/>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9"/>
        </w:trPr>
        <w:tc>
          <w:tcPr>
            <w:tcW w:w="6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38"/>
        </w:trPr>
        <w:tc>
          <w:tcPr>
            <w:tcW w:w="6600" w:type="dxa"/>
            <w:vAlign w:val="bottom"/>
          </w:tcPr>
          <w:p>
            <w:pPr>
              <w:ind w:left="120"/>
              <w:spacing w:after="0"/>
              <w:rPr>
                <w:sz w:val="20"/>
                <w:szCs w:val="20"/>
                <w:color w:val="auto"/>
              </w:rPr>
            </w:pPr>
            <w:r>
              <w:rPr>
                <w:rFonts w:ascii="Arial" w:cs="Arial" w:eastAsia="Arial" w:hAnsi="Arial"/>
                <w:sz w:val="18"/>
                <w:szCs w:val="18"/>
                <w:color w:val="auto"/>
              </w:rPr>
              <w:t>Benefit from income taxes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r>
      <w:tr>
        <w:trPr>
          <w:trHeight w:val="28"/>
        </w:trPr>
        <w:tc>
          <w:tcPr>
            <w:tcW w:w="6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278"/>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4" w:lineRule="exact"/>
        <w:rPr>
          <w:sz w:val="20"/>
          <w:szCs w:val="20"/>
          <w:color w:val="auto"/>
        </w:rPr>
      </w:pPr>
    </w:p>
    <w:p>
      <w:pPr>
        <w:ind w:right="20" w:firstLine="425"/>
        <w:spacing w:after="0" w:line="319" w:lineRule="auto"/>
        <w:rPr>
          <w:sz w:val="20"/>
          <w:szCs w:val="20"/>
          <w:color w:val="auto"/>
        </w:rPr>
      </w:pPr>
      <w:r>
        <w:rPr>
          <w:rFonts w:ascii="Arial" w:cs="Arial" w:eastAsia="Arial" w:hAnsi="Arial"/>
          <w:sz w:val="15"/>
          <w:szCs w:val="15"/>
          <w:color w:val="auto"/>
        </w:rPr>
        <w:t>We generate revenue primarily from sales of our products and services. Our product revenue consists of sales of our high-throughput genomics, single-cell genomics and mass cytometry instruments and consumables, including IFCs, assays, and other reagents. Our service revenue consists of post-warranty service contracts, preventive maintenance plans, instrument parts, installation, and training. We also receive revenue from our license agreements with third parties. The following table presents our revenue by source for the three months ended March 31, 2018, and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6477635</wp:posOffset>
            </wp:positionH>
            <wp:positionV relativeFrom="paragraph">
              <wp:posOffset>133350</wp:posOffset>
            </wp:positionV>
            <wp:extent cx="767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Pr>
          <w:p>
            <w:pPr>
              <w:spacing w:after="0"/>
              <w:rPr>
                <w:sz w:val="16"/>
                <w:szCs w:val="16"/>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b w:val="1"/>
                <w:bCs w:val="1"/>
                <w:color w:val="auto"/>
              </w:rPr>
              <w:t>Year-Over-Year</w:t>
            </w:r>
          </w:p>
        </w:tc>
      </w:tr>
      <w:tr>
        <w:trPr>
          <w:trHeight w:val="192"/>
        </w:trPr>
        <w:tc>
          <w:tcPr>
            <w:tcW w:w="7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Change</w:t>
            </w:r>
          </w:p>
        </w:tc>
      </w:tr>
      <w:tr>
        <w:trPr>
          <w:trHeight w:val="231"/>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8"/>
        </w:trPr>
        <w:tc>
          <w:tcPr>
            <w:tcW w:w="7540" w:type="dxa"/>
            <w:vAlign w:val="bottom"/>
          </w:tcPr>
          <w:p>
            <w:pPr>
              <w:ind w:left="22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7,520</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10,737</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1"/>
              </w:rPr>
              <w:t>(30)%</w:t>
            </w:r>
          </w:p>
        </w:tc>
      </w:tr>
      <w:tr>
        <w:trPr>
          <w:trHeight w:val="28"/>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10,570</w:t>
            </w:r>
          </w:p>
        </w:tc>
        <w:tc>
          <w:tcPr>
            <w:tcW w:w="1300" w:type="dxa"/>
            <w:vAlign w:val="bottom"/>
            <w:tcBorders>
              <w:bottom w:val="single" w:sz="8" w:color="CCEEFF"/>
            </w:tcBorders>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23</w:t>
            </w:r>
          </w:p>
        </w:tc>
      </w:tr>
      <w:tr>
        <w:trPr>
          <w:trHeight w:val="231"/>
        </w:trPr>
        <w:tc>
          <w:tcPr>
            <w:tcW w:w="754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20,477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21,307</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0"/>
              </w:rPr>
              <w:t>(4)</w:t>
            </w:r>
          </w:p>
        </w:tc>
      </w:tr>
      <w:tr>
        <w:trPr>
          <w:trHeight w:val="28"/>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300" w:type="dxa"/>
            <w:vAlign w:val="bottom"/>
            <w:tcBorders>
              <w:bottom w:val="single" w:sz="8" w:color="CCEEFF"/>
            </w:tcBorders>
            <w:gridSpan w:val="2"/>
            <w:shd w:val="clear" w:color="auto" w:fill="CCEEFF"/>
          </w:tcPr>
          <w:p>
            <w:pPr>
              <w:jc w:val="right"/>
              <w:ind w:right="509"/>
              <w:spacing w:after="0"/>
              <w:rPr>
                <w:sz w:val="20"/>
                <w:szCs w:val="20"/>
                <w:color w:val="auto"/>
              </w:rPr>
            </w:pPr>
            <w:r>
              <w:rPr>
                <w:rFonts w:ascii="Arial" w:cs="Arial" w:eastAsia="Arial" w:hAnsi="Arial"/>
                <w:sz w:val="18"/>
                <w:szCs w:val="18"/>
                <w:color w:val="auto"/>
              </w:rPr>
              <w:t>14</w:t>
            </w:r>
          </w:p>
        </w:tc>
      </w:tr>
      <w:tr>
        <w:trPr>
          <w:trHeight w:val="238"/>
        </w:trPr>
        <w:tc>
          <w:tcPr>
            <w:tcW w:w="7540" w:type="dxa"/>
            <w:vAlign w:val="bottom"/>
          </w:tcPr>
          <w:p>
            <w:pPr>
              <w:ind w:left="20"/>
              <w:spacing w:after="0"/>
              <w:rPr>
                <w:sz w:val="20"/>
                <w:szCs w:val="20"/>
                <w:color w:val="auto"/>
              </w:rPr>
            </w:pPr>
            <w:r>
              <w:rPr>
                <w:rFonts w:ascii="Arial" w:cs="Arial" w:eastAsia="Arial" w:hAnsi="Arial"/>
                <w:sz w:val="18"/>
                <w:szCs w:val="18"/>
                <w:color w:val="auto"/>
              </w:rPr>
              <w:t>License revenue</w:t>
            </w:r>
          </w:p>
        </w:tc>
        <w:tc>
          <w:tcPr>
            <w:tcW w:w="2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5"/>
              </w:rPr>
              <w:t>(100)</w:t>
            </w:r>
          </w:p>
        </w:tc>
      </w:tr>
      <w:tr>
        <w:trPr>
          <w:trHeight w:val="28"/>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3"/>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firstLine="425"/>
        <w:spacing w:after="0" w:line="265" w:lineRule="auto"/>
        <w:rPr>
          <w:sz w:val="20"/>
          <w:szCs w:val="20"/>
          <w:color w:val="auto"/>
        </w:rPr>
      </w:pPr>
      <w:r>
        <w:rPr>
          <w:rFonts w:ascii="Arial" w:cs="Arial" w:eastAsia="Arial" w:hAnsi="Arial"/>
          <w:sz w:val="18"/>
          <w:szCs w:val="18"/>
          <w:color w:val="auto"/>
        </w:rPr>
        <w:t>The following table presents our total revenue by geographic area of our customers and as a percentage of total revenue for the three months ended March 31, 2018, and 2017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3"/>
              </w:rPr>
              <w:t>Three Months Ended March 31,</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98"/>
              </w:rPr>
              <w:t>Year-Over-Year</w:t>
            </w:r>
          </w:p>
        </w:tc>
        <w:tc>
          <w:tcPr>
            <w:tcW w:w="0" w:type="dxa"/>
            <w:vAlign w:val="bottom"/>
          </w:tcPr>
          <w:p>
            <w:pPr>
              <w:spacing w:after="0"/>
              <w:rPr>
                <w:sz w:val="1"/>
                <w:szCs w:val="1"/>
                <w:color w:val="auto"/>
              </w:rPr>
            </w:pPr>
          </w:p>
        </w:tc>
      </w:tr>
      <w:tr>
        <w:trPr>
          <w:trHeight w:val="56"/>
        </w:trPr>
        <w:tc>
          <w:tcPr>
            <w:tcW w:w="5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Arial" w:cs="Arial" w:eastAsia="Arial" w:hAnsi="Arial"/>
                <w:sz w:val="18"/>
                <w:szCs w:val="18"/>
                <w:color w:val="auto"/>
              </w:rPr>
              <w:t>Europe</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8,473</w:t>
            </w:r>
          </w:p>
        </w:tc>
        <w:tc>
          <w:tcPr>
            <w:tcW w:w="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7,636</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1220" w:type="dxa"/>
            <w:vAlign w:val="bottom"/>
            <w:gridSpan w:val="2"/>
          </w:tcPr>
          <w:p>
            <w:pPr>
              <w:jc w:val="right"/>
              <w:ind w:right="14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
        </w:trPr>
        <w:tc>
          <w:tcPr>
            <w:tcW w:w="5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w:t>
            </w:r>
          </w:p>
        </w:tc>
        <w:tc>
          <w:tcPr>
            <w:tcW w:w="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220" w:type="dxa"/>
            <w:vAlign w:val="bottom"/>
            <w:gridSpan w:val="2"/>
          </w:tcPr>
          <w:p>
            <w:pPr>
              <w:jc w:val="right"/>
              <w:ind w:right="10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8"/>
        </w:trPr>
        <w:tc>
          <w:tcPr>
            <w:tcW w:w="5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80" w:firstLine="425"/>
        <w:spacing w:after="0" w:line="255" w:lineRule="auto"/>
        <w:rPr>
          <w:sz w:val="20"/>
          <w:szCs w:val="20"/>
          <w:color w:val="auto"/>
        </w:rPr>
      </w:pPr>
      <w:r>
        <w:rPr>
          <w:rFonts w:ascii="Arial" w:cs="Arial" w:eastAsia="Arial" w:hAnsi="Arial"/>
          <w:sz w:val="18"/>
          <w:szCs w:val="18"/>
          <w:color w:val="auto"/>
        </w:rPr>
        <w:t>We sell our instruments to leading academic research institutions, clinical research laboratories, and biopharmaceutical, biotechnology and Ag-Bio companies. Total revenue from our five largest customers comprised 19% and 18% of our total revenue for the three months ended March 31, 2018, and 2017, respectively.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Revenue</w:t>
      </w:r>
    </w:p>
    <w:p>
      <w:pPr>
        <w:spacing w:after="0" w:line="231" w:lineRule="exact"/>
        <w:rPr>
          <w:sz w:val="20"/>
          <w:szCs w:val="20"/>
          <w:color w:val="auto"/>
        </w:rPr>
      </w:pPr>
    </w:p>
    <w:p>
      <w:pPr>
        <w:ind w:right="100" w:firstLine="319"/>
        <w:spacing w:after="0" w:line="234" w:lineRule="auto"/>
        <w:rPr>
          <w:sz w:val="20"/>
          <w:szCs w:val="20"/>
          <w:color w:val="auto"/>
        </w:rPr>
      </w:pPr>
      <w:r>
        <w:rPr>
          <w:rFonts w:ascii="Arial" w:cs="Arial" w:eastAsia="Arial" w:hAnsi="Arial"/>
          <w:sz w:val="18"/>
          <w:szCs w:val="18"/>
          <w:color w:val="auto"/>
        </w:rPr>
        <w:t>Total revenue decreased by $0.3 million, or 1%, to $25.2 million for the three months ended March 31, 2018, compared to $25.5 million for the three months ended March 31, 2017, due to lower product revenue primarily from our mass cytometry products. Revenues in Europe and Asia-Pacific increased by $0.8 million and $1.0 million, or 11% and 19%, respectively, for the three months ended March 31, 2018, compared to the three months ended March 31, 2017. The increases in Europe and Asia-Pacific were primarily driven by high-throughput genomics product sales, partially offset by sales of our mass cytometry instruments. Revenue in the Other area decreased by $0.4 million, or 33%, for the three months ended March 31, 2018, compared to the three months ended March 31, 2017, primarily due to decreases in mass cytometry product sales. Revenue in the United States decreased by $1.7 million, or 14%, for the three months ended March 31, 2018, compared to the three months ended March 31, 2017. The decrease was mainly attributable to lower mass cytometry product sales.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31" w:lineRule="exact"/>
        <w:rPr>
          <w:sz w:val="20"/>
          <w:szCs w:val="20"/>
          <w:color w:val="auto"/>
        </w:rPr>
      </w:pPr>
    </w:p>
    <w:p>
      <w:pPr>
        <w:ind w:right="40" w:firstLine="319"/>
        <w:spacing w:after="0" w:line="251" w:lineRule="auto"/>
        <w:rPr>
          <w:sz w:val="20"/>
          <w:szCs w:val="20"/>
          <w:color w:val="auto"/>
        </w:rPr>
      </w:pPr>
      <w:r>
        <w:rPr>
          <w:rFonts w:ascii="Arial" w:cs="Arial" w:eastAsia="Arial" w:hAnsi="Arial"/>
          <w:sz w:val="17"/>
          <w:szCs w:val="17"/>
          <w:color w:val="auto"/>
        </w:rPr>
        <w:t>Product revenue decreased by $0.8 million, or 4%, to $20.5 million for the three months ended March 31, 2018, compared to the three months ended March 31, 2017. Instrument revenue decreased by $3.2 million, or 30%, to $7.5 million for the three months ended March 31, 2018, compared to the three months ended March 31, 2017. The decrease was primarily due to lower unit sales of our mass cytometry instruments, partially offset by higher unit sales of our genomics instruments. Consumables revenue increased by $2.4 million, or 23%, to $13.0 million, for the three months ended March 31, 2018, compared to the three months ended March 31, 2017. The increase was primarily attributable to increased unit sales of mass cytometry reagents and high-throughput genomics IFCs, partially offset by decreased unit sales of single-cell genomics.</w:t>
      </w:r>
    </w:p>
    <w:p>
      <w:pPr>
        <w:spacing w:after="0" w:line="207" w:lineRule="exact"/>
        <w:rPr>
          <w:sz w:val="20"/>
          <w:szCs w:val="20"/>
          <w:color w:val="auto"/>
        </w:rPr>
      </w:pPr>
    </w:p>
    <w:p>
      <w:pPr>
        <w:ind w:right="160" w:firstLine="319"/>
        <w:spacing w:after="0" w:line="250"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We cannot provide assurance concerning future revenue growth, if any.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31" w:lineRule="exact"/>
        <w:rPr>
          <w:sz w:val="20"/>
          <w:szCs w:val="20"/>
          <w:color w:val="auto"/>
        </w:rPr>
      </w:pPr>
    </w:p>
    <w:p>
      <w:pPr>
        <w:ind w:firstLine="319"/>
        <w:spacing w:after="0" w:line="236" w:lineRule="auto"/>
        <w:rPr>
          <w:sz w:val="20"/>
          <w:szCs w:val="20"/>
          <w:color w:val="auto"/>
        </w:rPr>
      </w:pPr>
      <w:r>
        <w:rPr>
          <w:rFonts w:ascii="Arial" w:cs="Arial" w:eastAsia="Arial" w:hAnsi="Arial"/>
          <w:sz w:val="18"/>
          <w:szCs w:val="18"/>
          <w:color w:val="auto"/>
        </w:rPr>
        <w:t>Service revenue increased by $0.6 million to $4.8 million for the three months ended March 31, 2018, compared to $4.2 million for the three months ended March 31, 2017. The increase was mainly driven by an increase in instruments under post-warranty service contracts due to growth in our instrument installed base, particularly mass cytometry instruments. Revenue from post-warranty service contracts generally lags our instruments revenue by one year. Other fee-for-service offerings, including training, installation, labor and preventive maintenance, were relatively flat for the three months ended March 31, 2018, compared to the same period of 2017.</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license revenue is generated in the United States. We had no license revenue for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7"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Costs of Product and Service Revenue</w:t>
      </w:r>
    </w:p>
    <w:p>
      <w:pPr>
        <w:spacing w:after="0" w:line="244" w:lineRule="exact"/>
        <w:rPr>
          <w:sz w:val="20"/>
          <w:szCs w:val="20"/>
          <w:color w:val="auto"/>
        </w:rPr>
      </w:pPr>
    </w:p>
    <w:p>
      <w:pPr>
        <w:ind w:right="280" w:firstLine="425"/>
        <w:spacing w:after="0" w:line="265" w:lineRule="auto"/>
        <w:rPr>
          <w:sz w:val="20"/>
          <w:szCs w:val="20"/>
          <w:color w:val="auto"/>
        </w:rPr>
      </w:pPr>
      <w:r>
        <w:rPr>
          <w:rFonts w:ascii="Arial" w:cs="Arial" w:eastAsia="Arial" w:hAnsi="Arial"/>
          <w:sz w:val="18"/>
          <w:szCs w:val="18"/>
          <w:color w:val="auto"/>
        </w:rPr>
        <w:t>The following table presents our costs of product and service revenue and product and service margins for the three months ended March 31, 2018, and 2017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4"/>
                <w:szCs w:val="14"/>
                <w:b w:val="1"/>
                <w:bCs w:val="1"/>
                <w:color w:val="auto"/>
              </w:rPr>
              <w:t>Three Months Ended March 31,</w:t>
            </w:r>
          </w:p>
        </w:tc>
      </w:tr>
      <w:tr>
        <w:trPr>
          <w:trHeight w:val="192"/>
        </w:trPr>
        <w:tc>
          <w:tcPr>
            <w:tcW w:w="85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10,222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10,851</w:t>
            </w: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Product margin</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8"/>
        </w:trPr>
        <w:tc>
          <w:tcPr>
            <w:tcW w:w="8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revenue</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Service margin</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73 %</w:t>
            </w:r>
          </w:p>
        </w:tc>
      </w:tr>
    </w:tbl>
    <w:p>
      <w:pPr>
        <w:spacing w:after="0" w:line="254" w:lineRule="exact"/>
        <w:rPr>
          <w:sz w:val="20"/>
          <w:szCs w:val="20"/>
          <w:color w:val="auto"/>
        </w:rPr>
      </w:pPr>
    </w:p>
    <w:p>
      <w:pPr>
        <w:ind w:right="40" w:firstLine="425"/>
        <w:spacing w:after="0" w:line="319" w:lineRule="auto"/>
        <w:rPr>
          <w:sz w:val="20"/>
          <w:szCs w:val="20"/>
          <w:color w:val="auto"/>
        </w:rPr>
      </w:pPr>
      <w:r>
        <w:rPr>
          <w:rFonts w:ascii="Arial" w:cs="Arial" w:eastAsia="Arial" w:hAnsi="Arial"/>
          <w:sz w:val="15"/>
          <w:szCs w:val="15"/>
          <w:color w:val="auto"/>
        </w:rPr>
        <w:t>Cost of product revenue includes manufacturing costs incurred in the production process, including component materials, labor and overhead,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 Costs related to license revenue are included in research and development expense.</w:t>
      </w:r>
    </w:p>
    <w:p>
      <w:pPr>
        <w:spacing w:after="0" w:line="171" w:lineRule="exact"/>
        <w:rPr>
          <w:sz w:val="20"/>
          <w:szCs w:val="20"/>
          <w:color w:val="auto"/>
        </w:rPr>
      </w:pPr>
    </w:p>
    <w:p>
      <w:pPr>
        <w:ind w:right="20" w:firstLine="319"/>
        <w:spacing w:after="0" w:line="300" w:lineRule="auto"/>
        <w:rPr>
          <w:sz w:val="20"/>
          <w:szCs w:val="20"/>
          <w:color w:val="auto"/>
        </w:rPr>
      </w:pPr>
      <w:r>
        <w:rPr>
          <w:rFonts w:ascii="Arial" w:cs="Arial" w:eastAsia="Arial" w:hAnsi="Arial"/>
          <w:sz w:val="15"/>
          <w:szCs w:val="15"/>
          <w:color w:val="auto"/>
        </w:rPr>
        <w:t>Cost of product revenue decreased by $0.6 million, or 6%, to $10.2 million for the three months ended March 31, 2018, compared to the three months ended March 31, 2017. Overall cost of product revenue as a percentage of related revenue was 50% and 51% for the three months ended March 31, 2018, and 2017, respectively. Product margin increased by one percentage point compared to the same period in 2017, primarily due to decreased genomics unit product costs from increased production volumes, partially offset by fixed amortization of developed technology over lower revenues.</w:t>
      </w:r>
    </w:p>
    <w:p>
      <w:pPr>
        <w:spacing w:after="0" w:line="173" w:lineRule="exact"/>
        <w:rPr>
          <w:sz w:val="20"/>
          <w:szCs w:val="20"/>
          <w:color w:val="auto"/>
        </w:rPr>
      </w:pPr>
    </w:p>
    <w:p>
      <w:pPr>
        <w:ind w:right="80" w:firstLine="319"/>
        <w:spacing w:after="0" w:line="237" w:lineRule="auto"/>
        <w:rPr>
          <w:sz w:val="20"/>
          <w:szCs w:val="20"/>
          <w:color w:val="auto"/>
        </w:rPr>
      </w:pPr>
      <w:r>
        <w:rPr>
          <w:rFonts w:ascii="Arial" w:cs="Arial" w:eastAsia="Arial" w:hAnsi="Arial"/>
          <w:sz w:val="18"/>
          <w:szCs w:val="18"/>
          <w:color w:val="auto"/>
        </w:rPr>
        <w:t>Cost of service revenue increased by $0.5 million, or 43%, to $1.6 million for the three months ended March 31, 2018, compared to the three months ended March 31, 2017. Overall cost of service revenue as a percentage of related revenue was 33% and 27% for the three months ended March 31, 2018, and 2017, respectively. Service margins decreased five percentage points during the three months ended March 31, 2018, compared to the same period in 2017, primarily driven by increased labor and material costs.</w:t>
      </w:r>
    </w:p>
    <w:p>
      <w:pPr>
        <w:spacing w:after="0" w:line="218" w:lineRule="exact"/>
        <w:rPr>
          <w:sz w:val="20"/>
          <w:szCs w:val="20"/>
          <w:color w:val="auto"/>
        </w:rPr>
      </w:pPr>
    </w:p>
    <w:p>
      <w:pPr>
        <w:ind w:right="260" w:firstLine="319"/>
        <w:spacing w:after="0" w:line="250" w:lineRule="auto"/>
        <w:rPr>
          <w:sz w:val="20"/>
          <w:szCs w:val="20"/>
          <w:color w:val="auto"/>
        </w:rPr>
      </w:pPr>
      <w:r>
        <w:rPr>
          <w:rFonts w:ascii="Arial" w:cs="Arial" w:eastAsia="Arial" w:hAnsi="Arial"/>
          <w:sz w:val="18"/>
          <w:szCs w:val="18"/>
          <w:color w:val="auto"/>
        </w:rPr>
        <w:t>Our cost of product revenue and related product margin may fluctuate depending on the capacity utilization of our manufacturing facilities in response to market conditions and the demand for our products.</w:t>
      </w:r>
    </w:p>
    <w:p>
      <w:pPr>
        <w:sectPr>
          <w:pgSz w:w="11900" w:h="16838" w:orient="portrait"/>
          <w:cols w:equalWidth="0" w:num="1">
            <w:col w:w="11420"/>
          </w:cols>
          <w:pgMar w:left="240" w:top="127" w:right="239" w:bottom="1440" w:gutter="0" w:footer="0" w:header="0"/>
        </w:sectPr>
      </w:pP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operating expenses for the three months ended March 31, 2018, and 2017 (in thousands):</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92"/>
        </w:trPr>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37"/>
        </w:trPr>
        <w:tc>
          <w:tcPr>
            <w:tcW w:w="7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8,524</w:t>
            </w:r>
          </w:p>
        </w:tc>
      </w:tr>
      <w:tr>
        <w:trPr>
          <w:trHeight w:val="265"/>
        </w:trPr>
        <w:tc>
          <w:tcPr>
            <w:tcW w:w="7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22,576</w:t>
            </w:r>
          </w:p>
        </w:tc>
      </w:tr>
      <w:tr>
        <w:trPr>
          <w:trHeight w:val="28"/>
        </w:trPr>
        <w:tc>
          <w:tcPr>
            <w:tcW w:w="7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752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31,100</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7240270" cy="193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0270" cy="1936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-555625</wp:posOffset>
            </wp:positionV>
            <wp:extent cx="7240270" cy="177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0270" cy="177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Year-Over-Year</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Change</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70" w:lineRule="exact"/>
        <w:rPr>
          <w:sz w:val="20"/>
          <w:szCs w:val="20"/>
          <w:color w:val="auto"/>
        </w:rPr>
      </w:pPr>
    </w:p>
    <w:p>
      <w:pPr>
        <w:sectPr>
          <w:pgSz w:w="11900" w:h="16838" w:orient="portrait"/>
          <w:cols w:equalWidth="0" w:num="2">
            <w:col w:w="10100" w:space="220"/>
            <w:col w:w="1100"/>
          </w:cols>
          <w:pgMar w:left="240" w:top="127" w:right="239" w:bottom="1440" w:gutter="0" w:footer="0" w:header="0"/>
          <w:type w:val="continuous"/>
        </w:sectPr>
      </w:pP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1" w:lineRule="exact"/>
        <w:rPr>
          <w:sz w:val="20"/>
          <w:szCs w:val="20"/>
          <w:color w:val="auto"/>
        </w:rPr>
      </w:pPr>
    </w:p>
    <w:p>
      <w:pPr>
        <w:ind w:firstLine="319"/>
        <w:spacing w:after="0" w:line="237"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218" w:lineRule="exact"/>
        <w:rPr>
          <w:sz w:val="20"/>
          <w:szCs w:val="20"/>
          <w:color w:val="auto"/>
        </w:rPr>
      </w:pPr>
    </w:p>
    <w:p>
      <w:pPr>
        <w:ind w:right="220" w:firstLine="319"/>
        <w:spacing w:after="0" w:line="261" w:lineRule="auto"/>
        <w:rPr>
          <w:sz w:val="20"/>
          <w:szCs w:val="20"/>
          <w:color w:val="auto"/>
        </w:rPr>
      </w:pPr>
      <w:r>
        <w:rPr>
          <w:rFonts w:ascii="Arial" w:cs="Arial" w:eastAsia="Arial" w:hAnsi="Arial"/>
          <w:sz w:val="17"/>
          <w:szCs w:val="17"/>
          <w:color w:val="auto"/>
        </w:rPr>
        <w:t>Research and development expense decreased by $1.3 million, or 15%, to $7.3 million for the three months ended March 31, 2018, compared to the three months ended March 31, 2017. The decrease was primarily attributable to the implementation of our cost-savings initiatives in the first quarter of 2017, including headcount and compensation savings of $1.2 million for the three-month period ended March 31, 2018.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7"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1" w:lineRule="exact"/>
        <w:rPr>
          <w:sz w:val="20"/>
          <w:szCs w:val="20"/>
          <w:color w:val="auto"/>
        </w:rPr>
      </w:pPr>
    </w:p>
    <w:p>
      <w:pPr>
        <w:ind w:right="120" w:firstLine="319"/>
        <w:spacing w:after="0" w:line="250"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206" w:lineRule="exact"/>
        <w:rPr>
          <w:sz w:val="20"/>
          <w:szCs w:val="20"/>
          <w:color w:val="auto"/>
        </w:rPr>
      </w:pPr>
    </w:p>
    <w:p>
      <w:pPr>
        <w:ind w:right="60" w:firstLine="319"/>
        <w:spacing w:after="0"/>
        <w:rPr>
          <w:sz w:val="20"/>
          <w:szCs w:val="20"/>
          <w:color w:val="auto"/>
        </w:rPr>
      </w:pPr>
      <w:r>
        <w:rPr>
          <w:rFonts w:ascii="Arial" w:cs="Arial" w:eastAsia="Arial" w:hAnsi="Arial"/>
          <w:sz w:val="18"/>
          <w:szCs w:val="18"/>
          <w:color w:val="auto"/>
        </w:rPr>
        <w:t>Selling, general and administrative expense decreased $3.8 million, or 17%, to $18.8 million for the three months ended March 31, 2018, compared to the three months ended March 31, 2017. This decrease was primarily due to the implementation of our cost-savings initiatives in the first quarter of 2017, including headcount and compensation savings of $2.8 million, and infrastructure and facilities savings of $0.8 million.</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the three months ended March 31, 2018, and 2017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216"/>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Year-Over-Year</w:t>
            </w:r>
          </w:p>
        </w:tc>
      </w:tr>
      <w:tr>
        <w:trPr>
          <w:trHeight w:val="192"/>
        </w:trPr>
        <w:tc>
          <w:tcPr>
            <w:tcW w:w="75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44"/>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CCEEFF"/>
            </w:tcBorders>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30%</w:t>
            </w:r>
          </w:p>
        </w:tc>
      </w:tr>
      <w:tr>
        <w:trPr>
          <w:trHeight w:val="238"/>
        </w:trPr>
        <w:tc>
          <w:tcPr>
            <w:tcW w:w="75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93"/>
              </w:rPr>
              <w:t>922</w:t>
            </w:r>
          </w:p>
        </w:tc>
      </w:tr>
      <w:tr>
        <w:trPr>
          <w:trHeight w:val="28"/>
        </w:trPr>
        <w:tc>
          <w:tcPr>
            <w:tcW w:w="75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3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ind w:right="320" w:firstLine="389"/>
        <w:spacing w:after="0" w:line="255" w:lineRule="auto"/>
        <w:rPr>
          <w:sz w:val="20"/>
          <w:szCs w:val="20"/>
          <w:color w:val="auto"/>
        </w:rPr>
      </w:pPr>
      <w:r>
        <w:rPr>
          <w:rFonts w:ascii="Arial" w:cs="Arial" w:eastAsia="Arial" w:hAnsi="Arial"/>
          <w:sz w:val="18"/>
          <w:szCs w:val="18"/>
          <w:color w:val="auto"/>
        </w:rPr>
        <w:t>In February 2014, we issued $201.3 million aggregate principal amount of our 2.75% 2014 Notes due 2034. The 2014 Notes accrue interest at a rate of 2.75% per year, payable semi-annually in arrears on February 1 and August 1 of each year. The 2014 Notes will mature on February 1, 2034, unless earlier converted, redeemed, or repurchased in accordance with the terms of the Notes.</w:t>
      </w:r>
    </w:p>
    <w:p>
      <w:pPr>
        <w:spacing w:after="0" w:line="216" w:lineRule="exact"/>
        <w:rPr>
          <w:sz w:val="20"/>
          <w:szCs w:val="20"/>
          <w:color w:val="auto"/>
        </w:rPr>
      </w:pPr>
    </w:p>
    <w:p>
      <w:pPr>
        <w:ind w:right="60" w:firstLine="319"/>
        <w:spacing w:after="0" w:line="237" w:lineRule="auto"/>
        <w:rPr>
          <w:sz w:val="20"/>
          <w:szCs w:val="20"/>
          <w:color w:val="auto"/>
        </w:rPr>
      </w:pPr>
      <w:r>
        <w:rPr>
          <w:rFonts w:ascii="Arial" w:cs="Arial" w:eastAsia="Arial" w:hAnsi="Arial"/>
          <w:sz w:val="18"/>
          <w:szCs w:val="18"/>
          <w:color w:val="auto"/>
        </w:rPr>
        <w:t>In March 2018, we entered into separate privately negotiated transactions with certain holders of our 2014 Notes to exchange approximately $150.0 million in aggregate principal amount of the 2014 Notes. The 2018 Notes accrue interest at a rate of 2.75%, payable semi-annually in arrears on February 1 and August 1 of each year. Interest on the 2018 Notes will accrue from February 1, 2018. The 2018 Notes will mature on February 1, 2034, unless earlier converted, redeemed, or repurchased in accordance with the terms of the 2018 Notes.</w:t>
      </w:r>
    </w:p>
    <w:p>
      <w:pPr>
        <w:spacing w:after="0" w:line="218" w:lineRule="exact"/>
        <w:rPr>
          <w:sz w:val="20"/>
          <w:szCs w:val="20"/>
          <w:color w:val="auto"/>
        </w:rPr>
      </w:pPr>
    </w:p>
    <w:p>
      <w:pPr>
        <w:ind w:right="60" w:firstLine="319"/>
        <w:spacing w:after="0" w:line="300" w:lineRule="auto"/>
        <w:rPr>
          <w:sz w:val="20"/>
          <w:szCs w:val="20"/>
          <w:color w:val="auto"/>
        </w:rPr>
      </w:pPr>
      <w:r>
        <w:rPr>
          <w:rFonts w:ascii="Arial" w:cs="Arial" w:eastAsia="Arial" w:hAnsi="Arial"/>
          <w:sz w:val="15"/>
          <w:szCs w:val="15"/>
          <w:color w:val="auto"/>
        </w:rPr>
        <w:t>Interest expense was $1.9 million for the three months ended March 31, 2018, and $1.5 million for the three months ended March 31, 2017. The increase in interest expense during the three months ended March 31, 2018, was due to additional amortization of the debt discount, debt issuance costs, and premium accretion associated with the 2018 Notes. We expect our interest expense to increase by approximately $2.5 million in the second quarter primarily due to the additional debt discount amortization, debt issuance cost amortization, and premium accretion associated with the 2018 Notes.</w:t>
      </w:r>
    </w:p>
    <w:p>
      <w:pPr>
        <w:spacing w:after="0" w:line="133" w:lineRule="exact"/>
        <w:rPr>
          <w:sz w:val="20"/>
          <w:szCs w:val="20"/>
          <w:color w:val="auto"/>
        </w:rPr>
      </w:pPr>
    </w:p>
    <w:p>
      <w:pPr>
        <w:ind w:right="20" w:firstLine="319"/>
        <w:spacing w:after="0" w:line="348" w:lineRule="auto"/>
        <w:rPr>
          <w:sz w:val="20"/>
          <w:szCs w:val="20"/>
          <w:color w:val="auto"/>
        </w:rPr>
      </w:pPr>
      <w:r>
        <w:rPr>
          <w:rFonts w:ascii="Arial" w:cs="Arial" w:eastAsia="Arial" w:hAnsi="Arial"/>
          <w:sz w:val="15"/>
          <w:szCs w:val="15"/>
          <w:color w:val="auto"/>
        </w:rPr>
        <w:t>Other income decreased by $0.1 million for the three months ended March 31, 2018 compared to the three months ended March 31, 2017, mainly due to the net effects of foreign exchange rate changes during the three months ended March 31, 2018 compared to the three months ended March 31, 2017.</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Benefit from Income Taxes</w:t>
      </w:r>
    </w:p>
    <w:p>
      <w:pPr>
        <w:spacing w:after="0" w:line="231" w:lineRule="exact"/>
        <w:rPr>
          <w:sz w:val="20"/>
          <w:szCs w:val="20"/>
          <w:color w:val="auto"/>
        </w:rPr>
      </w:pPr>
    </w:p>
    <w:p>
      <w:pPr>
        <w:ind w:right="100" w:firstLine="319"/>
        <w:spacing w:after="0" w:line="300" w:lineRule="auto"/>
        <w:rPr>
          <w:sz w:val="20"/>
          <w:szCs w:val="20"/>
          <w:color w:val="auto"/>
        </w:rPr>
      </w:pPr>
      <w:r>
        <w:rPr>
          <w:rFonts w:ascii="Arial" w:cs="Arial" w:eastAsia="Arial" w:hAnsi="Arial"/>
          <w:sz w:val="15"/>
          <w:szCs w:val="15"/>
          <w:color w:val="auto"/>
        </w:rPr>
        <w:t>We recorded a tax benefit of $1.2 million and $1.8 million for the three months ended March 31, 2018 and 2017, respectively. The tax benefit for the three months ended March 31, 2018 and 2017 was primarily attributable to the amortization of our acquisition-related deferred tax liability and losses from Canadian operations, partially offset by a tax provision and discrete tax items from our other foreign operations. The decrease in benefit from income taxes for the three months ended March 31, 2018 compared to the three months ended March 31, 2017 was mainly driven by reduced losses from our Canadian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Sources of Liquidity</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2018, our principal sources of liquidity consisted of $42.0 million of cash and cash equivalents and $5.3 million of short-term investments.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our working capital excluding deferred revenue was $57.9 million.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7"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 March 31,</w:t>
            </w:r>
          </w:p>
        </w:tc>
      </w:tr>
      <w:tr>
        <w:trPr>
          <w:trHeight w:val="192"/>
        </w:trPr>
        <w:tc>
          <w:tcPr>
            <w:tcW w:w="8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8"/>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8"/>
        </w:trPr>
        <w:tc>
          <w:tcPr>
            <w:tcW w:w="854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9,052</w:t>
            </w:r>
          </w:p>
        </w:tc>
      </w:tr>
    </w:tbl>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44" w:lineRule="exact"/>
        <w:rPr>
          <w:sz w:val="20"/>
          <w:szCs w:val="20"/>
          <w:color w:val="auto"/>
        </w:rPr>
      </w:pPr>
    </w:p>
    <w:p>
      <w:pPr>
        <w:ind w:right="60" w:firstLine="425"/>
        <w:spacing w:after="0" w:line="319" w:lineRule="auto"/>
        <w:rPr>
          <w:sz w:val="20"/>
          <w:szCs w:val="20"/>
          <w:color w:val="auto"/>
        </w:rPr>
      </w:pPr>
      <w:r>
        <w:rPr>
          <w:rFonts w:ascii="Arial" w:cs="Arial" w:eastAsia="Arial" w:hAnsi="Arial"/>
          <w:sz w:val="15"/>
          <w:szCs w:val="15"/>
          <w:color w:val="auto"/>
        </w:rPr>
        <w:t>We derive cash flows from operations primarily from cash collected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In the first quarter of 2017, we implemented efficiency and cost-savings initiatives and we expect these initiatives to reduce our operating expenses in 2018 compared to 2017.</w:t>
      </w:r>
    </w:p>
    <w:p>
      <w:pPr>
        <w:spacing w:after="0" w:line="171" w:lineRule="exact"/>
        <w:rPr>
          <w:sz w:val="20"/>
          <w:szCs w:val="20"/>
          <w:color w:val="auto"/>
        </w:rPr>
      </w:pPr>
    </w:p>
    <w:p>
      <w:pPr>
        <w:ind w:right="100" w:firstLine="425"/>
        <w:spacing w:after="0" w:line="250" w:lineRule="auto"/>
        <w:rPr>
          <w:sz w:val="20"/>
          <w:szCs w:val="20"/>
          <w:color w:val="auto"/>
        </w:rPr>
      </w:pPr>
      <w:r>
        <w:rPr>
          <w:rFonts w:ascii="Arial" w:cs="Arial" w:eastAsia="Arial" w:hAnsi="Arial"/>
          <w:sz w:val="18"/>
          <w:szCs w:val="18"/>
          <w:color w:val="auto"/>
        </w:rPr>
        <w:t>Net cash used in operating activities for the three months ended March 31, 2018 was $16.2 million, and consisted of a net loss of $13.2 million, adjusted for non-cash adjustments of $6.5 million and net change in assets and liabilities of $9.4 million. Non-cash items included amortization of developed technology of $2.8 million, stock-based compensation expense of $1.7 million, depreciation and amortization of $2.0 million, and a gain from other non-cash items of $0.1 million. The net change in assets and liabilities included an increase in inventory of $0.5 million, an increase in other assets of $0.5 million, an increase in accounts payable of $1.0 million, an increase in deferred revenue of $0.7 million, and an increase in accounts receivable of $1.3 million, partially offset by a decrease in other liabilities of $8.8 million.</w:t>
      </w:r>
    </w:p>
    <w:p>
      <w:pPr>
        <w:spacing w:after="0" w:line="220" w:lineRule="exact"/>
        <w:rPr>
          <w:sz w:val="20"/>
          <w:szCs w:val="20"/>
          <w:color w:val="auto"/>
        </w:rPr>
      </w:pPr>
    </w:p>
    <w:p>
      <w:pPr>
        <w:ind w:right="100" w:firstLine="319"/>
        <w:spacing w:after="0" w:line="235" w:lineRule="auto"/>
        <w:rPr>
          <w:sz w:val="20"/>
          <w:szCs w:val="20"/>
          <w:color w:val="auto"/>
        </w:rPr>
      </w:pPr>
      <w:r>
        <w:rPr>
          <w:rFonts w:ascii="Arial" w:cs="Arial" w:eastAsia="Arial" w:hAnsi="Arial"/>
          <w:sz w:val="18"/>
          <w:szCs w:val="18"/>
          <w:color w:val="auto"/>
        </w:rPr>
        <w:t>Net cash used in operating activities for the three months ended March 31, 2017, was $8.5 million, and consisted of a net loss of $17.2 million, adjusted for non-cash adjustments of $7.1 million, and a net change in assets and liabilities of $1.6 million. Non-cash items included stock-based compensation expense of $2.4 million, amortization of developed technology of $2.8 million, depreciation and amortization of $2.0 million, and a loss from other non-cash items of $0.1 million. The net change in assets and liabilities was primarily driven by an increase in deferred revenue of $0.8 million, an increase in accounts payable of $0.2 million, an increase in other liabilities of $0.2 million, a decrease in inventory of $0.4 million, and a decrease in accounts receivable of $0.2 million, partially offset by an increase in other assets of $0.2 million.</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58" w:lineRule="exact"/>
        <w:rPr>
          <w:sz w:val="20"/>
          <w:szCs w:val="20"/>
          <w:color w:val="auto"/>
        </w:rPr>
      </w:pPr>
    </w:p>
    <w:p>
      <w:pPr>
        <w:ind w:right="180" w:firstLine="319"/>
        <w:spacing w:after="0" w:line="236"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as a result of our efficiency and cost-savings initiatives, we may decrease or defer certain capital expenditures and development activities while further optimizing our organization.</w:t>
      </w:r>
    </w:p>
    <w:p>
      <w:pPr>
        <w:spacing w:after="0" w:line="217" w:lineRule="exact"/>
        <w:rPr>
          <w:sz w:val="20"/>
          <w:szCs w:val="20"/>
          <w:color w:val="auto"/>
        </w:rPr>
      </w:pPr>
    </w:p>
    <w:p>
      <w:pPr>
        <w:ind w:right="620" w:firstLine="319"/>
        <w:spacing w:after="0" w:line="250" w:lineRule="auto"/>
        <w:rPr>
          <w:sz w:val="20"/>
          <w:szCs w:val="20"/>
          <w:color w:val="auto"/>
        </w:rPr>
      </w:pPr>
      <w:r>
        <w:rPr>
          <w:rFonts w:ascii="Arial" w:cs="Arial" w:eastAsia="Arial" w:hAnsi="Arial"/>
          <w:sz w:val="18"/>
          <w:szCs w:val="18"/>
          <w:color w:val="auto"/>
        </w:rPr>
        <w:t>Net cash used in investing activities was $0.3 million during the three months ended March 31, 2018. Net cash used in investing activities primarily consisted purchases of investments of $0.2 million and capital expenditures of $0.1 million.</w:t>
      </w:r>
    </w:p>
    <w:p>
      <w:pPr>
        <w:spacing w:after="0" w:line="206" w:lineRule="exact"/>
        <w:rPr>
          <w:sz w:val="20"/>
          <w:szCs w:val="20"/>
          <w:color w:val="auto"/>
        </w:rPr>
      </w:pPr>
    </w:p>
    <w:p>
      <w:pPr>
        <w:ind w:firstLine="319"/>
        <w:spacing w:after="0"/>
        <w:rPr>
          <w:sz w:val="20"/>
          <w:szCs w:val="20"/>
          <w:color w:val="auto"/>
        </w:rPr>
      </w:pPr>
      <w:r>
        <w:rPr>
          <w:rFonts w:ascii="Arial" w:cs="Arial" w:eastAsia="Arial" w:hAnsi="Arial"/>
          <w:sz w:val="18"/>
          <w:szCs w:val="18"/>
          <w:color w:val="auto"/>
        </w:rPr>
        <w:t>Net cash provided by investing activities was $17.5 million during the three months ended March 31, 2017. Net cash provided by investing activities primarily consisted of $19.4 million of proceeds from sales and maturities of investments, partially offset by purchases of investments of $1.2 million and capital expenditures of $0.7 million.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significant financing activities for the three months ended March 31, 2018, or March 31, 2017.</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March 31, 2018, our working capital excluding deferred revenue was $57.9 million, which includes cash, cash</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equivalents, and short-term investments of $47.3 million.</w:t>
      </w:r>
    </w:p>
    <w:p>
      <w:pPr>
        <w:spacing w:after="0" w:line="244" w:lineRule="exact"/>
        <w:rPr>
          <w:sz w:val="20"/>
          <w:szCs w:val="20"/>
          <w:color w:val="auto"/>
        </w:rPr>
      </w:pPr>
    </w:p>
    <w:p>
      <w:pPr>
        <w:ind w:right="200" w:firstLine="319"/>
        <w:spacing w:after="0" w:line="295" w:lineRule="auto"/>
        <w:rPr>
          <w:sz w:val="20"/>
          <w:szCs w:val="20"/>
          <w:color w:val="auto"/>
        </w:rPr>
      </w:pPr>
      <w:r>
        <w:rPr>
          <w:rFonts w:ascii="Arial" w:cs="Arial" w:eastAsia="Arial" w:hAnsi="Arial"/>
          <w:sz w:val="17"/>
          <w:szCs w:val="17"/>
          <w:color w:val="auto"/>
        </w:rPr>
        <w:t>On August 10, 2017, we sold $9.1 million shares of our common stock through an “at-the-market” equity offering program, for aggregate net proceeds of approximately $28.8 million. We plan to use the net proceeds from this offering for general corporate purposes and working capital.</w:t>
      </w:r>
    </w:p>
    <w:p>
      <w:pPr>
        <w:spacing w:after="0" w:line="183" w:lineRule="exact"/>
        <w:rPr>
          <w:sz w:val="20"/>
          <w:szCs w:val="20"/>
          <w:color w:val="auto"/>
        </w:rPr>
      </w:pPr>
    </w:p>
    <w:p>
      <w:pPr>
        <w:ind w:right="80" w:firstLine="319"/>
        <w:spacing w:after="0"/>
        <w:rPr>
          <w:sz w:val="20"/>
          <w:szCs w:val="20"/>
          <w:color w:val="auto"/>
        </w:rPr>
      </w:pPr>
      <w:r>
        <w:rPr>
          <w:rFonts w:ascii="Arial" w:cs="Arial" w:eastAsia="Arial" w:hAnsi="Arial"/>
          <w:sz w:val="18"/>
          <w:szCs w:val="18"/>
          <w:color w:val="auto"/>
        </w:rPr>
        <w:t>As of March 31, 2018, we have an effective shelf registration statement on file with the Securities and Exchange Commission (SEC) that allows us to issue certain securities from time to time in one or more offerings up to an aggregate offering price of $95 million, after subtracting our $30 million “at-the-market” equity offering program completed in 2017.</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Each issuance under the shelf registration will require us to file a prospectus supplement identifying the amount and terms of the securities to be issued.</w:t>
      </w:r>
    </w:p>
    <w:p>
      <w:pPr>
        <w:spacing w:after="0" w:line="266" w:lineRule="exact"/>
        <w:rPr>
          <w:sz w:val="20"/>
          <w:szCs w:val="20"/>
          <w:color w:val="auto"/>
        </w:rPr>
      </w:pPr>
    </w:p>
    <w:p>
      <w:pPr>
        <w:ind w:right="180" w:firstLine="319"/>
        <w:spacing w:after="0" w:line="237" w:lineRule="auto"/>
        <w:rPr>
          <w:sz w:val="20"/>
          <w:szCs w:val="20"/>
          <w:color w:val="auto"/>
        </w:rPr>
      </w:pPr>
      <w:r>
        <w:rPr>
          <w:rFonts w:ascii="Arial" w:cs="Arial" w:eastAsia="Arial" w:hAnsi="Arial"/>
          <w:sz w:val="18"/>
          <w:szCs w:val="18"/>
          <w:color w:val="auto"/>
        </w:rPr>
        <w:t>As discussed above under Recent Developments, during March 2018, we exchanged approximately $150.0 million in aggregate principal amount of our 2014 Notes for approximately $150.0 million in aggregate principal amount of our new 2018 Notes in a series of privately negotiated transactions with certain holders of our 2018 Notes. Following the exchanges, approximately $51.3 million aggregate principal amount of the 2014 Notes remain outstanding. See Footnote 4. Convertible Notes for additional information about the exchanges.</w:t>
      </w:r>
    </w:p>
    <w:p>
      <w:pPr>
        <w:spacing w:after="0" w:line="218" w:lineRule="exact"/>
        <w:rPr>
          <w:sz w:val="20"/>
          <w:szCs w:val="20"/>
          <w:color w:val="auto"/>
        </w:rPr>
      </w:pPr>
    </w:p>
    <w:p>
      <w:pPr>
        <w:ind w:firstLine="319"/>
        <w:spacing w:after="0" w:line="286" w:lineRule="auto"/>
        <w:rPr>
          <w:sz w:val="20"/>
          <w:szCs w:val="20"/>
          <w:color w:val="auto"/>
        </w:rPr>
      </w:pPr>
      <w:r>
        <w:rPr>
          <w:rFonts w:ascii="Arial" w:cs="Arial" w:eastAsia="Arial" w:hAnsi="Arial"/>
          <w:sz w:val="15"/>
          <w:szCs w:val="15"/>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387" w:lineRule="exact"/>
        <w:rPr>
          <w:sz w:val="20"/>
          <w:szCs w:val="20"/>
          <w:color w:val="auto"/>
        </w:rPr>
      </w:pPr>
    </w:p>
    <w:p>
      <w:pPr>
        <w:ind w:firstLine="319"/>
        <w:spacing w:after="0" w:line="23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218" w:lineRule="exact"/>
        <w:rPr>
          <w:sz w:val="20"/>
          <w:szCs w:val="20"/>
          <w:color w:val="auto"/>
        </w:rPr>
      </w:pPr>
    </w:p>
    <w:p>
      <w:pPr>
        <w:ind w:right="280" w:firstLine="319"/>
        <w:spacing w:after="0" w:line="236" w:lineRule="auto"/>
        <w:rPr>
          <w:sz w:val="20"/>
          <w:szCs w:val="20"/>
          <w:color w:val="auto"/>
        </w:rPr>
      </w:pPr>
      <w:r>
        <w:rPr>
          <w:rFonts w:ascii="Arial" w:cs="Arial" w:eastAsia="Arial" w:hAnsi="Arial"/>
          <w:sz w:val="18"/>
          <w:szCs w:val="18"/>
          <w:color w:val="auto"/>
        </w:rPr>
        <w:t>Due to our revenue decline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included targeted workforce reductions, optimizing our facilities, and reducing excess space. In 2017, we focused on right-sizing our workforce, facilities consolidation, vendor negotiation, and other operating expense reductions. Our operating expenses decreased by $21.3 million, or 16%, to $110.3 million for 2017 compared to $131.6 million for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ind w:right="340" w:firstLine="425"/>
        <w:spacing w:after="0" w:line="265" w:lineRule="auto"/>
        <w:rPr>
          <w:sz w:val="20"/>
          <w:szCs w:val="20"/>
          <w:color w:val="auto"/>
        </w:rPr>
      </w:pPr>
      <w:r>
        <w:rPr>
          <w:rFonts w:ascii="Arial" w:cs="Arial" w:eastAsia="Arial" w:hAnsi="Arial"/>
          <w:sz w:val="18"/>
          <w:szCs w:val="18"/>
          <w:color w:val="auto"/>
        </w:rPr>
        <w:t>As of March 31, 2018, we did not have any off-balance sheet arrangements as defined in Item 303(a)(4) of the Securities and Exchange Commission's Regulation S-K.</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0" w:lineRule="exact"/>
        <w:rPr>
          <w:sz w:val="20"/>
          <w:szCs w:val="20"/>
          <w:color w:val="auto"/>
        </w:rPr>
      </w:pPr>
    </w:p>
    <w:p>
      <w:pPr>
        <w:ind w:right="140" w:firstLine="319"/>
        <w:spacing w:after="0" w:line="265" w:lineRule="auto"/>
        <w:rPr>
          <w:sz w:val="20"/>
          <w:szCs w:val="20"/>
          <w:color w:val="auto"/>
        </w:rPr>
      </w:pPr>
      <w:r>
        <w:rPr>
          <w:rFonts w:ascii="Arial" w:cs="Arial" w:eastAsia="Arial" w:hAnsi="Arial"/>
          <w:sz w:val="18"/>
          <w:szCs w:val="18"/>
          <w:color w:val="auto"/>
        </w:rPr>
        <w:t>Our operating lease obligations include a lease for our current headquarters and leases for manufacturing, laboratory, warehousing and office space for our foreign subsidiaries. Please see Note 7 to the financial statements for our lease obligations.</w:t>
      </w:r>
    </w:p>
    <w:p>
      <w:pPr>
        <w:spacing w:after="0" w:line="207" w:lineRule="exact"/>
        <w:rPr>
          <w:sz w:val="20"/>
          <w:szCs w:val="20"/>
          <w:color w:val="auto"/>
        </w:rPr>
      </w:pPr>
    </w:p>
    <w:p>
      <w:pPr>
        <w:ind w:right="120" w:firstLine="319"/>
        <w:spacing w:after="0" w:line="265" w:lineRule="auto"/>
        <w:rPr>
          <w:sz w:val="20"/>
          <w:szCs w:val="20"/>
          <w:color w:val="auto"/>
        </w:rPr>
      </w:pPr>
      <w:r>
        <w:rPr>
          <w:rFonts w:ascii="Arial" w:cs="Arial" w:eastAsia="Arial" w:hAnsi="Arial"/>
          <w:sz w:val="18"/>
          <w:szCs w:val="18"/>
          <w:color w:val="auto"/>
        </w:rPr>
        <w:t>Other than as disclosed above, there have been no material changes during the three months ended March 31, 2018 to our contractual obligations disclosed in our “Management’s Discussion and Analysis of Financial Condition and Results of</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7"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Operations” included in our Annual Report on Form 10-K for the year ended December 31, 2017.</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0" w:lineRule="exact"/>
        <w:rPr>
          <w:sz w:val="20"/>
          <w:szCs w:val="20"/>
          <w:color w:val="auto"/>
        </w:rPr>
      </w:pPr>
    </w:p>
    <w:p>
      <w:pPr>
        <w:ind w:right="160" w:firstLine="425"/>
        <w:spacing w:after="0" w:line="255"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4" w:lineRule="exact"/>
        <w:rPr>
          <w:sz w:val="20"/>
          <w:szCs w:val="20"/>
          <w:color w:val="auto"/>
        </w:rPr>
      </w:pPr>
    </w:p>
    <w:p>
      <w:pPr>
        <w:ind w:right="20" w:firstLine="425"/>
        <w:spacing w:after="0" w:line="303" w:lineRule="auto"/>
        <w:rPr>
          <w:sz w:val="20"/>
          <w:szCs w:val="20"/>
          <w:color w:val="auto"/>
        </w:rPr>
      </w:pPr>
      <w:r>
        <w:rPr>
          <w:rFonts w:ascii="Arial" w:cs="Arial" w:eastAsia="Arial" w:hAnsi="Arial"/>
          <w:sz w:val="15"/>
          <w:szCs w:val="15"/>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each of the three months ended March 31, 2018 and March 31, 2017 our foreign currency loss was $0.1 million.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3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4" w:lineRule="exact"/>
        <w:rPr>
          <w:sz w:val="20"/>
          <w:szCs w:val="20"/>
          <w:color w:val="auto"/>
        </w:rPr>
      </w:pPr>
    </w:p>
    <w:p>
      <w:pPr>
        <w:ind w:firstLine="425"/>
        <w:spacing w:after="0" w:line="267" w:lineRule="auto"/>
        <w:rPr>
          <w:sz w:val="20"/>
          <w:szCs w:val="20"/>
          <w:color w:val="auto"/>
        </w:rPr>
      </w:pPr>
      <w:r>
        <w:rPr>
          <w:rFonts w:ascii="Arial" w:cs="Arial" w:eastAsia="Arial" w:hAnsi="Arial"/>
          <w:sz w:val="17"/>
          <w:szCs w:val="17"/>
          <w:color w:val="auto"/>
        </w:rPr>
        <w:t>We had cash and cash equivalents of $42.0 million at March 31, 2018. These amounts were held primarily in cash on deposit with banks, treasury bills and money market funds which are short-term. We had $5.3 million in investments at March 31, 2018, held primarily in U.S. government and agency securities with contractual maturity dates that are within one year from March 31, 2018. Cash and cash equivalents and investments are held for working capital purposes. Due to the short-term nature of these investments, we believe that we do not have any material exposure to changes in the fair value of our investment portfolio due to changes in interest rates. Declines in interest rates, however, will reduce future investment income. If overall interest rates had decreased by 10% during the periods presented, our interest income would not have been materially affected.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4" w:lineRule="exact"/>
        <w:rPr>
          <w:sz w:val="20"/>
          <w:szCs w:val="20"/>
          <w:color w:val="auto"/>
        </w:rPr>
      </w:pPr>
    </w:p>
    <w:p>
      <w:pPr>
        <w:ind w:right="360" w:firstLine="425"/>
        <w:spacing w:after="0" w:line="265"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4" w:lineRule="exact"/>
        <w:rPr>
          <w:sz w:val="20"/>
          <w:szCs w:val="20"/>
          <w:color w:val="auto"/>
        </w:rPr>
      </w:pPr>
    </w:p>
    <w:p>
      <w:pPr>
        <w:ind w:right="40" w:firstLine="425"/>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March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2018,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4" w:lineRule="exact"/>
        <w:rPr>
          <w:sz w:val="20"/>
          <w:szCs w:val="20"/>
          <w:color w:val="auto"/>
        </w:rPr>
      </w:pPr>
    </w:p>
    <w:p>
      <w:pPr>
        <w:ind w:right="100" w:firstLine="425"/>
        <w:spacing w:after="0" w:line="265"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2018 that have materially affected, or are reasonably likely to materially affect, our internal control over financial reporting.</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44" w:lineRule="exact"/>
        <w:rPr>
          <w:sz w:val="20"/>
          <w:szCs w:val="20"/>
          <w:color w:val="auto"/>
        </w:rPr>
      </w:pPr>
    </w:p>
    <w:p>
      <w:pPr>
        <w:ind w:firstLine="425"/>
        <w:spacing w:after="0" w:line="251"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240" w:top="127"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ind w:right="200" w:firstLine="389"/>
        <w:spacing w:after="0" w:line="251" w:lineRule="auto"/>
        <w:rPr>
          <w:sz w:val="20"/>
          <w:szCs w:val="20"/>
          <w:color w:val="auto"/>
        </w:rPr>
      </w:pPr>
      <w:r>
        <w:rPr>
          <w:rFonts w:ascii="Arial" w:cs="Arial" w:eastAsia="Arial" w:hAnsi="Arial"/>
          <w:sz w:val="18"/>
          <w:szCs w:val="18"/>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ind w:right="40" w:firstLine="425"/>
        <w:spacing w:after="0" w:line="252"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44" w:lineRule="exact"/>
        <w:rPr>
          <w:sz w:val="20"/>
          <w:szCs w:val="20"/>
          <w:color w:val="auto"/>
        </w:rPr>
      </w:pPr>
    </w:p>
    <w:p>
      <w:pPr>
        <w:ind w:right="260"/>
        <w:spacing w:after="0" w:line="302"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78" w:lineRule="exact"/>
        <w:rPr>
          <w:sz w:val="20"/>
          <w:szCs w:val="20"/>
          <w:color w:val="auto"/>
        </w:rPr>
      </w:pPr>
    </w:p>
    <w:p>
      <w:pPr>
        <w:ind w:right="280" w:firstLine="389"/>
        <w:spacing w:after="0" w:line="255" w:lineRule="auto"/>
        <w:rPr>
          <w:sz w:val="20"/>
          <w:szCs w:val="20"/>
          <w:color w:val="auto"/>
        </w:rPr>
      </w:pPr>
      <w:r>
        <w:rPr>
          <w:rFonts w:ascii="Arial" w:cs="Arial" w:eastAsia="Arial" w:hAnsi="Arial"/>
          <w:sz w:val="18"/>
          <w:szCs w:val="18"/>
          <w:color w:val="auto"/>
        </w:rPr>
        <w:t>Our total revenue was $101.9 million in 2017, $104.4 million in 2016, and $114.7 million in 2015.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216" w:lineRule="exact"/>
        <w:rPr>
          <w:sz w:val="20"/>
          <w:szCs w:val="20"/>
          <w:color w:val="auto"/>
        </w:rPr>
      </w:pPr>
    </w:p>
    <w:p>
      <w:pPr>
        <w:ind w:firstLine="425"/>
        <w:spacing w:after="0" w:line="299" w:lineRule="auto"/>
        <w:rPr>
          <w:sz w:val="20"/>
          <w:szCs w:val="20"/>
          <w:color w:val="auto"/>
        </w:rPr>
      </w:pPr>
      <w:r>
        <w:rPr>
          <w:rFonts w:ascii="Arial" w:cs="Arial" w:eastAsia="Arial" w:hAnsi="Arial"/>
          <w:sz w:val="15"/>
          <w:szCs w:val="15"/>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However, sales increased slightly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quarters ended September 30, 2017, June 30, 2017, March 31, 2017, September 30, 2016, June 30, 2016 and September 30, 2015, and for the years ended December 31, 2017,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425"/>
        <w:spacing w:after="0" w:line="265"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50" w:lineRule="exact"/>
        <w:rPr>
          <w:sz w:val="20"/>
          <w:szCs w:val="20"/>
          <w:color w:val="auto"/>
        </w:rPr>
      </w:pPr>
    </w:p>
    <w:p>
      <w:pPr>
        <w:ind w:right="140" w:firstLine="389"/>
        <w:spacing w:after="0" w:line="269" w:lineRule="auto"/>
        <w:rPr>
          <w:sz w:val="20"/>
          <w:szCs w:val="20"/>
          <w:color w:val="auto"/>
        </w:rPr>
      </w:pPr>
      <w:r>
        <w:rPr>
          <w:rFonts w:ascii="Arial" w:cs="Arial" w:eastAsia="Arial" w:hAnsi="Arial"/>
          <w:sz w:val="17"/>
          <w:szCs w:val="17"/>
          <w:color w:val="auto"/>
        </w:rPr>
        <w:t>We have incurred significant losses in each fiscal year since our inception, including net losses of $13.2 million during the three months ended March 31, 2018, and net losses of $60.5 million and $76.0 million for the years ended December 31, 2017 and 2016, respectively. As of March 31, 2018, we had an accumulated deficit of $513.1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205" w:lineRule="exact"/>
        <w:rPr>
          <w:sz w:val="20"/>
          <w:szCs w:val="20"/>
          <w:color w:val="auto"/>
        </w:rPr>
      </w:pPr>
    </w:p>
    <w:p>
      <w:pPr>
        <w:ind w:firstLine="389"/>
        <w:spacing w:after="0" w:line="304" w:lineRule="auto"/>
        <w:rPr>
          <w:sz w:val="20"/>
          <w:szCs w:val="20"/>
          <w:color w:val="auto"/>
        </w:rPr>
      </w:pPr>
      <w:r>
        <w:rPr>
          <w:rFonts w:ascii="Arial" w:cs="Arial" w:eastAsia="Arial" w:hAnsi="Arial"/>
          <w:sz w:val="15"/>
          <w:szCs w:val="15"/>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our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396" w:lineRule="exact"/>
        <w:rPr>
          <w:sz w:val="20"/>
          <w:szCs w:val="20"/>
          <w:color w:val="auto"/>
        </w:rPr>
      </w:pPr>
    </w:p>
    <w:p>
      <w:pPr>
        <w:ind w:firstLine="389"/>
        <w:spacing w:after="0" w:line="250"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220" w:lineRule="exact"/>
        <w:rPr>
          <w:sz w:val="20"/>
          <w:szCs w:val="20"/>
          <w:color w:val="auto"/>
        </w:rPr>
      </w:pPr>
    </w:p>
    <w:p>
      <w:pPr>
        <w:ind w:firstLine="389"/>
        <w:spacing w:after="0" w:line="301" w:lineRule="auto"/>
        <w:rPr>
          <w:sz w:val="20"/>
          <w:szCs w:val="20"/>
          <w:color w:val="auto"/>
        </w:rPr>
      </w:pPr>
      <w:r>
        <w:rPr>
          <w:rFonts w:ascii="Arial" w:cs="Arial" w:eastAsia="Arial" w:hAnsi="Arial"/>
          <w:sz w:val="15"/>
          <w:szCs w:val="15"/>
          <w:color w:val="auto"/>
        </w:rPr>
        <w:t>We have significant outstanding convertible debt, and may be required to repay, refinance or restructure a portion of such debt before 2021. In February 2014, we issued $201.3 million aggregate principal amount of our 2.75% Senior Convertible Notes due 2034 (2014 Notes), pursuant to an underwriting agreement, dated January 29, 2014. In March 2018, we entered into separate privately negotiated transactions with certain holders of our 2014 Notes to exchange approximately $150.0 million in aggregate principal amount of the 2014 Notes for new convertible notes (the 2018 Notes). Following the exchange, approximately $51.3 million aggregate principal amount of the 2014 Notes remain outstanding in addition to $150.0 million in aggregate principal amount of the 2018 Notes (collectively, the Convertible Notes). The Convertible Notes accrue interest at a rate of 2.75% per year, payable semi-annually in arrears on February 1 and August 1 of each year. The Convertible Notes will mature on February 1, 2034, unless earlier converted, redeemed, or repurchased in accordance with the terms of the respective Notes. Holders of the 2014 Notes may require us to repurchase all or a portion of their 2014 Notes on each of February 6, 2021, February 6, 2024, and February 6, 2029 at a repurchase price in cash equal to 100% of the principal amount of the Notes plus accrued and unpaid interest. Holders of the 2018 Notes may require us to repurchase all or a portion of their 2018 Notes on each of February 6, 2023, February 6, 2026, and February 6, 2029 at a repurchase price in cash equal to 100% of the accreted principal amount (i.e., up to 120% of the outstanding principal amount) of the 2018 Notes plus accrued and unpaid interest. If we undergo a fundamental change, as defined in the terms of each of the applicable series of Notes, (i) holders of the 2014 Notes may require us to repurchase the 2014 Notes in whole or in part for cash at a repurchase price equal to 100% of the principal amount of the 2014</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7"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Notes plus accrued and unpaid interest and (ii) holders of the 2018 Notes may require us to repurchase the 2018 Notes in whole or in part for cash at a repurchase price equal to 100% of the accreted principal amount (i.e., up to 120% of the outstanding principal amount) of the 2018 Notes plus accrued and unpaid interest. If we refinance the debt owed under the 2014 Notes and the 2018 Notes, we may issue additional convertible notes or other debt, which could include additional company obligations and represent more dilution to existing stockholders and noteholders.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262" w:lineRule="exact"/>
        <w:rPr>
          <w:sz w:val="20"/>
          <w:szCs w:val="20"/>
          <w:color w:val="auto"/>
        </w:rPr>
      </w:pPr>
    </w:p>
    <w:p>
      <w:pPr>
        <w:ind w:firstLine="389"/>
        <w:spacing w:after="0" w:line="299" w:lineRule="auto"/>
        <w:rPr>
          <w:sz w:val="20"/>
          <w:szCs w:val="20"/>
          <w:color w:val="auto"/>
        </w:rPr>
      </w:pPr>
      <w:r>
        <w:rPr>
          <w:rFonts w:ascii="Arial" w:cs="Arial" w:eastAsia="Arial" w:hAnsi="Arial"/>
          <w:sz w:val="15"/>
          <w:szCs w:val="15"/>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389"/>
        <w:spacing w:after="0" w:line="307" w:lineRule="auto"/>
        <w:rPr>
          <w:sz w:val="20"/>
          <w:szCs w:val="20"/>
          <w:color w:val="auto"/>
        </w:rPr>
      </w:pPr>
      <w:r>
        <w:rPr>
          <w:rFonts w:ascii="Arial" w:cs="Arial" w:eastAsia="Arial" w:hAnsi="Arial"/>
          <w:sz w:val="15"/>
          <w:szCs w:val="15"/>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7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201" w:lineRule="exact"/>
        <w:rPr>
          <w:sz w:val="20"/>
          <w:szCs w:val="20"/>
          <w:color w:val="auto"/>
        </w:rPr>
      </w:pPr>
    </w:p>
    <w:p>
      <w:pPr>
        <w:ind w:firstLine="389"/>
        <w:spacing w:after="0" w:line="266" w:lineRule="auto"/>
        <w:rPr>
          <w:sz w:val="20"/>
          <w:szCs w:val="20"/>
          <w:color w:val="auto"/>
        </w:rPr>
      </w:pPr>
      <w:r>
        <w:rPr>
          <w:rFonts w:ascii="Arial" w:cs="Arial" w:eastAsia="Arial" w:hAnsi="Arial"/>
          <w:sz w:val="17"/>
          <w:szCs w:val="17"/>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 organization has undergone significant changes in 2016 and 2017, and we are in the early stages of establishing sales of our products for many key applications. If we are not able to successfully market and sell our products, or to achieve the revenue or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50" w:lineRule="exact"/>
        <w:rPr>
          <w:sz w:val="20"/>
          <w:szCs w:val="20"/>
          <w:color w:val="auto"/>
        </w:rPr>
      </w:pPr>
    </w:p>
    <w:p>
      <w:pPr>
        <w:ind w:right="20" w:firstLine="425"/>
        <w:spacing w:after="0" w:line="307" w:lineRule="auto"/>
        <w:rPr>
          <w:sz w:val="20"/>
          <w:szCs w:val="20"/>
          <w:color w:val="auto"/>
        </w:rPr>
      </w:pPr>
      <w:r>
        <w:rPr>
          <w:rFonts w:ascii="Arial" w:cs="Arial" w:eastAsia="Arial" w:hAnsi="Arial"/>
          <w:sz w:val="15"/>
          <w:szCs w:val="15"/>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81" w:lineRule="exact"/>
        <w:rPr>
          <w:sz w:val="20"/>
          <w:szCs w:val="20"/>
          <w:color w:val="auto"/>
        </w:rPr>
      </w:pPr>
    </w:p>
    <w:p>
      <w:pPr>
        <w:ind w:right="80" w:firstLine="425"/>
        <w:spacing w:after="0" w:line="269"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experience development or manufacturing problems or delays that could limit the potential growth of our revenue or increase our losses.</w:t>
      </w:r>
    </w:p>
    <w:p>
      <w:pPr>
        <w:spacing w:after="0" w:line="285" w:lineRule="exact"/>
        <w:rPr>
          <w:sz w:val="20"/>
          <w:szCs w:val="20"/>
          <w:color w:val="auto"/>
        </w:rPr>
      </w:pPr>
    </w:p>
    <w:p>
      <w:pPr>
        <w:ind w:right="40" w:firstLine="425"/>
        <w:spacing w:after="0" w:line="313" w:lineRule="auto"/>
        <w:rPr>
          <w:sz w:val="20"/>
          <w:szCs w:val="20"/>
          <w:color w:val="auto"/>
        </w:rPr>
      </w:pPr>
      <w:r>
        <w:rPr>
          <w:rFonts w:ascii="Arial" w:cs="Arial" w:eastAsia="Arial" w:hAnsi="Arial"/>
          <w:sz w:val="15"/>
          <w:szCs w:val="15"/>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76" w:lineRule="exact"/>
        <w:rPr>
          <w:sz w:val="20"/>
          <w:szCs w:val="20"/>
          <w:color w:val="auto"/>
        </w:rPr>
      </w:pPr>
    </w:p>
    <w:p>
      <w:pPr>
        <w:ind w:firstLine="425"/>
        <w:spacing w:after="0" w:line="313" w:lineRule="auto"/>
        <w:rPr>
          <w:sz w:val="20"/>
          <w:szCs w:val="20"/>
          <w:color w:val="auto"/>
        </w:rPr>
      </w:pPr>
      <w:r>
        <w:rPr>
          <w:rFonts w:ascii="Arial" w:cs="Arial" w:eastAsia="Arial" w:hAnsi="Arial"/>
          <w:sz w:val="15"/>
          <w:szCs w:val="15"/>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76" w:lineRule="exact"/>
        <w:rPr>
          <w:sz w:val="20"/>
          <w:szCs w:val="20"/>
          <w:color w:val="auto"/>
        </w:rPr>
      </w:pPr>
    </w:p>
    <w:p>
      <w:pPr>
        <w:ind w:right="20" w:firstLine="425"/>
        <w:spacing w:after="0" w:line="278"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97" w:lineRule="exact"/>
        <w:rPr>
          <w:sz w:val="20"/>
          <w:szCs w:val="20"/>
          <w:color w:val="auto"/>
        </w:rPr>
      </w:pPr>
    </w:p>
    <w:p>
      <w:pPr>
        <w:ind w:right="140" w:firstLine="425"/>
        <w:spacing w:after="0" w:line="255"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210"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201" w:lineRule="exact"/>
        <w:rPr>
          <w:sz w:val="20"/>
          <w:szCs w:val="20"/>
          <w:color w:val="auto"/>
        </w:rPr>
      </w:pPr>
    </w:p>
    <w:p>
      <w:pPr>
        <w:ind w:right="100" w:firstLine="389"/>
        <w:spacing w:after="0" w:line="252" w:lineRule="auto"/>
        <w:rPr>
          <w:sz w:val="20"/>
          <w:szCs w:val="20"/>
          <w:color w:val="auto"/>
        </w:rPr>
      </w:pPr>
      <w:r>
        <w:rPr>
          <w:rFonts w:ascii="Arial" w:cs="Arial" w:eastAsia="Arial" w:hAnsi="Arial"/>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75"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201" w:lineRule="exact"/>
        <w:rPr>
          <w:sz w:val="20"/>
          <w:szCs w:val="20"/>
          <w:color w:val="auto"/>
        </w:rPr>
      </w:pPr>
    </w:p>
    <w:p>
      <w:pPr>
        <w:ind w:right="40" w:firstLine="425"/>
        <w:spacing w:after="0" w:line="309" w:lineRule="auto"/>
        <w:rPr>
          <w:sz w:val="20"/>
          <w:szCs w:val="20"/>
          <w:color w:val="auto"/>
        </w:rPr>
      </w:pPr>
      <w:r>
        <w:rPr>
          <w:rFonts w:ascii="Arial" w:cs="Arial" w:eastAsia="Arial" w:hAnsi="Arial"/>
          <w:sz w:val="15"/>
          <w:szCs w:val="15"/>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81" w:lineRule="exact"/>
        <w:rPr>
          <w:sz w:val="20"/>
          <w:szCs w:val="20"/>
          <w:color w:val="auto"/>
        </w:rPr>
      </w:pPr>
    </w:p>
    <w:p>
      <w:pPr>
        <w:ind w:firstLine="425"/>
        <w:spacing w:after="0" w:line="251"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00" w:lineRule="exact"/>
        <w:rPr>
          <w:sz w:val="20"/>
          <w:szCs w:val="20"/>
          <w:color w:val="auto"/>
        </w:rPr>
      </w:pPr>
    </w:p>
    <w:p>
      <w:pPr>
        <w:spacing w:after="0" w:line="24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failure to achieve market acceptance or expansion of our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loss of customer orders and delay in order fulfillment;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damage to our brand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increased cost of our warranty program due to product repair or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product recalls or replacements;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inability to attract new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legal claims against us, including product liability claims, which could be costly and time consuming to defend and result in substantial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-62865</wp:posOffset>
            </wp:positionV>
            <wp:extent cx="59055" cy="59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80" w:firstLine="425"/>
        <w:spacing w:after="0" w:line="252"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ectPr>
          <w:pgSz w:w="11900" w:h="16838" w:orient="portrait"/>
          <w:cols w:equalWidth="0" w:num="1">
            <w:col w:w="11400"/>
          </w:cols>
          <w:pgMar w:left="240" w:top="127" w:right="259"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1400"/>
          </w:cols>
          <w:pgMar w:left="240" w:top="127" w:right="259" w:bottom="417"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color w:val="auto"/>
        </w:rPr>
        <w:t>Our business depends on research and development spending levels of academic, clinical, and governmental research institutions, biopharmaceutical, biotechnology, and Ag-Bio companies, and CROs, a reduction in which could limit our ability to sell our products and adversely affect our business.</w:t>
      </w:r>
    </w:p>
    <w:p>
      <w:pPr>
        <w:spacing w:after="0" w:line="131" w:lineRule="exact"/>
        <w:rPr>
          <w:sz w:val="20"/>
          <w:szCs w:val="20"/>
          <w:color w:val="auto"/>
        </w:rPr>
      </w:pPr>
    </w:p>
    <w:p>
      <w:pPr>
        <w:ind w:right="40" w:firstLine="425"/>
        <w:spacing w:after="0" w:line="264" w:lineRule="auto"/>
        <w:rPr>
          <w:sz w:val="20"/>
          <w:szCs w:val="20"/>
          <w:color w:val="auto"/>
        </w:rPr>
      </w:pPr>
      <w:r>
        <w:rPr>
          <w:rFonts w:ascii="Arial" w:cs="Arial" w:eastAsia="Arial" w:hAnsi="Arial"/>
          <w:sz w:val="17"/>
          <w:szCs w:val="17"/>
          <w:color w:val="auto"/>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200" w:lineRule="exact"/>
        <w:rPr>
          <w:sz w:val="20"/>
          <w:szCs w:val="20"/>
          <w:color w:val="auto"/>
        </w:rPr>
      </w:pPr>
    </w:p>
    <w:p>
      <w:pPr>
        <w:spacing w:after="0" w:line="20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changes in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natural disasters;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changes in government programs that provide funding to research institutions and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differences in budget cycles across various geographies and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market-driven pressures on companies to consolidate operations and reduce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mergers and acquisitions in the life science and Ag-Bio industries;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other factors affecting research and development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420" w:firstLine="425"/>
        <w:spacing w:after="0" w:line="265"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01"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201" w:lineRule="exact"/>
        <w:rPr>
          <w:sz w:val="20"/>
          <w:szCs w:val="20"/>
          <w:color w:val="auto"/>
        </w:rPr>
      </w:pPr>
    </w:p>
    <w:p>
      <w:pPr>
        <w:ind w:firstLine="425"/>
        <w:spacing w:after="0" w:line="303" w:lineRule="auto"/>
        <w:rPr>
          <w:sz w:val="20"/>
          <w:szCs w:val="20"/>
          <w:color w:val="auto"/>
        </w:rPr>
      </w:pPr>
      <w:r>
        <w:rPr>
          <w:rFonts w:ascii="Arial" w:cs="Arial" w:eastAsia="Arial" w:hAnsi="Arial"/>
          <w:sz w:val="15"/>
          <w:szCs w:val="15"/>
          <w:color w:val="auto"/>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ectPr>
          <w:pgSz w:w="11900" w:h="16838" w:orient="portrait"/>
          <w:cols w:equalWidth="0" w:num="1">
            <w:col w:w="11400"/>
          </w:cols>
          <w:pgMar w:left="240" w:top="127" w:right="259" w:bottom="4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1400"/>
          </w:cols>
          <w:pgMar w:left="240" w:top="127" w:right="259" w:bottom="470" w:gutter="0" w:footer="0" w:header="0"/>
          <w:type w:val="continuous"/>
        </w:sectPr>
      </w:pPr>
    </w:p>
    <w:bookmarkStart w:id="39" w:name="page40"/>
    <w:bookmarkEnd w:id="39"/>
    <w:p>
      <w:pPr>
        <w:spacing w:after="0" w:line="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95" w:lineRule="exact"/>
        <w:rPr>
          <w:sz w:val="20"/>
          <w:szCs w:val="20"/>
          <w:color w:val="auto"/>
        </w:rPr>
      </w:pPr>
    </w:p>
    <w:p>
      <w:pPr>
        <w:ind w:right="140" w:firstLine="478"/>
        <w:spacing w:after="0" w:line="272" w:lineRule="auto"/>
        <w:rPr>
          <w:sz w:val="20"/>
          <w:szCs w:val="20"/>
          <w:color w:val="auto"/>
        </w:rPr>
      </w:pPr>
      <w:r>
        <w:rPr>
          <w:rFonts w:ascii="Arial" w:cs="Arial" w:eastAsia="Arial" w:hAnsi="Arial"/>
          <w:sz w:val="17"/>
          <w:szCs w:val="17"/>
          <w:color w:val="auto"/>
        </w:rPr>
        <w:t>During the three months ended March 31, 2018, and 2017, and the years ended December 31, 2017, and 2016, approximately 54%, 54%, 55% and 49%,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200" w:lineRule="exact"/>
        <w:rPr>
          <w:sz w:val="20"/>
          <w:szCs w:val="20"/>
          <w:color w:val="auto"/>
        </w:rPr>
      </w:pPr>
    </w:p>
    <w:p>
      <w:pPr>
        <w:spacing w:after="0" w:line="201" w:lineRule="exact"/>
        <w:rPr>
          <w:sz w:val="20"/>
          <w:szCs w:val="20"/>
          <w:color w:val="auto"/>
        </w:rPr>
      </w:pPr>
    </w:p>
    <w:p>
      <w:pPr>
        <w:ind w:left="540" w:right="100" w:hanging="19"/>
        <w:spacing w:after="0" w:line="219" w:lineRule="auto"/>
        <w:rPr>
          <w:sz w:val="20"/>
          <w:szCs w:val="20"/>
          <w:color w:val="auto"/>
        </w:rPr>
      </w:pPr>
      <w:r>
        <w:rPr>
          <w:sz w:val="1"/>
          <w:szCs w:val="1"/>
          <w:color w:val="auto"/>
        </w:rPr>
        <w:drawing>
          <wp:inline distT="0" distB="0" distL="0" distR="0">
            <wp:extent cx="59055" cy="590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200" w:lineRule="exact"/>
        <w:rPr>
          <w:sz w:val="20"/>
          <w:szCs w:val="20"/>
          <w:color w:val="auto"/>
        </w:rPr>
      </w:pPr>
    </w:p>
    <w:p>
      <w:pPr>
        <w:spacing w:after="0" w:line="388" w:lineRule="exact"/>
        <w:rPr>
          <w:sz w:val="20"/>
          <w:szCs w:val="20"/>
          <w:color w:val="auto"/>
        </w:rPr>
      </w:pPr>
    </w:p>
    <w:p>
      <w:pPr>
        <w:ind w:left="540" w:right="220" w:hanging="19"/>
        <w:spacing w:after="0" w:line="229" w:lineRule="auto"/>
        <w:rPr>
          <w:sz w:val="20"/>
          <w:szCs w:val="20"/>
          <w:color w:val="auto"/>
        </w:rPr>
      </w:pPr>
      <w:r>
        <w:rPr>
          <w:sz w:val="1"/>
          <w:szCs w:val="1"/>
          <w:color w:val="auto"/>
        </w:rPr>
        <w:drawing>
          <wp:inline distT="0" distB="0" distL="0" distR="0">
            <wp:extent cx="59055" cy="590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required compliance with anti-bribery laws, such as the U.S. Foreign Corrupt Practices Act and U.K. Bribery Act, data privacy requirements, labor laws, and anti-competition regulations;</w:t>
      </w:r>
    </w:p>
    <w:p>
      <w:pPr>
        <w:spacing w:after="0" w:line="200" w:lineRule="exact"/>
        <w:rPr>
          <w:sz w:val="20"/>
          <w:szCs w:val="20"/>
          <w:color w:val="auto"/>
        </w:rPr>
      </w:pPr>
    </w:p>
    <w:p>
      <w:pPr>
        <w:spacing w:after="0" w:line="3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export or import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laws and business practices favoring local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unstable economic, political, and regulatory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difficulties and costs of staffing and managing foreign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difficulties protecting or procuring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80" w:firstLine="425"/>
        <w:spacing w:after="0" w:line="265"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07" w:lineRule="exact"/>
        <w:rPr>
          <w:sz w:val="20"/>
          <w:szCs w:val="20"/>
          <w:color w:val="auto"/>
        </w:rPr>
      </w:pPr>
    </w:p>
    <w:p>
      <w:pPr>
        <w:ind w:right="120" w:firstLine="425"/>
        <w:spacing w:after="0" w:line="309" w:lineRule="auto"/>
        <w:rPr>
          <w:sz w:val="20"/>
          <w:szCs w:val="20"/>
          <w:color w:val="auto"/>
        </w:rPr>
      </w:pPr>
      <w:r>
        <w:rPr>
          <w:rFonts w:ascii="Arial" w:cs="Arial" w:eastAsia="Arial" w:hAnsi="Arial"/>
          <w:sz w:val="15"/>
          <w:szCs w:val="15"/>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181" w:lineRule="exact"/>
        <w:rPr>
          <w:sz w:val="20"/>
          <w:szCs w:val="20"/>
          <w:color w:val="auto"/>
        </w:rPr>
      </w:pPr>
    </w:p>
    <w:p>
      <w:pPr>
        <w:ind w:firstLine="425"/>
        <w:spacing w:after="0" w:line="302" w:lineRule="auto"/>
        <w:rPr>
          <w:sz w:val="20"/>
          <w:szCs w:val="20"/>
          <w:color w:val="auto"/>
        </w:rPr>
      </w:pPr>
      <w:r>
        <w:rPr>
          <w:rFonts w:ascii="Arial" w:cs="Arial" w:eastAsia="Arial" w:hAnsi="Arial"/>
          <w:sz w:val="15"/>
          <w:szCs w:val="15"/>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we experienced foreign currency gain of $0.1 million during the three months ended March 31, 2018, and losses of $0.1 million and $1.5 million during the years ended December 31, 2017 and 2016, respectively. Fluctuations in currency exchange rates could have an adverse impact on our financial results in the future.</w:t>
      </w:r>
    </w:p>
    <w:p>
      <w:pPr>
        <w:sectPr>
          <w:pgSz w:w="11900" w:h="16867" w:orient="portrait"/>
          <w:cols w:equalWidth="0" w:num="1">
            <w:col w:w="11400"/>
          </w:cols>
          <w:pgMar w:left="240" w:top="127"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ectPr>
          <w:pgSz w:w="11900" w:h="16867" w:orient="portrait"/>
          <w:cols w:equalWidth="0" w:num="1">
            <w:col w:w="11400"/>
          </w:cols>
          <w:pgMar w:left="240" w:top="127" w:right="259" w:bottom="0" w:gutter="0" w:footer="0" w:header="0"/>
          <w:type w:val="continuous"/>
        </w:sectPr>
      </w:pPr>
    </w:p>
    <w:bookmarkStart w:id="40" w:name="page41"/>
    <w:bookmarkEnd w:id="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firstLine="389"/>
        <w:spacing w:after="0" w:line="272"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96"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201" w:lineRule="exact"/>
        <w:rPr>
          <w:sz w:val="20"/>
          <w:szCs w:val="20"/>
          <w:color w:val="auto"/>
        </w:rPr>
      </w:pPr>
    </w:p>
    <w:p>
      <w:pPr>
        <w:ind w:right="100" w:firstLine="425"/>
        <w:spacing w:after="0" w:line="252"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200" w:lineRule="exact"/>
        <w:rPr>
          <w:sz w:val="20"/>
          <w:szCs w:val="20"/>
          <w:color w:val="auto"/>
        </w:rPr>
      </w:pPr>
    </w:p>
    <w:p>
      <w:pPr>
        <w:spacing w:after="0" w:line="218" w:lineRule="exact"/>
        <w:rPr>
          <w:sz w:val="20"/>
          <w:szCs w:val="20"/>
          <w:color w:val="auto"/>
        </w:rPr>
      </w:pPr>
    </w:p>
    <w:p>
      <w:pPr>
        <w:ind w:left="540" w:right="200" w:hanging="19"/>
        <w:spacing w:after="0" w:line="219" w:lineRule="auto"/>
        <w:rPr>
          <w:sz w:val="20"/>
          <w:szCs w:val="20"/>
          <w:color w:val="auto"/>
        </w:rPr>
      </w:pPr>
      <w:r>
        <w:rPr>
          <w:sz w:val="1"/>
          <w:szCs w:val="1"/>
          <w:color w:val="auto"/>
        </w:rPr>
        <w:drawing>
          <wp:inline distT="0" distB="0" distL="0" distR="0">
            <wp:extent cx="59055" cy="5905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200" w:lineRule="exact"/>
        <w:rPr>
          <w:sz w:val="20"/>
          <w:szCs w:val="20"/>
          <w:color w:val="auto"/>
        </w:rPr>
      </w:pPr>
    </w:p>
    <w:p>
      <w:pPr>
        <w:spacing w:after="0" w:line="388" w:lineRule="exact"/>
        <w:rPr>
          <w:sz w:val="20"/>
          <w:szCs w:val="20"/>
          <w:color w:val="auto"/>
        </w:rPr>
      </w:pPr>
    </w:p>
    <w:p>
      <w:pPr>
        <w:ind w:left="780"/>
        <w:spacing w:after="0"/>
        <w:rPr>
          <w:sz w:val="20"/>
          <w:szCs w:val="20"/>
          <w:color w:val="auto"/>
        </w:rPr>
      </w:pPr>
      <w:r>
        <w:rPr>
          <w:rFonts w:ascii="Arial" w:cs="Arial" w:eastAsia="Arial" w:hAnsi="Arial"/>
          <w:sz w:val="15"/>
          <w:szCs w:val="15"/>
          <w:color w:val="auto"/>
        </w:rPr>
        <w:t>Specialized pneumatic and electronic components for our C1, Callisto, Juno, and Polaris systems are available from a limited number of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-62865</wp:posOffset>
            </wp:positionV>
            <wp:extent cx="59055" cy="59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440" w:hanging="19"/>
        <w:spacing w:after="0" w:line="229" w:lineRule="auto"/>
        <w:rPr>
          <w:sz w:val="20"/>
          <w:szCs w:val="20"/>
          <w:color w:val="auto"/>
        </w:rPr>
      </w:pPr>
      <w:r>
        <w:rPr>
          <w:sz w:val="1"/>
          <w:szCs w:val="1"/>
          <w:color w:val="auto"/>
        </w:rPr>
        <w:drawing>
          <wp:inline distT="0" distB="0" distL="0" distR="0">
            <wp:extent cx="59055" cy="5905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The electron multiplier detector included in the Hyperion/Helios systems and certain metal isotopes used with the Hyperion/Helios systems are purchased from sole source suppliers.</w:t>
      </w:r>
    </w:p>
    <w:p>
      <w:pPr>
        <w:spacing w:after="0" w:line="200" w:lineRule="exact"/>
        <w:rPr>
          <w:sz w:val="20"/>
          <w:szCs w:val="20"/>
          <w:color w:val="auto"/>
        </w:rPr>
      </w:pPr>
    </w:p>
    <w:p>
      <w:pPr>
        <w:spacing w:after="0" w:line="3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movement stage included in the Hyperion imaging mass cytometer system is purchased from a sole source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right="80" w:hanging="19"/>
        <w:spacing w:after="0" w:line="229" w:lineRule="auto"/>
        <w:rPr>
          <w:sz w:val="20"/>
          <w:szCs w:val="20"/>
          <w:color w:val="auto"/>
        </w:rPr>
      </w:pPr>
      <w:r>
        <w:rPr>
          <w:sz w:val="1"/>
          <w:szCs w:val="1"/>
          <w:color w:val="auto"/>
        </w:rPr>
        <w:drawing>
          <wp:inline distT="0" distB="0" distL="0" distR="0">
            <wp:extent cx="59055" cy="5905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The nickel sampler cone used with the Hyperion/Helios systems is purchased from single source suppliers and is available from a limited number of sources.</w:t>
      </w:r>
    </w:p>
    <w:p>
      <w:pPr>
        <w:spacing w:after="0" w:line="200" w:lineRule="exact"/>
        <w:rPr>
          <w:sz w:val="20"/>
          <w:szCs w:val="20"/>
          <w:color w:val="auto"/>
        </w:rPr>
      </w:pPr>
    </w:p>
    <w:p>
      <w:pPr>
        <w:spacing w:after="0" w:line="38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raw materials for our Delta Gene and SNP Type assays and Access Array target-specific primers are available from a limited number of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-62865</wp:posOffset>
            </wp:positionV>
            <wp:extent cx="59055" cy="59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80" w:firstLine="425"/>
        <w:spacing w:after="0" w:line="265"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may be subject to increased component or assembly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right="420" w:hanging="19"/>
        <w:spacing w:after="0" w:line="229" w:lineRule="auto"/>
        <w:rPr>
          <w:sz w:val="20"/>
          <w:szCs w:val="20"/>
          <w:color w:val="auto"/>
        </w:rPr>
      </w:pPr>
      <w:r>
        <w:rPr>
          <w:sz w:val="1"/>
          <w:szCs w:val="1"/>
          <w:color w:val="auto"/>
        </w:rPr>
        <w:drawing>
          <wp:inline distT="0" distB="0" distL="0" distR="0">
            <wp:extent cx="59055" cy="5905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our suppliers or service providers may make errors in manufacturing or assembly of components that could negatively affect the efficacy of our products or cause delays in shipment of our products; and</w:t>
      </w:r>
    </w:p>
    <w:p>
      <w:pPr>
        <w:spacing w:after="0" w:line="200" w:lineRule="exact"/>
        <w:rPr>
          <w:sz w:val="20"/>
          <w:szCs w:val="20"/>
          <w:color w:val="auto"/>
        </w:rPr>
      </w:pPr>
    </w:p>
    <w:p>
      <w:pPr>
        <w:spacing w:after="0" w:line="387" w:lineRule="exact"/>
        <w:rPr>
          <w:sz w:val="20"/>
          <w:szCs w:val="20"/>
          <w:color w:val="auto"/>
        </w:rPr>
      </w:pPr>
    </w:p>
    <w:p>
      <w:pPr>
        <w:ind w:left="540" w:right="340" w:hanging="19"/>
        <w:spacing w:after="0" w:line="229" w:lineRule="auto"/>
        <w:rPr>
          <w:sz w:val="20"/>
          <w:szCs w:val="20"/>
          <w:color w:val="auto"/>
        </w:rPr>
      </w:pPr>
      <w:r>
        <w:rPr>
          <w:sz w:val="1"/>
          <w:szCs w:val="1"/>
          <w:color w:val="auto"/>
        </w:rPr>
        <w:drawing>
          <wp:inline distT="0" distB="0" distL="0" distR="0">
            <wp:extent cx="59055" cy="5905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our suppliers or service providers may encounter capacity constraints or financial hardships unrelated to our demand for components or services, which could inhibit their ability to fulfill our orders and meet our requirements.</w:t>
      </w:r>
    </w:p>
    <w:p>
      <w:pPr>
        <w:spacing w:after="0" w:line="200" w:lineRule="exact"/>
        <w:rPr>
          <w:sz w:val="20"/>
          <w:szCs w:val="20"/>
          <w:color w:val="auto"/>
        </w:rPr>
      </w:pPr>
    </w:p>
    <w:p>
      <w:pPr>
        <w:spacing w:after="0" w:line="215" w:lineRule="exact"/>
        <w:rPr>
          <w:sz w:val="20"/>
          <w:szCs w:val="20"/>
          <w:color w:val="auto"/>
        </w:rPr>
      </w:pPr>
    </w:p>
    <w:p>
      <w:pPr>
        <w:ind w:firstLine="478"/>
        <w:spacing w:after="0" w:line="251"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50" w:lineRule="exact"/>
        <w:rPr>
          <w:sz w:val="20"/>
          <w:szCs w:val="20"/>
          <w:color w:val="auto"/>
        </w:rPr>
      </w:pPr>
    </w:p>
    <w:p>
      <w:pPr>
        <w:ind w:right="140" w:firstLine="389"/>
        <w:spacing w:after="0" w:line="331" w:lineRule="auto"/>
        <w:rPr>
          <w:sz w:val="20"/>
          <w:szCs w:val="20"/>
          <w:color w:val="auto"/>
        </w:rPr>
      </w:pPr>
      <w:r>
        <w:rPr>
          <w:rFonts w:ascii="Arial" w:cs="Arial" w:eastAsia="Arial" w:hAnsi="Arial"/>
          <w:sz w:val="15"/>
          <w:szCs w:val="15"/>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w:t>
      </w:r>
    </w:p>
    <w:p>
      <w:pPr>
        <w:sectPr>
          <w:pgSz w:w="11900" w:h="16838" w:orient="portrait"/>
          <w:cols w:equalWidth="0" w:num="1">
            <w:col w:w="11360"/>
          </w:cols>
          <w:pgMar w:left="240" w:top="127" w:right="299" w:bottom="0" w:gutter="0" w:footer="0" w:header="0"/>
        </w:sectPr>
      </w:pPr>
    </w:p>
    <w:bookmarkStart w:id="42" w:name="page43"/>
    <w:bookmarkEnd w:id="42"/>
    <w:p>
      <w:pPr>
        <w:spacing w:after="0" w:line="366" w:lineRule="auto"/>
        <w:rPr>
          <w:sz w:val="20"/>
          <w:szCs w:val="20"/>
          <w:color w:val="auto"/>
        </w:rPr>
      </w:pPr>
      <w:r>
        <w:rPr>
          <w:rFonts w:ascii="Arial" w:cs="Arial" w:eastAsia="Arial" w:hAnsi="Arial"/>
          <w:sz w:val="15"/>
          <w:szCs w:val="15"/>
          <w:color w:val="auto"/>
        </w:rPr>
        <w:t>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w:t>
      </w:r>
    </w:p>
    <w:p>
      <w:pPr>
        <w:spacing w:after="0" w:line="39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40"/>
          </w:cols>
          <w:pgMar w:left="240" w:top="127" w:right="71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expand our existing customer base or launch new applications would adversely affect our ability to increase our revenue.</w:t>
      </w:r>
    </w:p>
    <w:p>
      <w:pPr>
        <w:spacing w:after="0" w:line="238"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383" w:lineRule="exact"/>
        <w:rPr>
          <w:sz w:val="20"/>
          <w:szCs w:val="20"/>
          <w:color w:val="auto"/>
        </w:rPr>
      </w:pPr>
    </w:p>
    <w:p>
      <w:pPr>
        <w:ind w:right="40" w:firstLine="389"/>
        <w:spacing w:after="0" w:line="301" w:lineRule="auto"/>
        <w:rPr>
          <w:sz w:val="20"/>
          <w:szCs w:val="20"/>
          <w:color w:val="auto"/>
        </w:rPr>
      </w:pPr>
      <w:r>
        <w:rPr>
          <w:rFonts w:ascii="Arial" w:cs="Arial" w:eastAsia="Arial" w:hAnsi="Arial"/>
          <w:sz w:val="15"/>
          <w:szCs w:val="15"/>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of our goodwill or other intangible assets could materially and adversely affect our business, operating results, and financial condition.</w:t>
      </w:r>
    </w:p>
    <w:p>
      <w:pPr>
        <w:spacing w:after="0" w:line="285" w:lineRule="exact"/>
        <w:rPr>
          <w:sz w:val="20"/>
          <w:szCs w:val="20"/>
          <w:color w:val="auto"/>
        </w:rPr>
      </w:pPr>
    </w:p>
    <w:p>
      <w:pPr>
        <w:ind w:firstLine="425"/>
        <w:spacing w:after="0" w:line="319" w:lineRule="auto"/>
        <w:rPr>
          <w:sz w:val="20"/>
          <w:szCs w:val="20"/>
          <w:color w:val="auto"/>
        </w:rPr>
      </w:pPr>
      <w:r>
        <w:rPr>
          <w:rFonts w:ascii="Arial" w:cs="Arial" w:eastAsia="Arial" w:hAnsi="Arial"/>
          <w:sz w:val="15"/>
          <w:szCs w:val="15"/>
          <w:color w:val="auto"/>
        </w:rPr>
        <w:t>As of March 31, 2018, we had approximately $175.2 million of goodwill and net intangible assets, including approximately $104.1 million of goodwill and approximately $71.1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71" w:lineRule="exact"/>
        <w:rPr>
          <w:sz w:val="20"/>
          <w:szCs w:val="20"/>
          <w:color w:val="auto"/>
        </w:rPr>
      </w:pPr>
    </w:p>
    <w:p>
      <w:pPr>
        <w:ind w:firstLine="425"/>
        <w:spacing w:after="0" w:line="302" w:lineRule="auto"/>
        <w:rPr>
          <w:sz w:val="20"/>
          <w:szCs w:val="20"/>
          <w:color w:val="auto"/>
        </w:rPr>
      </w:pPr>
      <w:r>
        <w:rPr>
          <w:rFonts w:ascii="Arial" w:cs="Arial" w:eastAsia="Arial" w:hAnsi="Arial"/>
          <w:sz w:val="15"/>
          <w:szCs w:val="15"/>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5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color w:val="auto"/>
        </w:rPr>
        <w:t>Our business operations are dependent upon our new senior management team and the ability of our other new employees to learn their new roles. If we are unable to recruit and retain key executives, scientists, and technical support personnel, we may be unable to achieve our goals.</w:t>
      </w:r>
    </w:p>
    <w:p>
      <w:pPr>
        <w:spacing w:after="0" w:line="131" w:lineRule="exact"/>
        <w:rPr>
          <w:sz w:val="20"/>
          <w:szCs w:val="20"/>
          <w:color w:val="auto"/>
        </w:rPr>
      </w:pPr>
    </w:p>
    <w:p>
      <w:pPr>
        <w:ind w:right="220" w:firstLine="425"/>
        <w:spacing w:after="0" w:line="252" w:lineRule="auto"/>
        <w:rPr>
          <w:sz w:val="20"/>
          <w:szCs w:val="20"/>
          <w:color w:val="auto"/>
        </w:rPr>
      </w:pPr>
      <w:r>
        <w:rPr>
          <w:rFonts w:ascii="Arial" w:cs="Arial" w:eastAsia="Arial" w:hAnsi="Arial"/>
          <w:sz w:val="18"/>
          <w:szCs w:val="18"/>
          <w:color w:val="auto"/>
        </w:rPr>
        <w:t>Our performance is substantially dependent on the performance of our senior management, which has substantially changed over the last few years,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211" w:lineRule="exact"/>
        <w:rPr>
          <w:sz w:val="20"/>
          <w:szCs w:val="20"/>
          <w:color w:val="auto"/>
        </w:rPr>
      </w:pPr>
    </w:p>
    <w:p>
      <w:pPr>
        <w:ind w:right="40" w:firstLine="425"/>
        <w:spacing w:after="0" w:line="266"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203"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78" w:lineRule="exact"/>
        <w:rPr>
          <w:sz w:val="20"/>
          <w:szCs w:val="20"/>
          <w:color w:val="auto"/>
        </w:rPr>
      </w:pPr>
    </w:p>
    <w:p>
      <w:pPr>
        <w:ind w:right="180" w:firstLine="354"/>
        <w:spacing w:after="0" w:line="305" w:lineRule="auto"/>
        <w:rPr>
          <w:sz w:val="20"/>
          <w:szCs w:val="20"/>
          <w:color w:val="auto"/>
        </w:rPr>
      </w:pPr>
      <w:r>
        <w:rPr>
          <w:rFonts w:ascii="Arial" w:cs="Arial" w:eastAsia="Arial" w:hAnsi="Arial"/>
          <w:sz w:val="15"/>
          <w:szCs w:val="15"/>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391" w:lineRule="exact"/>
        <w:rPr>
          <w:sz w:val="20"/>
          <w:szCs w:val="20"/>
          <w:color w:val="auto"/>
        </w:rPr>
      </w:pPr>
    </w:p>
    <w:p>
      <w:pPr>
        <w:ind w:right="380"/>
        <w:spacing w:after="0" w:line="302" w:lineRule="auto"/>
        <w:rPr>
          <w:sz w:val="20"/>
          <w:szCs w:val="20"/>
          <w:color w:val="auto"/>
        </w:rPr>
      </w:pPr>
      <w:r>
        <w:rPr>
          <w:rFonts w:ascii="Arial" w:cs="Arial" w:eastAsia="Arial" w:hAnsi="Arial"/>
          <w:sz w:val="17"/>
          <w:szCs w:val="17"/>
          <w:b w:val="1"/>
          <w:bCs w:val="1"/>
          <w:color w:val="auto"/>
        </w:rPr>
        <w:t>To use our products, our Biomark, EP1, and Helios/CyTOF 2 systems in particular, customers typically need to purchase specialized reagents. Any interruption in the availability of these reagents for use in our products could limit our ability to market our products.</w:t>
      </w:r>
    </w:p>
    <w:p>
      <w:pPr>
        <w:spacing w:after="0" w:line="178" w:lineRule="exact"/>
        <w:rPr>
          <w:sz w:val="20"/>
          <w:szCs w:val="20"/>
          <w:color w:val="auto"/>
        </w:rPr>
      </w:pPr>
    </w:p>
    <w:p>
      <w:pPr>
        <w:ind w:right="40" w:firstLine="425"/>
        <w:spacing w:after="0" w:line="266" w:lineRule="auto"/>
        <w:rPr>
          <w:sz w:val="20"/>
          <w:szCs w:val="20"/>
          <w:color w:val="auto"/>
        </w:rPr>
      </w:pPr>
      <w:r>
        <w:rPr>
          <w:rFonts w:ascii="Arial" w:cs="Arial" w:eastAsia="Arial" w:hAnsi="Arial"/>
          <w:sz w:val="17"/>
          <w:szCs w:val="17"/>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209" w:lineRule="exact"/>
        <w:rPr>
          <w:sz w:val="20"/>
          <w:szCs w:val="20"/>
          <w:color w:val="auto"/>
        </w:rPr>
      </w:pPr>
    </w:p>
    <w:p>
      <w:pPr>
        <w:ind w:right="20" w:firstLine="389"/>
        <w:spacing w:after="0" w:line="266"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00" w:lineRule="exact"/>
        <w:rPr>
          <w:sz w:val="20"/>
          <w:szCs w:val="20"/>
          <w:color w:val="auto"/>
        </w:rPr>
      </w:pPr>
    </w:p>
    <w:p>
      <w:pPr>
        <w:spacing w:after="0" w:line="22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220" w:lineRule="exact"/>
        <w:rPr>
          <w:sz w:val="20"/>
          <w:szCs w:val="20"/>
          <w:color w:val="auto"/>
        </w:rPr>
      </w:pPr>
    </w:p>
    <w:p>
      <w:pPr>
        <w:ind w:right="60" w:firstLine="425"/>
        <w:spacing w:after="0" w:line="251"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218" w:lineRule="exact"/>
        <w:rPr>
          <w:sz w:val="20"/>
          <w:szCs w:val="20"/>
          <w:color w:val="auto"/>
        </w:rPr>
      </w:pPr>
    </w:p>
    <w:p>
      <w:pPr>
        <w:ind w:right="40" w:firstLine="425"/>
        <w:spacing w:after="0" w:line="267"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208" w:lineRule="exact"/>
        <w:rPr>
          <w:sz w:val="20"/>
          <w:szCs w:val="20"/>
          <w:color w:val="auto"/>
        </w:rPr>
      </w:pPr>
    </w:p>
    <w:p>
      <w:pPr>
        <w:ind w:firstLine="425"/>
        <w:spacing w:after="0" w:line="249" w:lineRule="auto"/>
        <w:rPr>
          <w:sz w:val="20"/>
          <w:szCs w:val="20"/>
          <w:color w:val="auto"/>
        </w:rPr>
      </w:pPr>
      <w:r>
        <w:rPr>
          <w:rFonts w:ascii="Arial" w:cs="Arial" w:eastAsia="Arial" w:hAnsi="Arial"/>
          <w:sz w:val="18"/>
          <w:szCs w:val="18"/>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220" w:lineRule="exact"/>
        <w:rPr>
          <w:sz w:val="20"/>
          <w:szCs w:val="20"/>
          <w:color w:val="auto"/>
        </w:rPr>
      </w:pPr>
    </w:p>
    <w:p>
      <w:pPr>
        <w:ind w:right="20" w:firstLine="425"/>
        <w:spacing w:after="0" w:line="307"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81" w:lineRule="exact"/>
        <w:rPr>
          <w:sz w:val="20"/>
          <w:szCs w:val="20"/>
          <w:color w:val="auto"/>
        </w:rPr>
      </w:pPr>
    </w:p>
    <w:p>
      <w:pPr>
        <w:ind w:right="40" w:firstLine="389"/>
        <w:spacing w:after="0" w:line="267"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212" w:lineRule="exact"/>
        <w:rPr>
          <w:sz w:val="20"/>
          <w:szCs w:val="20"/>
          <w:color w:val="auto"/>
        </w:rPr>
      </w:pPr>
    </w:p>
    <w:p>
      <w:pPr>
        <w:ind w:firstLine="425"/>
        <w:spacing w:after="0" w:line="263"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213" w:lineRule="exact"/>
        <w:rPr>
          <w:sz w:val="20"/>
          <w:szCs w:val="20"/>
          <w:color w:val="auto"/>
        </w:rPr>
      </w:pPr>
    </w:p>
    <w:p>
      <w:pPr>
        <w:ind w:right="40" w:firstLine="425"/>
        <w:spacing w:after="0" w:line="249"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222" w:lineRule="exact"/>
        <w:rPr>
          <w:sz w:val="20"/>
          <w:szCs w:val="20"/>
          <w:color w:val="auto"/>
        </w:rPr>
      </w:pPr>
    </w:p>
    <w:p>
      <w:pPr>
        <w:ind w:right="40" w:firstLine="425"/>
        <w:spacing w:after="0" w:line="309" w:lineRule="auto"/>
        <w:rPr>
          <w:sz w:val="20"/>
          <w:szCs w:val="20"/>
          <w:color w:val="auto"/>
        </w:rPr>
      </w:pPr>
      <w:r>
        <w:rPr>
          <w:rFonts w:ascii="Arial" w:cs="Arial" w:eastAsia="Arial" w:hAnsi="Arial"/>
          <w:sz w:val="15"/>
          <w:szCs w:val="15"/>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75" w:lineRule="exact"/>
        <w:rPr>
          <w:sz w:val="20"/>
          <w:szCs w:val="20"/>
          <w:color w:val="auto"/>
        </w:rPr>
      </w:pPr>
    </w:p>
    <w:p>
      <w:pPr>
        <w:ind w:right="920"/>
        <w:spacing w:after="0" w:line="375" w:lineRule="auto"/>
        <w:rPr>
          <w:sz w:val="20"/>
          <w:szCs w:val="20"/>
          <w:color w:val="auto"/>
        </w:rPr>
      </w:pPr>
      <w:r>
        <w:rPr>
          <w:rFonts w:ascii="Arial" w:cs="Arial" w:eastAsia="Arial" w:hAnsi="Arial"/>
          <w:sz w:val="15"/>
          <w:szCs w:val="15"/>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31" w:lineRule="exact"/>
        <w:rPr>
          <w:sz w:val="20"/>
          <w:szCs w:val="20"/>
          <w:color w:val="auto"/>
        </w:rPr>
      </w:pPr>
    </w:p>
    <w:p>
      <w:pPr>
        <w:ind w:right="20" w:firstLine="425"/>
        <w:spacing w:after="0" w:line="266"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7"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50" w:lineRule="exact"/>
        <w:rPr>
          <w:sz w:val="20"/>
          <w:szCs w:val="20"/>
          <w:color w:val="auto"/>
        </w:rPr>
      </w:pPr>
    </w:p>
    <w:p>
      <w:pPr>
        <w:ind w:right="120" w:firstLine="425"/>
        <w:spacing w:after="0" w:line="251"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212"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201" w:lineRule="exact"/>
        <w:rPr>
          <w:sz w:val="20"/>
          <w:szCs w:val="20"/>
          <w:color w:val="auto"/>
        </w:rPr>
      </w:pPr>
    </w:p>
    <w:p>
      <w:pPr>
        <w:ind w:right="320" w:firstLine="425"/>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202" w:lineRule="exact"/>
        <w:rPr>
          <w:sz w:val="20"/>
          <w:szCs w:val="20"/>
          <w:color w:val="auto"/>
        </w:rPr>
      </w:pPr>
    </w:p>
    <w:p>
      <w:pPr>
        <w:ind w:firstLine="425"/>
        <w:spacing w:after="0" w:line="267"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202"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201" w:lineRule="exact"/>
        <w:rPr>
          <w:sz w:val="20"/>
          <w:szCs w:val="20"/>
          <w:color w:val="auto"/>
        </w:rPr>
      </w:pPr>
    </w:p>
    <w:p>
      <w:pPr>
        <w:ind w:right="20" w:firstLine="425"/>
        <w:spacing w:after="0" w:line="255"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200" w:lineRule="exact"/>
        <w:rPr>
          <w:sz w:val="20"/>
          <w:szCs w:val="20"/>
          <w:color w:val="auto"/>
        </w:rPr>
      </w:pPr>
    </w:p>
    <w:p>
      <w:pPr>
        <w:spacing w:after="0" w:line="21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expanding the commercialization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funding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furthering our research and development;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acquiring other businesses or assets and licensing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3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00" w:lineRule="exact"/>
        <w:rPr>
          <w:sz w:val="20"/>
          <w:szCs w:val="20"/>
          <w:color w:val="auto"/>
        </w:rPr>
      </w:pPr>
    </w:p>
    <w:p>
      <w:pPr>
        <w:spacing w:after="0" w:line="24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market acceptance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cost of our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cost of filing and prosecuting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ectPr>
          <w:pgSz w:w="11900" w:h="16838" w:orient="portrait"/>
          <w:cols w:equalWidth="0" w:num="1">
            <w:col w:w="11420"/>
          </w:cols>
          <w:pgMar w:left="240" w:top="127" w:right="239" w:bottom="3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cost and timing of regulatory clearances or approvals,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-62865</wp:posOffset>
            </wp:positionV>
            <wp:extent cx="59055" cy="59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ectPr>
          <w:pgSz w:w="11900" w:h="16838" w:orient="portrait"/>
          <w:cols w:equalWidth="0" w:num="1">
            <w:col w:w="11420"/>
          </w:cols>
          <w:pgMar w:left="240" w:top="127" w:right="239" w:bottom="350" w:gutter="0" w:footer="0" w:header="0"/>
          <w:type w:val="continuous"/>
        </w:sectPr>
      </w:pPr>
    </w:p>
    <w:bookmarkStart w:id="48" w:name="page49"/>
    <w:bookmarkEnd w:id="48"/>
    <w:p>
      <w:pPr>
        <w:spacing w:after="0"/>
        <w:rPr>
          <w:sz w:val="20"/>
          <w:szCs w:val="20"/>
          <w:color w:val="auto"/>
        </w:rPr>
      </w:pPr>
      <w:r>
        <w:rPr>
          <w:rFonts w:ascii="Arial" w:cs="Arial" w:eastAsia="Arial" w:hAnsi="Arial"/>
          <w:sz w:val="15"/>
          <w:szCs w:val="15"/>
          <w:color w:val="auto"/>
        </w:rPr>
        <w:t>the cost and timing of establishing additional sales, marketing, and distribution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-62865</wp:posOffset>
            </wp:positionV>
            <wp:extent cx="59055" cy="59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cost and timing of establishing additional technical support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-85090</wp:posOffset>
            </wp:positionV>
            <wp:extent cx="59055" cy="59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9439"/>
          </w:cols>
          <w:pgMar w:left="1020" w:top="114" w:right="1440"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effectiveness of our recent efficiency and cost-savings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effect of competing technological and market developments;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right="580" w:hanging="19"/>
        <w:spacing w:after="0" w:line="229" w:lineRule="auto"/>
        <w:rPr>
          <w:sz w:val="20"/>
          <w:szCs w:val="20"/>
          <w:color w:val="auto"/>
        </w:rPr>
      </w:pPr>
      <w:r>
        <w:rPr>
          <w:sz w:val="1"/>
          <w:szCs w:val="1"/>
          <w:color w:val="auto"/>
        </w:rPr>
        <w:drawing>
          <wp:inline distT="0" distB="0" distL="0" distR="0">
            <wp:extent cx="59055" cy="5905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the extent to which we acquire or invest in businesses, products, and technologies, although we currently have no commitments or agreements relating to any of these types of transactions.</w:t>
      </w:r>
    </w:p>
    <w:p>
      <w:pPr>
        <w:spacing w:after="0" w:line="200" w:lineRule="exact"/>
        <w:rPr>
          <w:sz w:val="20"/>
          <w:szCs w:val="20"/>
          <w:color w:val="auto"/>
        </w:rPr>
      </w:pPr>
    </w:p>
    <w:p>
      <w:pPr>
        <w:spacing w:after="0" w:line="215" w:lineRule="exact"/>
        <w:rPr>
          <w:sz w:val="20"/>
          <w:szCs w:val="20"/>
          <w:color w:val="auto"/>
        </w:rPr>
      </w:pPr>
    </w:p>
    <w:p>
      <w:pPr>
        <w:ind w:right="80" w:firstLine="389"/>
        <w:spacing w:after="0" w:line="249"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214" w:lineRule="exact"/>
        <w:rPr>
          <w:sz w:val="20"/>
          <w:szCs w:val="20"/>
          <w:color w:val="auto"/>
        </w:rPr>
      </w:pPr>
    </w:p>
    <w:p>
      <w:pPr>
        <w:ind w:right="340"/>
        <w:spacing w:after="0" w:line="302"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78" w:lineRule="exact"/>
        <w:rPr>
          <w:sz w:val="20"/>
          <w:szCs w:val="20"/>
          <w:color w:val="auto"/>
        </w:rPr>
      </w:pPr>
    </w:p>
    <w:p>
      <w:pPr>
        <w:ind w:firstLine="425"/>
        <w:spacing w:after="0" w:line="300" w:lineRule="auto"/>
        <w:rPr>
          <w:sz w:val="20"/>
          <w:szCs w:val="20"/>
          <w:color w:val="auto"/>
        </w:rPr>
      </w:pPr>
      <w:r>
        <w:rPr>
          <w:rFonts w:ascii="Arial" w:cs="Arial" w:eastAsia="Arial" w:hAnsi="Arial"/>
          <w:sz w:val="15"/>
          <w:szCs w:val="15"/>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397" w:lineRule="exact"/>
        <w:rPr>
          <w:sz w:val="20"/>
          <w:szCs w:val="20"/>
          <w:color w:val="auto"/>
        </w:rPr>
      </w:pPr>
    </w:p>
    <w:p>
      <w:pPr>
        <w:ind w:right="720"/>
        <w:spacing w:after="0" w:line="27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201" w:lineRule="exact"/>
        <w:rPr>
          <w:sz w:val="20"/>
          <w:szCs w:val="20"/>
          <w:color w:val="auto"/>
        </w:rPr>
      </w:pPr>
    </w:p>
    <w:p>
      <w:pPr>
        <w:ind w:right="20" w:firstLine="389"/>
        <w:spacing w:after="0" w:line="264"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420"/>
          </w:cols>
          <w:pgMar w:left="240" w:top="127"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50" w:lineRule="exact"/>
        <w:rPr>
          <w:sz w:val="20"/>
          <w:szCs w:val="20"/>
          <w:color w:val="auto"/>
        </w:rPr>
      </w:pPr>
    </w:p>
    <w:p>
      <w:pPr>
        <w:ind w:right="220" w:firstLine="425"/>
        <w:spacing w:after="0" w:line="251"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200" w:lineRule="exact"/>
        <w:rPr>
          <w:sz w:val="20"/>
          <w:szCs w:val="20"/>
          <w:color w:val="auto"/>
        </w:rPr>
      </w:pPr>
    </w:p>
    <w:p>
      <w:pPr>
        <w:spacing w:after="0" w:line="2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diversion of our management’s attention from normal daily operation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inability to retain key personnel of the acquired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uncertainty of entry into markets in which we have limited or no prior experience and in which competitors have stronger market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dependence on unfamiliar affiliates and customers of the companies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insufficient revenue to offset our increased expenses associated with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inability to maintain internal standards, controls, procedures,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60" w:firstLine="425"/>
        <w:spacing w:after="0" w:line="331" w:lineRule="auto"/>
        <w:rPr>
          <w:sz w:val="20"/>
          <w:szCs w:val="20"/>
          <w:color w:val="auto"/>
        </w:rPr>
      </w:pPr>
      <w:r>
        <w:rPr>
          <w:rFonts w:ascii="Arial" w:cs="Arial" w:eastAsia="Arial" w:hAnsi="Arial"/>
          <w:sz w:val="15"/>
          <w:szCs w:val="15"/>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56"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201" w:lineRule="exact"/>
        <w:rPr>
          <w:sz w:val="20"/>
          <w:szCs w:val="20"/>
          <w:color w:val="auto"/>
        </w:rPr>
      </w:pPr>
    </w:p>
    <w:p>
      <w:pPr>
        <w:ind w:firstLine="425"/>
        <w:spacing w:after="0" w:line="307" w:lineRule="auto"/>
        <w:rPr>
          <w:sz w:val="20"/>
          <w:szCs w:val="20"/>
          <w:color w:val="auto"/>
        </w:rPr>
      </w:pPr>
      <w:r>
        <w:rPr>
          <w:rFonts w:ascii="Arial" w:cs="Arial" w:eastAsia="Arial" w:hAnsi="Arial"/>
          <w:sz w:val="15"/>
          <w:szCs w:val="15"/>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81" w:lineRule="exact"/>
        <w:rPr>
          <w:sz w:val="20"/>
          <w:szCs w:val="20"/>
          <w:color w:val="auto"/>
        </w:rPr>
      </w:pPr>
    </w:p>
    <w:p>
      <w:pPr>
        <w:ind w:firstLine="425"/>
        <w:spacing w:after="0" w:line="251"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12"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78" w:lineRule="exact"/>
        <w:rPr>
          <w:sz w:val="20"/>
          <w:szCs w:val="20"/>
          <w:color w:val="auto"/>
        </w:rPr>
      </w:pPr>
    </w:p>
    <w:p>
      <w:pPr>
        <w:ind w:firstLine="425"/>
        <w:spacing w:after="0" w:line="252" w:lineRule="auto"/>
        <w:rPr>
          <w:sz w:val="20"/>
          <w:szCs w:val="20"/>
          <w:color w:val="auto"/>
        </w:rPr>
      </w:pPr>
      <w:r>
        <w:rPr>
          <w:rFonts w:ascii="Arial" w:cs="Arial" w:eastAsia="Arial" w:hAnsi="Arial"/>
          <w:sz w:val="18"/>
          <w:szCs w:val="18"/>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w:t>
      </w:r>
    </w:p>
    <w:p>
      <w:pPr>
        <w:sectPr>
          <w:pgSz w:w="11900" w:h="16838" w:orient="portrait"/>
          <w:cols w:equalWidth="0" w:num="1">
            <w:col w:w="11420"/>
          </w:cols>
          <w:pgMar w:left="240" w:top="127" w:right="239" w:bottom="0" w:gutter="0" w:footer="0" w:header="0"/>
        </w:sectPr>
      </w:pPr>
    </w:p>
    <w:bookmarkStart w:id="51" w:name="page52"/>
    <w:bookmarkEnd w:id="51"/>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9019"/>
          </w:cols>
          <w:pgMar w:left="1440" w:top="313"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accounting principles, or interpretations thereof, could have a significant impact on our financial position and results of operations.</w:t>
      </w:r>
    </w:p>
    <w:p>
      <w:pPr>
        <w:spacing w:after="0" w:line="298" w:lineRule="exact"/>
        <w:rPr>
          <w:sz w:val="20"/>
          <w:szCs w:val="20"/>
          <w:color w:val="auto"/>
        </w:rPr>
      </w:pPr>
    </w:p>
    <w:p>
      <w:pPr>
        <w:jc w:val="both"/>
        <w:ind w:right="20" w:firstLine="425"/>
        <w:spacing w:after="0" w:line="319" w:lineRule="auto"/>
        <w:rPr>
          <w:sz w:val="20"/>
          <w:szCs w:val="20"/>
          <w:color w:val="auto"/>
        </w:rPr>
      </w:pPr>
      <w:r>
        <w:rPr>
          <w:rFonts w:ascii="Arial" w:cs="Arial" w:eastAsia="Arial" w:hAnsi="Arial"/>
          <w:sz w:val="15"/>
          <w:szCs w:val="15"/>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71" w:lineRule="exact"/>
        <w:rPr>
          <w:sz w:val="20"/>
          <w:szCs w:val="20"/>
          <w:color w:val="auto"/>
        </w:rPr>
      </w:pPr>
    </w:p>
    <w:p>
      <w:pPr>
        <w:ind w:right="20" w:firstLine="425"/>
        <w:spacing w:after="0" w:line="301" w:lineRule="auto"/>
        <w:rPr>
          <w:sz w:val="20"/>
          <w:szCs w:val="20"/>
          <w:color w:val="auto"/>
        </w:rPr>
      </w:pPr>
      <w:r>
        <w:rPr>
          <w:rFonts w:ascii="Arial" w:cs="Arial" w:eastAsia="Arial" w:hAnsi="Arial"/>
          <w:sz w:val="15"/>
          <w:szCs w:val="15"/>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is effective for our fiscal year 2018. We adopted ASU 2014-09 in the first quarter of 2018 using the modified retrospective method. The adoption is not expected to have a material impact on our consolidated financial statements.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400" w:lineRule="exact"/>
        <w:rPr>
          <w:sz w:val="20"/>
          <w:szCs w:val="20"/>
          <w:color w:val="auto"/>
        </w:rPr>
      </w:pPr>
    </w:p>
    <w:p>
      <w:pPr>
        <w:ind w:firstLine="425"/>
        <w:spacing w:after="0" w:line="295" w:lineRule="auto"/>
        <w:rPr>
          <w:sz w:val="20"/>
          <w:szCs w:val="20"/>
          <w:color w:val="auto"/>
        </w:rPr>
      </w:pPr>
      <w:r>
        <w:rPr>
          <w:rFonts w:ascii="Arial" w:cs="Arial" w:eastAsia="Arial" w:hAnsi="Arial"/>
          <w:sz w:val="17"/>
          <w:szCs w:val="17"/>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7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201" w:lineRule="exact"/>
        <w:rPr>
          <w:sz w:val="20"/>
          <w:szCs w:val="20"/>
          <w:color w:val="auto"/>
        </w:rPr>
      </w:pPr>
    </w:p>
    <w:p>
      <w:pPr>
        <w:ind w:right="20" w:firstLine="425"/>
        <w:spacing w:after="0" w:line="251"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 income</w:t>
      </w:r>
      <w:r>
        <w:rPr>
          <w:rFonts w:ascii="Arial" w:cs="Arial" w:eastAsia="Arial" w:hAnsi="Arial"/>
          <w:sz w:val="18"/>
          <w:szCs w:val="18"/>
          <w:color w:val="auto"/>
        </w:rPr>
        <w:t xml:space="preserve"> </w:t>
      </w:r>
      <w:r>
        <w:rPr>
          <w:rFonts w:ascii="Arial" w:cs="Arial" w:eastAsia="Arial" w:hAnsi="Arial"/>
          <w:sz w:val="18"/>
          <w:szCs w:val="18"/>
          <w:color w:val="212121"/>
        </w:rPr>
        <w:t>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218" w:lineRule="exact"/>
        <w:rPr>
          <w:sz w:val="20"/>
          <w:szCs w:val="20"/>
          <w:color w:val="auto"/>
        </w:rPr>
      </w:pPr>
    </w:p>
    <w:p>
      <w:pPr>
        <w:ind w:right="80" w:firstLine="425"/>
        <w:spacing w:after="0" w:line="251"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218" w:lineRule="exact"/>
        <w:rPr>
          <w:sz w:val="20"/>
          <w:szCs w:val="20"/>
          <w:color w:val="auto"/>
        </w:rPr>
      </w:pPr>
    </w:p>
    <w:p>
      <w:pPr>
        <w:ind w:right="100" w:firstLine="425"/>
        <w:spacing w:after="0" w:line="255"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12121"/>
        </w:rPr>
        <w:t>believe that these tax benefits are a valuable asset for us. However, legislation commonly known as the 2017 Tax Cuts and Jobs Act includes a</w:t>
      </w:r>
      <w:r>
        <w:rPr>
          <w:rFonts w:ascii="Arial" w:cs="Arial" w:eastAsia="Arial" w:hAnsi="Arial"/>
          <w:sz w:val="18"/>
          <w:szCs w:val="18"/>
          <w:color w:val="auto"/>
        </w:rPr>
        <w:t xml:space="preserve"> </w:t>
      </w:r>
      <w:r>
        <w:rPr>
          <w:rFonts w:ascii="Arial" w:cs="Arial" w:eastAsia="Arial" w:hAnsi="Arial"/>
          <w:sz w:val="18"/>
          <w:szCs w:val="18"/>
          <w:color w:val="212121"/>
        </w:rPr>
        <w:t>decrease in the U.S. federal corporate income tax rate from 35% to 21%, and our tax benefits were revalued at the newly enacted rate. We do not expect this to have a material impact on our financial statements because we</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127" w:right="31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307" w:lineRule="auto"/>
        <w:rPr>
          <w:sz w:val="20"/>
          <w:szCs w:val="20"/>
          <w:color w:val="auto"/>
        </w:rPr>
      </w:pPr>
      <w:r>
        <w:rPr>
          <w:rFonts w:ascii="Arial" w:cs="Arial" w:eastAsia="Arial" w:hAnsi="Arial"/>
          <w:sz w:val="15"/>
          <w:szCs w:val="15"/>
          <w:color w:val="212121"/>
        </w:rPr>
        <w:t xml:space="preserve">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 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w:t>
      </w:r>
      <w:r>
        <w:rPr>
          <w:rFonts w:ascii="Arial" w:cs="Arial" w:eastAsia="Arial" w:hAnsi="Arial"/>
          <w:sz w:val="15"/>
          <w:szCs w:val="15"/>
          <w:color w:val="000000"/>
        </w:rPr>
        <w:t>Any future</w:t>
      </w:r>
      <w:r>
        <w:rPr>
          <w:rFonts w:ascii="Arial" w:cs="Arial" w:eastAsia="Arial" w:hAnsi="Arial"/>
          <w:sz w:val="15"/>
          <w:szCs w:val="15"/>
          <w:color w:val="212121"/>
        </w:rPr>
        <w:t xml:space="preserve"> tax benefit preservation plan could make it more difficult for a third party to acquire, or could discourage a third party from acquiring, us or a large block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127" w:right="31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50" w:lineRule="exact"/>
        <w:rPr>
          <w:sz w:val="20"/>
          <w:szCs w:val="20"/>
          <w:color w:val="auto"/>
        </w:rPr>
      </w:pPr>
    </w:p>
    <w:p>
      <w:pPr>
        <w:ind w:right="60" w:firstLine="425"/>
        <w:spacing w:after="0" w:line="264"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213" w:lineRule="exact"/>
        <w:rPr>
          <w:sz w:val="20"/>
          <w:szCs w:val="20"/>
          <w:color w:val="auto"/>
        </w:rPr>
      </w:pPr>
    </w:p>
    <w:p>
      <w:pPr>
        <w:ind w:firstLine="425"/>
        <w:spacing w:after="0" w:line="269"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200" w:lineRule="exact"/>
        <w:rPr>
          <w:sz w:val="20"/>
          <w:szCs w:val="20"/>
          <w:color w:val="auto"/>
        </w:rPr>
      </w:pPr>
    </w:p>
    <w:p>
      <w:pPr>
        <w:spacing w:after="0" w:line="20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might not have been the first to file patent applications for these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patents of others may have an adverse effect on our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-77470</wp:posOffset>
            </wp:positionV>
            <wp:extent cx="59055" cy="59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40" w:firstLine="425"/>
        <w:spacing w:after="0" w:line="265"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0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212" w:lineRule="exact"/>
        <w:rPr>
          <w:sz w:val="20"/>
          <w:szCs w:val="20"/>
          <w:color w:val="auto"/>
        </w:rPr>
      </w:pPr>
    </w:p>
    <w:p>
      <w:pPr>
        <w:ind w:right="40" w:firstLine="425"/>
        <w:spacing w:after="0" w:line="307" w:lineRule="auto"/>
        <w:rPr>
          <w:sz w:val="20"/>
          <w:szCs w:val="20"/>
          <w:color w:val="auto"/>
        </w:rPr>
      </w:pPr>
      <w:r>
        <w:rPr>
          <w:rFonts w:ascii="Arial" w:cs="Arial" w:eastAsia="Arial" w:hAnsi="Arial"/>
          <w:sz w:val="15"/>
          <w:szCs w:val="15"/>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81" w:lineRule="exact"/>
        <w:rPr>
          <w:sz w:val="20"/>
          <w:szCs w:val="20"/>
          <w:color w:val="auto"/>
        </w:rPr>
      </w:pPr>
    </w:p>
    <w:p>
      <w:pPr>
        <w:ind w:right="80" w:firstLine="425"/>
        <w:spacing w:after="0" w:line="265"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w:t>
      </w:r>
    </w:p>
    <w:p>
      <w:pPr>
        <w:sectPr>
          <w:pgSz w:w="11900" w:h="16838" w:orient="portrait"/>
          <w:cols w:equalWidth="0" w:num="1">
            <w:col w:w="11400"/>
          </w:cols>
          <w:pgMar w:left="240" w:top="127" w:right="2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400"/>
          </w:cols>
          <w:pgMar w:left="240" w:top="127" w:right="2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40"/>
        <w:spacing w:after="0" w:line="295" w:lineRule="auto"/>
        <w:rPr>
          <w:sz w:val="20"/>
          <w:szCs w:val="20"/>
          <w:color w:val="auto"/>
        </w:rPr>
      </w:pPr>
      <w:r>
        <w:rPr>
          <w:rFonts w:ascii="Arial" w:cs="Arial" w:eastAsia="Arial" w:hAnsi="Arial"/>
          <w:sz w:val="17"/>
          <w:szCs w:val="17"/>
          <w:color w:val="auto"/>
        </w:rPr>
        <w:t>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83" w:lineRule="exact"/>
        <w:rPr>
          <w:sz w:val="20"/>
          <w:szCs w:val="20"/>
          <w:color w:val="auto"/>
        </w:rPr>
      </w:pPr>
    </w:p>
    <w:p>
      <w:pPr>
        <w:ind w:right="80" w:firstLine="425"/>
        <w:spacing w:after="0" w:line="265"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205" w:lineRule="exact"/>
        <w:rPr>
          <w:sz w:val="20"/>
          <w:szCs w:val="20"/>
          <w:color w:val="auto"/>
        </w:rPr>
      </w:pPr>
    </w:p>
    <w:p>
      <w:pPr>
        <w:ind w:right="840"/>
        <w:spacing w:after="0" w:line="375" w:lineRule="auto"/>
        <w:rPr>
          <w:sz w:val="20"/>
          <w:szCs w:val="20"/>
          <w:color w:val="auto"/>
        </w:rPr>
      </w:pPr>
      <w:r>
        <w:rPr>
          <w:rFonts w:ascii="Arial" w:cs="Arial" w:eastAsia="Arial" w:hAnsi="Arial"/>
          <w:sz w:val="15"/>
          <w:szCs w:val="15"/>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31" w:lineRule="exact"/>
        <w:rPr>
          <w:sz w:val="20"/>
          <w:szCs w:val="20"/>
          <w:color w:val="auto"/>
        </w:rPr>
      </w:pPr>
    </w:p>
    <w:p>
      <w:pPr>
        <w:ind w:right="80" w:firstLine="389"/>
        <w:spacing w:after="0" w:line="264"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207"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201" w:lineRule="exact"/>
        <w:rPr>
          <w:sz w:val="20"/>
          <w:szCs w:val="20"/>
          <w:color w:val="auto"/>
        </w:rPr>
      </w:pPr>
    </w:p>
    <w:p>
      <w:pPr>
        <w:ind w:right="80" w:firstLine="425"/>
        <w:spacing w:after="0" w:line="305" w:lineRule="auto"/>
        <w:rPr>
          <w:sz w:val="20"/>
          <w:szCs w:val="20"/>
          <w:color w:val="auto"/>
        </w:rPr>
      </w:pPr>
      <w:r>
        <w:rPr>
          <w:rFonts w:ascii="Arial" w:cs="Arial" w:eastAsia="Arial" w:hAnsi="Arial"/>
          <w:sz w:val="15"/>
          <w:szCs w:val="15"/>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84" w:lineRule="exact"/>
        <w:rPr>
          <w:sz w:val="20"/>
          <w:szCs w:val="20"/>
          <w:color w:val="auto"/>
        </w:rPr>
      </w:pPr>
    </w:p>
    <w:p>
      <w:pPr>
        <w:ind w:right="280" w:firstLine="425"/>
        <w:spacing w:after="0" w:line="278"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97" w:lineRule="exact"/>
        <w:rPr>
          <w:sz w:val="20"/>
          <w:szCs w:val="20"/>
          <w:color w:val="auto"/>
        </w:rPr>
      </w:pPr>
    </w:p>
    <w:p>
      <w:pPr>
        <w:ind w:right="40" w:firstLine="425"/>
        <w:spacing w:after="0" w:line="319" w:lineRule="auto"/>
        <w:rPr>
          <w:sz w:val="20"/>
          <w:szCs w:val="20"/>
          <w:color w:val="auto"/>
        </w:rPr>
      </w:pPr>
      <w:r>
        <w:rPr>
          <w:rFonts w:ascii="Arial" w:cs="Arial" w:eastAsia="Arial" w:hAnsi="Arial"/>
          <w:sz w:val="15"/>
          <w:szCs w:val="15"/>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certain manufacturing restrictions related to licensed technologies that were developed with the financial assistance of U.S.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33" w:lineRule="exact"/>
        <w:rPr>
          <w:sz w:val="20"/>
          <w:szCs w:val="20"/>
          <w:color w:val="auto"/>
        </w:rPr>
      </w:pPr>
    </w:p>
    <w:p>
      <w:pPr>
        <w:ind w:firstLine="425"/>
        <w:spacing w:after="0" w:line="299" w:lineRule="auto"/>
        <w:rPr>
          <w:sz w:val="20"/>
          <w:szCs w:val="20"/>
          <w:color w:val="auto"/>
        </w:rPr>
      </w:pPr>
      <w:r>
        <w:rPr>
          <w:rFonts w:ascii="Arial" w:cs="Arial" w:eastAsia="Arial" w:hAnsi="Arial"/>
          <w:sz w:val="15"/>
          <w:szCs w:val="15"/>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398"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201" w:lineRule="exact"/>
        <w:rPr>
          <w:sz w:val="20"/>
          <w:szCs w:val="20"/>
          <w:color w:val="auto"/>
        </w:rPr>
      </w:pPr>
    </w:p>
    <w:p>
      <w:pPr>
        <w:ind w:right="20" w:firstLine="425"/>
        <w:spacing w:after="0" w:line="304" w:lineRule="auto"/>
        <w:rPr>
          <w:sz w:val="20"/>
          <w:szCs w:val="20"/>
          <w:color w:val="auto"/>
        </w:rPr>
      </w:pPr>
      <w:r>
        <w:rPr>
          <w:rFonts w:ascii="Arial" w:cs="Arial" w:eastAsia="Arial" w:hAnsi="Arial"/>
          <w:sz w:val="15"/>
          <w:szCs w:val="15"/>
          <w:color w:val="auto"/>
        </w:rPr>
        <w:t>We rely on our information technology systems for the effective operation of our business and for the secure maintenance and storage of confidential data relating to our business and third-party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7"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could adversely affect our business, operations, and financial results.</w:t>
      </w:r>
    </w:p>
    <w:p>
      <w:pPr>
        <w:spacing w:after="0" w:line="244" w:lineRule="exact"/>
        <w:rPr>
          <w:sz w:val="20"/>
          <w:szCs w:val="20"/>
          <w:color w:val="auto"/>
        </w:rPr>
      </w:pPr>
    </w:p>
    <w:p>
      <w:pPr>
        <w:ind w:right="340" w:firstLine="425"/>
        <w:spacing w:after="0" w:line="295"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are subject to certain obligations and restrictions relating to technologies developed in cooperation with Canadian government agencies.</w:t>
      </w:r>
    </w:p>
    <w:p>
      <w:pPr>
        <w:spacing w:after="0" w:line="285" w:lineRule="exact"/>
        <w:rPr>
          <w:sz w:val="20"/>
          <w:szCs w:val="20"/>
          <w:color w:val="auto"/>
        </w:rPr>
      </w:pPr>
    </w:p>
    <w:p>
      <w:pPr>
        <w:ind w:firstLine="389"/>
        <w:spacing w:after="0" w:line="300" w:lineRule="auto"/>
        <w:rPr>
          <w:sz w:val="20"/>
          <w:szCs w:val="20"/>
          <w:color w:val="auto"/>
        </w:rPr>
      </w:pPr>
      <w:r>
        <w:rPr>
          <w:rFonts w:ascii="Arial" w:cs="Arial" w:eastAsia="Arial" w:hAnsi="Arial"/>
          <w:sz w:val="15"/>
          <w:szCs w:val="15"/>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27"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212" w:lineRule="exact"/>
        <w:rPr>
          <w:sz w:val="20"/>
          <w:szCs w:val="20"/>
          <w:color w:val="auto"/>
        </w:rPr>
      </w:pPr>
    </w:p>
    <w:p>
      <w:pPr>
        <w:ind w:firstLine="425"/>
        <w:spacing w:after="0" w:line="304" w:lineRule="auto"/>
        <w:rPr>
          <w:sz w:val="20"/>
          <w:szCs w:val="20"/>
          <w:color w:val="auto"/>
        </w:rPr>
      </w:pPr>
      <w:r>
        <w:rPr>
          <w:rFonts w:ascii="Arial" w:cs="Arial" w:eastAsia="Arial" w:hAnsi="Arial"/>
          <w:sz w:val="15"/>
          <w:szCs w:val="15"/>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March 31, 2018, we had 38,908,283 shares of common stock outstanding, and stockholders holding at least 5% of our stock, individually or with affiliated persons or entities, collectively beneficially owned or controlled approximately 64.7% of such shares and one stockholder beneficially owned 32.1%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64.7% held by our top four stockholders) means that a relatively small number of stockholders have significant control over the outcomes of stockholder voting.</w:t>
      </w:r>
    </w:p>
    <w:p>
      <w:pPr>
        <w:spacing w:after="0" w:line="396" w:lineRule="exact"/>
        <w:rPr>
          <w:sz w:val="20"/>
          <w:szCs w:val="20"/>
          <w:color w:val="auto"/>
        </w:rPr>
      </w:pPr>
    </w:p>
    <w:p>
      <w:pPr>
        <w:ind w:right="80" w:firstLine="425"/>
        <w:spacing w:after="0" w:line="265"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right="160" w:hanging="19"/>
        <w:spacing w:after="0" w:line="219" w:lineRule="auto"/>
        <w:rPr>
          <w:sz w:val="20"/>
          <w:szCs w:val="20"/>
          <w:color w:val="auto"/>
        </w:rPr>
      </w:pPr>
      <w:r>
        <w:rPr>
          <w:sz w:val="1"/>
          <w:szCs w:val="1"/>
          <w:color w:val="auto"/>
        </w:rPr>
        <w:drawing>
          <wp:inline distT="0" distB="0" distL="0" distR="0">
            <wp:extent cx="59055" cy="5905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200" w:lineRule="exact"/>
        <w:rPr>
          <w:sz w:val="20"/>
          <w:szCs w:val="20"/>
          <w:color w:val="auto"/>
        </w:rPr>
      </w:pPr>
    </w:p>
    <w:p>
      <w:pPr>
        <w:spacing w:after="0" w:line="3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issuance of new or changed securities analysts’ reports or recommendations for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developments or disputes concerning our intellectual property or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commencement of, or our involvement in,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market conditions in the life science, Ag-Bio, and CRO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failure to complete significant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manufacturing disruptions that could occur if we were unable to successfully expand our production in our current or an alternative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any major change to the composition of our board of directors or management;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general economic conditions and slow or negative growth of our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40" w:firstLine="425"/>
        <w:spacing w:after="0" w:line="250"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ectPr>
          <w:pgSz w:w="11900" w:h="16838" w:orient="portrait"/>
          <w:cols w:equalWidth="0" w:num="1">
            <w:col w:w="11420"/>
          </w:cols>
          <w:pgMar w:left="240" w:top="127" w:right="239" w:bottom="118" w:gutter="0" w:footer="0" w:header="0"/>
        </w:sectPr>
      </w:pPr>
    </w:p>
    <w:bookmarkStart w:id="59" w:name="page60"/>
    <w:bookmarkEnd w:id="59"/>
    <w:p>
      <w:pPr>
        <w:spacing w:after="0" w:line="27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201" w:lineRule="exact"/>
        <w:rPr>
          <w:sz w:val="20"/>
          <w:szCs w:val="20"/>
          <w:color w:val="auto"/>
        </w:rPr>
      </w:pPr>
    </w:p>
    <w:p>
      <w:pPr>
        <w:ind w:firstLine="425"/>
        <w:spacing w:after="0" w:line="265"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1"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212" w:lineRule="exact"/>
        <w:rPr>
          <w:sz w:val="20"/>
          <w:szCs w:val="20"/>
          <w:color w:val="auto"/>
        </w:rPr>
      </w:pPr>
    </w:p>
    <w:p>
      <w:pPr>
        <w:ind w:right="40" w:firstLine="425"/>
        <w:spacing w:after="0" w:line="265"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-77470</wp:posOffset>
            </wp:positionV>
            <wp:extent cx="59055" cy="590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-77470</wp:posOffset>
            </wp:positionV>
            <wp:extent cx="59055" cy="590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540" w:hanging="19"/>
        <w:spacing w:after="0" w:line="229" w:lineRule="auto"/>
        <w:rPr>
          <w:sz w:val="20"/>
          <w:szCs w:val="20"/>
          <w:color w:val="auto"/>
        </w:rPr>
      </w:pPr>
      <w:r>
        <w:rPr>
          <w:sz w:val="1"/>
          <w:szCs w:val="1"/>
          <w:color w:val="auto"/>
        </w:rPr>
        <w:drawing>
          <wp:inline distT="0" distB="0" distL="0" distR="0">
            <wp:extent cx="59055" cy="5905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specify that special meetings of our stockholders can be called only by our board of directors, the chairman of the board, the chief executive officer or the president;</w:t>
      </w:r>
    </w:p>
    <w:p>
      <w:pPr>
        <w:spacing w:after="0" w:line="200" w:lineRule="exact"/>
        <w:rPr>
          <w:sz w:val="20"/>
          <w:szCs w:val="20"/>
          <w:color w:val="auto"/>
        </w:rPr>
      </w:pPr>
    </w:p>
    <w:p>
      <w:pPr>
        <w:spacing w:after="0" w:line="387" w:lineRule="exact"/>
        <w:rPr>
          <w:sz w:val="20"/>
          <w:szCs w:val="20"/>
          <w:color w:val="auto"/>
        </w:rPr>
      </w:pPr>
    </w:p>
    <w:p>
      <w:pPr>
        <w:ind w:left="540" w:right="400" w:hanging="19"/>
        <w:spacing w:after="0" w:line="229" w:lineRule="auto"/>
        <w:rPr>
          <w:sz w:val="20"/>
          <w:szCs w:val="20"/>
          <w:color w:val="auto"/>
        </w:rPr>
      </w:pPr>
      <w:r>
        <w:rPr>
          <w:sz w:val="1"/>
          <w:szCs w:val="1"/>
          <w:color w:val="auto"/>
        </w:rPr>
        <w:drawing>
          <wp:inline distT="0" distB="0" distL="0" distR="0">
            <wp:extent cx="59055" cy="5905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establish an advance notice procedure for stockholder approvals to be brought before an annual meeting of our stockholders, including proposed nominations of persons for election to our board of directors;</w:t>
      </w:r>
    </w:p>
    <w:p>
      <w:pPr>
        <w:spacing w:after="0" w:line="200" w:lineRule="exact"/>
        <w:rPr>
          <w:sz w:val="20"/>
          <w:szCs w:val="20"/>
          <w:color w:val="auto"/>
        </w:rPr>
      </w:pPr>
    </w:p>
    <w:p>
      <w:pPr>
        <w:spacing w:after="0" w:line="387" w:lineRule="exact"/>
        <w:rPr>
          <w:sz w:val="20"/>
          <w:szCs w:val="20"/>
          <w:color w:val="auto"/>
        </w:rPr>
      </w:pPr>
    </w:p>
    <w:p>
      <w:pPr>
        <w:ind w:left="780"/>
        <w:spacing w:after="0"/>
        <w:rPr>
          <w:sz w:val="20"/>
          <w:szCs w:val="20"/>
          <w:color w:val="auto"/>
        </w:rPr>
      </w:pPr>
      <w:r>
        <w:rPr>
          <w:rFonts w:ascii="Arial" w:cs="Arial" w:eastAsia="Arial" w:hAnsi="Arial"/>
          <w:sz w:val="15"/>
          <w:szCs w:val="15"/>
          <w:color w:val="auto"/>
        </w:rPr>
        <w:t>establish that our board of directors is divided into three classes, Class I, Class II, and Class III, with each class serving staggered three 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-62865</wp:posOffset>
            </wp:positionV>
            <wp:extent cx="59055" cy="59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provide that our directors may be removed only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-77470</wp:posOffset>
            </wp:positionV>
            <wp:extent cx="59055" cy="590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specify that no stockholder is permitted to cumulate votes at any election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require a super-majority of votes to amend certain of the above-mentioned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20" w:firstLine="425"/>
        <w:spacing w:after="0" w:line="272"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62" w:lineRule="exact"/>
        <w:rPr>
          <w:sz w:val="20"/>
          <w:szCs w:val="20"/>
          <w:color w:val="auto"/>
        </w:rPr>
      </w:pPr>
    </w:p>
    <w:p>
      <w:pPr>
        <w:ind w:right="260" w:firstLine="425"/>
        <w:spacing w:after="0" w:line="331" w:lineRule="auto"/>
        <w:rPr>
          <w:sz w:val="20"/>
          <w:szCs w:val="20"/>
          <w:color w:val="auto"/>
        </w:rPr>
      </w:pPr>
      <w:r>
        <w:rPr>
          <w:rFonts w:ascii="Arial" w:cs="Arial" w:eastAsia="Arial" w:hAnsi="Arial"/>
          <w:sz w:val="15"/>
          <w:szCs w:val="15"/>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ectPr>
          <w:pgSz w:w="11900" w:h="16838" w:orient="portrait"/>
          <w:cols w:equalWidth="0" w:num="1">
            <w:col w:w="11400"/>
          </w:cols>
          <w:pgMar w:left="240" w:top="1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400"/>
          </w:cols>
          <w:pgMar w:left="240" w:top="127" w:right="2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outstanding convertible notes are effectively subordinated to our secured debt and any liabilities of our subsidiaries.</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2014 Notes and 2018 Notes, which, collectively, we refer to as our “Notes”, rank:</w:t>
      </w:r>
    </w:p>
    <w:p>
      <w:pPr>
        <w:spacing w:after="0" w:line="200" w:lineRule="exact"/>
        <w:rPr>
          <w:sz w:val="20"/>
          <w:szCs w:val="20"/>
          <w:color w:val="auto"/>
        </w:rPr>
      </w:pPr>
    </w:p>
    <w:p>
      <w:pPr>
        <w:spacing w:after="0" w:line="24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equal in right of payment to all of our liabilities that are not so subordinated;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5"/>
          <w:szCs w:val="15"/>
          <w:color w:val="auto"/>
        </w:rPr>
        <w:t>effectively junior in right of payment to any of our secured indebtedness to the extent of the value of the assets securing such indebtedness;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-62865</wp:posOffset>
            </wp:positionV>
            <wp:extent cx="59055" cy="59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firstLine="425"/>
        <w:spacing w:after="0" w:line="265" w:lineRule="auto"/>
        <w:rPr>
          <w:sz w:val="20"/>
          <w:szCs w:val="20"/>
          <w:color w:val="auto"/>
        </w:rPr>
      </w:pPr>
      <w:r>
        <w:rPr>
          <w:rFonts w:ascii="Arial" w:cs="Arial" w:eastAsia="Arial" w:hAnsi="Arial"/>
          <w:sz w:val="17"/>
          <w:szCs w:val="17"/>
          <w:color w:val="auto"/>
        </w:rPr>
        <w:t>In February 2014, we completed the offering of our 2014 Notes with an aggregate outstanding principal amount of $201.3 million. In March 2018, we completed an exchange of approximately $150.0 million in aggregate principal amount of our 2014 Notes for approximately $150.0 million in aggregate principal amount of our 2018 Notes, leaving approximately $51.3 million in aggregate principal amount of 2014 Notes outstanding. In the event of our bankruptcy, liquidation, reorganization, or other winding up, our assets that secure debt ranks senior in right of payment to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indentures governing the Notes do not prohibit us from incurring additional senior debt or secured debt, nor do they prohibit our subsidiaries from incurring additional liabilities.</w:t>
      </w:r>
    </w:p>
    <w:p>
      <w:pPr>
        <w:spacing w:after="0" w:line="205"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201" w:lineRule="exact"/>
        <w:rPr>
          <w:sz w:val="20"/>
          <w:szCs w:val="20"/>
          <w:color w:val="auto"/>
        </w:rPr>
      </w:pPr>
    </w:p>
    <w:p>
      <w:pPr>
        <w:ind w:right="20" w:firstLine="425"/>
        <w:spacing w:after="0" w:line="267"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50" w:lineRule="exact"/>
        <w:rPr>
          <w:sz w:val="20"/>
          <w:szCs w:val="20"/>
          <w:color w:val="auto"/>
        </w:rPr>
      </w:pPr>
    </w:p>
    <w:p>
      <w:pPr>
        <w:ind w:firstLine="425"/>
        <w:spacing w:after="0" w:line="266" w:lineRule="auto"/>
        <w:rPr>
          <w:sz w:val="20"/>
          <w:szCs w:val="20"/>
          <w:color w:val="auto"/>
        </w:rPr>
      </w:pPr>
      <w:r>
        <w:rPr>
          <w:rFonts w:ascii="Arial" w:cs="Arial" w:eastAsia="Arial" w:hAnsi="Arial"/>
          <w:sz w:val="17"/>
          <w:szCs w:val="17"/>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209" w:lineRule="exact"/>
        <w:rPr>
          <w:sz w:val="20"/>
          <w:szCs w:val="20"/>
          <w:color w:val="auto"/>
        </w:rPr>
      </w:pPr>
    </w:p>
    <w:p>
      <w:pPr>
        <w:ind w:right="20" w:firstLine="425"/>
        <w:spacing w:after="0" w:line="264"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w:t>
      </w:r>
    </w:p>
    <w:p>
      <w:pPr>
        <w:sectPr>
          <w:pgSz w:w="11900" w:h="16838" w:orient="portrait"/>
          <w:cols w:equalWidth="0" w:num="1">
            <w:col w:w="11400"/>
          </w:cols>
          <w:pgMar w:left="240" w:top="127" w:right="2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400"/>
          </w:cols>
          <w:pgMar w:left="240" w:top="127" w:right="2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0"/>
        <w:spacing w:after="0" w:line="366" w:lineRule="auto"/>
        <w:rPr>
          <w:sz w:val="20"/>
          <w:szCs w:val="20"/>
          <w:color w:val="auto"/>
        </w:rPr>
      </w:pPr>
      <w:r>
        <w:rPr>
          <w:rFonts w:ascii="Arial" w:cs="Arial" w:eastAsia="Arial" w:hAnsi="Arial"/>
          <w:sz w:val="15"/>
          <w:szCs w:val="15"/>
          <w:color w:val="auto"/>
        </w:rPr>
        <w:t>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50" w:lineRule="exact"/>
        <w:rPr>
          <w:sz w:val="20"/>
          <w:szCs w:val="20"/>
          <w:color w:val="auto"/>
        </w:rPr>
      </w:pPr>
    </w:p>
    <w:p>
      <w:pPr>
        <w:ind w:firstLine="425"/>
        <w:spacing w:after="0" w:line="304" w:lineRule="auto"/>
        <w:rPr>
          <w:sz w:val="20"/>
          <w:szCs w:val="20"/>
          <w:color w:val="auto"/>
        </w:rPr>
      </w:pPr>
      <w:r>
        <w:rPr>
          <w:rFonts w:ascii="Arial" w:cs="Arial" w:eastAsia="Arial" w:hAnsi="Arial"/>
          <w:sz w:val="15"/>
          <w:szCs w:val="15"/>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50" w:lineRule="exact"/>
        <w:rPr>
          <w:sz w:val="20"/>
          <w:szCs w:val="20"/>
          <w:color w:val="auto"/>
        </w:rPr>
      </w:pPr>
    </w:p>
    <w:p>
      <w:pPr>
        <w:ind w:right="40" w:firstLine="425"/>
        <w:spacing w:after="0" w:line="267" w:lineRule="auto"/>
        <w:rPr>
          <w:sz w:val="20"/>
          <w:szCs w:val="20"/>
          <w:color w:val="auto"/>
        </w:rPr>
      </w:pPr>
      <w:r>
        <w:rPr>
          <w:rFonts w:ascii="Arial" w:cs="Arial" w:eastAsia="Arial" w:hAnsi="Arial"/>
          <w:sz w:val="17"/>
          <w:szCs w:val="17"/>
          <w:color w:val="auto"/>
        </w:rPr>
        <w:t>We are not restricted under the terms of the indentures governing the Notes from incurring additional debt, securing existing or future debt, recapitalizing our debt, or taking a number of other actions that are not limited by the terms of the indentures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applicable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202"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201" w:lineRule="exact"/>
        <w:rPr>
          <w:sz w:val="20"/>
          <w:szCs w:val="20"/>
          <w:color w:val="auto"/>
        </w:rPr>
      </w:pPr>
    </w:p>
    <w:p>
      <w:pPr>
        <w:ind w:right="300" w:firstLine="425"/>
        <w:spacing w:after="0" w:line="251" w:lineRule="auto"/>
        <w:rPr>
          <w:sz w:val="20"/>
          <w:szCs w:val="20"/>
          <w:color w:val="auto"/>
        </w:rPr>
      </w:pPr>
      <w:r>
        <w:rPr>
          <w:rFonts w:ascii="Arial" w:cs="Arial" w:eastAsia="Arial" w:hAnsi="Arial"/>
          <w:sz w:val="18"/>
          <w:szCs w:val="18"/>
          <w:color w:val="auto"/>
        </w:rPr>
        <w:t>Holders of the Notes have the right to require us to repurchase all or a portion of their Notes on certain dates or upon the occurrence of a fundamental change at a repurchase price equal to, for the 2014 Notes, 100% of the principal amount of the 2014 Notes to be repurchased or, for 2018 Notes, 100% of the accreted principal amount (i.e., up to 120% of the outstanding principal amount) of the 2018 Notes to be repurchased, plus, in each case, accrued and unpaid interest, if any. We may not have enough available cash or be able to obtain financing at the time we are required to make repurchases of Notes surrendered therefor.</w:t>
      </w:r>
    </w:p>
    <w:p>
      <w:pPr>
        <w:spacing w:after="0" w:line="218" w:lineRule="exact"/>
        <w:rPr>
          <w:sz w:val="20"/>
          <w:szCs w:val="20"/>
          <w:color w:val="auto"/>
        </w:rPr>
      </w:pPr>
    </w:p>
    <w:p>
      <w:pPr>
        <w:ind w:right="160" w:firstLine="425"/>
        <w:spacing w:after="0" w:line="251"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applicable indenture would constitute a default under the applicable indenture. A default under the applicable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212"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201" w:lineRule="exact"/>
        <w:rPr>
          <w:sz w:val="20"/>
          <w:szCs w:val="20"/>
          <w:color w:val="auto"/>
        </w:rPr>
      </w:pPr>
    </w:p>
    <w:p>
      <w:pPr>
        <w:ind w:right="20" w:firstLine="425"/>
        <w:spacing w:after="0" w:line="250" w:lineRule="auto"/>
        <w:rPr>
          <w:sz w:val="20"/>
          <w:szCs w:val="20"/>
          <w:color w:val="auto"/>
        </w:rPr>
      </w:pPr>
      <w:r>
        <w:rPr>
          <w:rFonts w:ascii="Arial" w:cs="Arial" w:eastAsia="Arial" w:hAnsi="Arial"/>
          <w:sz w:val="18"/>
          <w:szCs w:val="18"/>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made only limited covenants in the indentures governing the Notes, and these limited covenants may not protect a noteholder's investment.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indentures governing the Notes do not:</w:t>
      </w:r>
    </w:p>
    <w:p>
      <w:pPr>
        <w:spacing w:after="0" w:line="200" w:lineRule="exact"/>
        <w:rPr>
          <w:sz w:val="20"/>
          <w:szCs w:val="20"/>
          <w:color w:val="auto"/>
        </w:rPr>
      </w:pPr>
    </w:p>
    <w:p>
      <w:pPr>
        <w:spacing w:after="0" w:line="243" w:lineRule="exact"/>
        <w:rPr>
          <w:sz w:val="20"/>
          <w:szCs w:val="20"/>
          <w:color w:val="auto"/>
        </w:rPr>
      </w:pPr>
    </w:p>
    <w:p>
      <w:pPr>
        <w:ind w:left="540" w:right="40" w:hanging="19"/>
        <w:spacing w:after="0" w:line="246" w:lineRule="auto"/>
        <w:rPr>
          <w:sz w:val="20"/>
          <w:szCs w:val="20"/>
          <w:color w:val="auto"/>
        </w:rPr>
      </w:pPr>
      <w:r>
        <w:rPr>
          <w:sz w:val="1"/>
          <w:szCs w:val="1"/>
          <w:color w:val="auto"/>
        </w:rPr>
        <w:drawing>
          <wp:inline distT="0" distB="0" distL="0" distR="0">
            <wp:extent cx="59055" cy="5905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7"/>
          <w:szCs w:val="17"/>
          <w:color w:val="auto"/>
        </w:rPr>
        <w:t xml:space="preserve"> 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200" w:lineRule="exact"/>
        <w:rPr>
          <w:sz w:val="20"/>
          <w:szCs w:val="20"/>
          <w:color w:val="auto"/>
        </w:rPr>
      </w:pPr>
    </w:p>
    <w:p>
      <w:pPr>
        <w:spacing w:after="0" w:line="38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limit our ability to incur additional indebtedness, including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right="180" w:hanging="19"/>
        <w:spacing w:after="0" w:line="229" w:lineRule="auto"/>
        <w:rPr>
          <w:sz w:val="20"/>
          <w:szCs w:val="20"/>
          <w:color w:val="auto"/>
        </w:rPr>
      </w:pPr>
      <w:r>
        <w:rPr>
          <w:sz w:val="1"/>
          <w:szCs w:val="1"/>
          <w:color w:val="auto"/>
        </w:rPr>
        <w:drawing>
          <wp:inline distT="0" distB="0" distL="0" distR="0">
            <wp:extent cx="59055" cy="5905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055" cy="59055"/>
                    </a:xfrm>
                    <a:prstGeom prst="rect">
                      <a:avLst/>
                    </a:prstGeom>
                    <a:noFill/>
                    <a:ln>
                      <a:noFill/>
                    </a:ln>
                  </pic:spPr>
                </pic:pic>
              </a:graphicData>
            </a:graphic>
          </wp:inline>
        </w:drawing>
      </w:r>
      <w:r>
        <w:rPr>
          <w:rFonts w:ascii="Arial" w:cs="Arial" w:eastAsia="Arial" w:hAnsi="Arial"/>
          <w:sz w:val="18"/>
          <w:szCs w:val="18"/>
          <w:color w:val="auto"/>
        </w:rPr>
        <w:t xml:space="preserve"> restrict our subsidiaries’ ability to issue securities that would be senior to our equity interests in our subsidiaries and therefore would be structurally senior to the Notes;</w:t>
      </w:r>
    </w:p>
    <w:p>
      <w:pPr>
        <w:spacing w:after="0" w:line="200" w:lineRule="exact"/>
        <w:rPr>
          <w:sz w:val="20"/>
          <w:szCs w:val="20"/>
          <w:color w:val="auto"/>
        </w:rPr>
      </w:pPr>
    </w:p>
    <w:p>
      <w:pPr>
        <w:spacing w:after="0" w:line="3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restrict our ability to repurchase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restrict our ability to pledge our assets or those of our subsidiaries;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restrict our ability to make investments or pay dividends or make other payments in respect of our common stock or our other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-85090</wp:posOffset>
            </wp:positionV>
            <wp:extent cx="59055" cy="59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055" cy="590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20" w:firstLine="425"/>
        <w:spacing w:after="0" w:line="251" w:lineRule="auto"/>
        <w:rPr>
          <w:sz w:val="20"/>
          <w:szCs w:val="20"/>
          <w:color w:val="auto"/>
        </w:rPr>
      </w:pPr>
      <w:r>
        <w:rPr>
          <w:rFonts w:ascii="Arial" w:cs="Arial" w:eastAsia="Arial" w:hAnsi="Arial"/>
          <w:sz w:val="18"/>
          <w:szCs w:val="18"/>
          <w:color w:val="auto"/>
        </w:rPr>
        <w:t>Furthermore, the indentures governing the Notes contain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indentures governing the Notes may not protect a noteholder's investment in the Notes.</w:t>
      </w:r>
    </w:p>
    <w:p>
      <w:pPr>
        <w:spacing w:after="0" w:line="212" w:lineRule="exact"/>
        <w:rPr>
          <w:sz w:val="20"/>
          <w:szCs w:val="20"/>
          <w:color w:val="auto"/>
        </w:rPr>
      </w:pPr>
    </w:p>
    <w:p>
      <w:pPr>
        <w:ind w:right="460"/>
        <w:spacing w:after="0" w:line="302"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178" w:lineRule="exact"/>
        <w:rPr>
          <w:sz w:val="20"/>
          <w:szCs w:val="20"/>
          <w:color w:val="auto"/>
        </w:rPr>
      </w:pPr>
    </w:p>
    <w:p>
      <w:pPr>
        <w:ind w:firstLine="469"/>
        <w:spacing w:after="0" w:line="297" w:lineRule="auto"/>
        <w:rPr>
          <w:sz w:val="20"/>
          <w:szCs w:val="20"/>
          <w:color w:val="auto"/>
        </w:rPr>
      </w:pPr>
      <w:r>
        <w:rPr>
          <w:rFonts w:ascii="Arial" w:cs="Arial" w:eastAsia="Arial" w:hAnsi="Arial"/>
          <w:sz w:val="15"/>
          <w:szCs w:val="15"/>
          <w:color w:val="auto"/>
        </w:rPr>
        <w:t>In the case of the 2014 Notes, if (i) a make-whole fundamental change occurs prior to February 6, 2021, or (ii) upon our issuance of a notice of provisional redemption, under certain circumstances, we will increase the conversion rate by a number of additional shares of our common stock for the 2014 Notes converted in connection with such events. In the case of the 2018 Notes, if (i) a make-whole fundamental change occurs prior to February 6, 2023, or (ii) upon voluntary conversion of the 2018 Notes prior to the issuance of a notice of provisional redemption, under certain circumstances, we will increase the conversion rate by a number of additional shares of our common stock for the 2018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(i) $180.00 per share (in the case of the 2014 Notes) or</w:t>
      </w:r>
    </w:p>
    <w:p>
      <w:pPr>
        <w:spacing w:after="0" w:line="4" w:lineRule="exact"/>
        <w:rPr>
          <w:sz w:val="20"/>
          <w:szCs w:val="20"/>
          <w:color w:val="auto"/>
        </w:rPr>
      </w:pPr>
    </w:p>
    <w:p>
      <w:pPr>
        <w:ind w:right="20" w:firstLine="6"/>
        <w:spacing w:after="0" w:line="314" w:lineRule="auto"/>
        <w:tabs>
          <w:tab w:leader="none" w:pos="260" w:val="left"/>
        </w:tabs>
        <w:numPr>
          <w:ilvl w:val="0"/>
          <w:numId w:val="7"/>
        </w:numPr>
        <w:rPr>
          <w:rFonts w:ascii="Arial" w:cs="Arial" w:eastAsia="Arial" w:hAnsi="Arial"/>
          <w:sz w:val="15"/>
          <w:szCs w:val="15"/>
          <w:color w:val="auto"/>
        </w:rPr>
      </w:pPr>
      <w:r>
        <w:rPr>
          <w:rFonts w:ascii="Arial" w:cs="Arial" w:eastAsia="Arial" w:hAnsi="Arial"/>
          <w:sz w:val="15"/>
          <w:szCs w:val="15"/>
          <w:color w:val="auto"/>
        </w:rPr>
        <w:t>$100 per share (in the case of the 2018 Notes) or (i) less than $39.96 per share (in the case of the 2014 Notes) or (ii) less than $2.00 per share (in the case of the 2018 Notes) (in each case, subject to adjustment), no additional shares will be added to the conversion rate for the applicable series of notes. Moreover, in no event will the conversion rate per $1,000 principal amount of Notes as a result of this adjustment exceed (i) 25.0250 shares of common stock (in the case of the 2014 Notes) and (ii) 134.9730 shares of common stock (in the case of the 2018 Notes), in each case, subject to adjustment.</w:t>
      </w:r>
    </w:p>
    <w:p>
      <w:pPr>
        <w:spacing w:after="0" w:line="175" w:lineRule="exact"/>
        <w:rPr>
          <w:sz w:val="20"/>
          <w:szCs w:val="20"/>
          <w:color w:val="auto"/>
        </w:rPr>
      </w:pPr>
    </w:p>
    <w:p>
      <w:pPr>
        <w:ind w:right="620" w:firstLine="425"/>
        <w:spacing w:after="0" w:line="265"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50" w:lineRule="exact"/>
        <w:rPr>
          <w:sz w:val="20"/>
          <w:szCs w:val="20"/>
          <w:color w:val="auto"/>
        </w:rPr>
      </w:pPr>
    </w:p>
    <w:p>
      <w:pPr>
        <w:ind w:right="160" w:firstLine="425"/>
        <w:spacing w:after="0" w:line="269"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ectPr>
          <w:pgSz w:w="11900" w:h="16838" w:orient="portrait"/>
          <w:cols w:equalWidth="0" w:num="1">
            <w:col w:w="11400"/>
          </w:cols>
          <w:pgMar w:left="240" w:top="127" w:right="259" w:bottom="709"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400"/>
          </w:cols>
          <w:pgMar w:left="240" w:top="127" w:right="259" w:bottom="709"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201" w:lineRule="exact"/>
        <w:rPr>
          <w:sz w:val="20"/>
          <w:szCs w:val="20"/>
          <w:color w:val="auto"/>
        </w:rPr>
      </w:pPr>
    </w:p>
    <w:p>
      <w:pPr>
        <w:ind w:firstLine="425"/>
        <w:spacing w:after="0" w:line="250"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220" w:lineRule="exact"/>
        <w:rPr>
          <w:sz w:val="20"/>
          <w:szCs w:val="20"/>
          <w:color w:val="auto"/>
        </w:rPr>
      </w:pPr>
    </w:p>
    <w:p>
      <w:pPr>
        <w:ind w:right="260" w:firstLine="425"/>
        <w:spacing w:after="0" w:line="366" w:lineRule="auto"/>
        <w:rPr>
          <w:sz w:val="20"/>
          <w:szCs w:val="20"/>
          <w:color w:val="auto"/>
        </w:rPr>
      </w:pPr>
      <w:r>
        <w:rPr>
          <w:rFonts w:ascii="Arial" w:cs="Arial" w:eastAsia="Arial" w:hAnsi="Arial"/>
          <w:sz w:val="15"/>
          <w:szCs w:val="15"/>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250" w:lineRule="exact"/>
        <w:rPr>
          <w:sz w:val="20"/>
          <w:szCs w:val="20"/>
          <w:color w:val="auto"/>
        </w:rPr>
      </w:pPr>
    </w:p>
    <w:p>
      <w:pPr>
        <w:ind w:firstLine="425"/>
        <w:spacing w:after="0" w:line="250" w:lineRule="auto"/>
        <w:rPr>
          <w:sz w:val="20"/>
          <w:szCs w:val="20"/>
          <w:color w:val="auto"/>
        </w:rPr>
      </w:pPr>
      <w:r>
        <w:rPr>
          <w:rFonts w:ascii="Arial" w:cs="Arial" w:eastAsia="Arial" w:hAnsi="Arial"/>
          <w:sz w:val="18"/>
          <w:szCs w:val="18"/>
          <w:color w:val="auto"/>
        </w:rPr>
        <w:t>We do not intend to apply to list our outstanding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250" w:lineRule="exact"/>
        <w:rPr>
          <w:sz w:val="20"/>
          <w:szCs w:val="20"/>
          <w:color w:val="auto"/>
        </w:rPr>
      </w:pPr>
    </w:p>
    <w:p>
      <w:pPr>
        <w:jc w:val="both"/>
        <w:ind w:right="40" w:firstLine="425"/>
        <w:spacing w:after="0" w:line="255"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210"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201" w:lineRule="exact"/>
        <w:rPr>
          <w:sz w:val="20"/>
          <w:szCs w:val="20"/>
          <w:color w:val="auto"/>
        </w:rPr>
      </w:pPr>
    </w:p>
    <w:p>
      <w:pPr>
        <w:ind w:right="60" w:firstLine="319"/>
        <w:spacing w:after="0" w:line="285" w:lineRule="auto"/>
        <w:rPr>
          <w:sz w:val="20"/>
          <w:szCs w:val="20"/>
          <w:color w:val="auto"/>
        </w:rPr>
      </w:pPr>
      <w:r>
        <w:rPr>
          <w:rFonts w:ascii="Arial" w:cs="Arial" w:eastAsia="Arial" w:hAnsi="Arial"/>
          <w:sz w:val="15"/>
          <w:szCs w:val="15"/>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(i) a make-whole fundamental change occurs prior to February 6, 2021 (in the case of the 2014 Notes) or (ii) prior to February 6, 2023 (in the case of the 2018 Notes) or (x) upon our issuance of a notice of provisional redemption (in the case of the 2014 Notes) or (y) upon voluntary conversion of the 2018 Exchange Notes prior to the issuance of a notice of provisional redemption (in the case of the 2018 Notes),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381"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201" w:lineRule="exact"/>
        <w:rPr>
          <w:sz w:val="20"/>
          <w:szCs w:val="20"/>
          <w:color w:val="auto"/>
        </w:rPr>
      </w:pPr>
    </w:p>
    <w:p>
      <w:pPr>
        <w:ind w:right="60" w:firstLine="425"/>
        <w:spacing w:after="0" w:line="309" w:lineRule="auto"/>
        <w:rPr>
          <w:sz w:val="20"/>
          <w:szCs w:val="20"/>
          <w:color w:val="auto"/>
        </w:rPr>
      </w:pPr>
      <w:r>
        <w:rPr>
          <w:rFonts w:ascii="Arial" w:cs="Arial" w:eastAsia="Arial" w:hAnsi="Arial"/>
          <w:sz w:val="15"/>
          <w:szCs w:val="15"/>
          <w:color w:val="auto"/>
        </w:rPr>
        <w:t>Any conversion of some or all of the notes will dilute the ownership interests of our existing stockholders. The initial conversion price under the 2018 Notes is approximately $7.8775 as compared to approximately $55.94 under the 2014 Notes. As a result, each of the outstanding 2018 Notes is initially convertible into 126.9438 shares of our common stock per $1,000 principal amount while our outstanding 2014 Notes are initially convertible into 17.8750 shares of our common stock per $1,000 principal amount. Issuances of shares of common stock upon conversion of our Notes could depress the market price of our common stock and impair our ability to raise capital through the sale of additional equity securities. In addition, the existence of the Notes may encourage short selling by market participants because the conversion of the Notes could depress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7"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127"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documents listed in the Exhibit List, which follows below, are incorporated by reference or are filed with this Quarterly Report on Form 10-Q, in each case as indicated therein (numbered in accordance with Item 601 of Regulation S-K).</w:t>
      </w: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27"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LIST</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Incorporated by</w:t>
            </w: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5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3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33"/>
        </w:trPr>
        <w:tc>
          <w:tcPr>
            <w:tcW w:w="1420" w:type="dxa"/>
            <w:vAlign w:val="bottom"/>
            <w:gridSpan w:val="2"/>
            <w:vMerge w:val="continue"/>
          </w:tcPr>
          <w:p>
            <w:pPr>
              <w:spacing w:after="0"/>
              <w:rPr>
                <w:sz w:val="11"/>
                <w:szCs w:val="11"/>
                <w:color w:val="auto"/>
              </w:rPr>
            </w:pPr>
          </w:p>
        </w:tc>
        <w:tc>
          <w:tcPr>
            <w:tcW w:w="5880" w:type="dxa"/>
            <w:vAlign w:val="bottom"/>
            <w:vMerge w:val="restart"/>
          </w:tcPr>
          <w:p>
            <w:pPr>
              <w:ind w:left="25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1"/>
                <w:szCs w:val="11"/>
                <w:color w:val="auto"/>
              </w:rPr>
            </w:pPr>
          </w:p>
        </w:tc>
        <w:tc>
          <w:tcPr>
            <w:tcW w:w="15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Reference From</w:t>
            </w:r>
          </w:p>
        </w:tc>
        <w:tc>
          <w:tcPr>
            <w:tcW w:w="13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Exhibit</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5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32" w:lineRule="exact"/>
        <w:rPr>
          <w:sz w:val="20"/>
          <w:szCs w:val="20"/>
          <w:color w:val="auto"/>
        </w:rPr>
      </w:pPr>
    </w:p>
    <w:p>
      <w:pPr>
        <w:sectPr>
          <w:pgSz w:w="11900" w:h="16838" w:orient="portrait"/>
          <w:cols w:equalWidth="0" w:num="1">
            <w:col w:w="11400"/>
          </w:cols>
          <w:pgMar w:left="240" w:top="127" w:right="259" w:bottom="1440" w:gutter="0" w:footer="0" w:header="0"/>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w:t>
      </w:r>
      <w:r>
        <w:rPr>
          <w:rFonts w:ascii="Arial" w:cs="Arial" w:eastAsia="Arial" w:hAnsi="Arial"/>
          <w:sz w:val="18"/>
          <w:szCs w:val="18"/>
          <w:color w:val="auto"/>
          <w:vertAlign w:val="superscript"/>
        </w:rPr>
        <w:t>*</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5"/>
          </w:tcPr>
          <w:p>
            <w:pPr>
              <w:spacing w:after="0"/>
              <w:rPr>
                <w:rFonts w:ascii="Arial" w:cs="Arial" w:eastAsia="Arial" w:hAnsi="Arial"/>
                <w:sz w:val="18"/>
                <w:szCs w:val="18"/>
                <w:color w:val="0000FF"/>
              </w:rPr>
            </w:pPr>
            <w:hyperlink r:id="rId114">
              <w:r>
                <w:rPr>
                  <w:rFonts w:ascii="Arial" w:cs="Arial" w:eastAsia="Arial" w:hAnsi="Arial"/>
                  <w:sz w:val="18"/>
                  <w:szCs w:val="18"/>
                  <w:color w:val="0000FF"/>
                </w:rPr>
                <w:t>Second Supplemental Indenture, dated as of March 6, 2018</w:t>
              </w:r>
            </w:hyperlink>
          </w:p>
        </w:tc>
        <w:tc>
          <w:tcPr>
            <w:tcW w:w="2280" w:type="dxa"/>
            <w:vAlign w:val="bottom"/>
          </w:tcPr>
          <w:p>
            <w:pPr>
              <w:jc w:val="center"/>
              <w:ind w:left="392"/>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0" w:type="dxa"/>
            <w:vAlign w:val="bottom"/>
          </w:tcPr>
          <w:p>
            <w:pPr>
              <w:jc w:val="right"/>
              <w:spacing w:after="0"/>
              <w:rPr>
                <w:sz w:val="20"/>
                <w:szCs w:val="20"/>
                <w:color w:val="auto"/>
              </w:rPr>
            </w:pPr>
            <w:r>
              <w:rPr>
                <w:rFonts w:ascii="Arial" w:cs="Arial" w:eastAsia="Arial" w:hAnsi="Arial"/>
                <w:sz w:val="18"/>
                <w:szCs w:val="18"/>
                <w:color w:val="auto"/>
              </w:rPr>
              <w:t>3/6/2018</w:t>
            </w:r>
          </w:p>
        </w:tc>
      </w:tr>
      <w:tr>
        <w:trPr>
          <w:trHeight w:val="299"/>
        </w:trPr>
        <w:tc>
          <w:tcPr>
            <w:tcW w:w="34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Form of Exchange Note (included in Exhibit 4.1)</w:t>
              </w:r>
            </w:hyperlink>
          </w:p>
        </w:tc>
        <w:tc>
          <w:tcPr>
            <w:tcW w:w="700" w:type="dxa"/>
            <w:vAlign w:val="bottom"/>
            <w:tcBorders>
              <w:top w:val="single" w:sz="8" w:color="0000FF"/>
            </w:tcBorders>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2280" w:type="dxa"/>
            <w:vAlign w:val="bottom"/>
          </w:tcPr>
          <w:p>
            <w:pPr>
              <w:jc w:val="center"/>
              <w:ind w:left="392"/>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0" w:type="dxa"/>
            <w:vAlign w:val="bottom"/>
          </w:tcPr>
          <w:p>
            <w:pPr>
              <w:jc w:val="right"/>
              <w:spacing w:after="0"/>
              <w:rPr>
                <w:sz w:val="20"/>
                <w:szCs w:val="20"/>
                <w:color w:val="auto"/>
              </w:rPr>
            </w:pPr>
            <w:r>
              <w:rPr>
                <w:rFonts w:ascii="Arial" w:cs="Arial" w:eastAsia="Arial" w:hAnsi="Arial"/>
                <w:sz w:val="18"/>
                <w:szCs w:val="18"/>
                <w:color w:val="auto"/>
              </w:rPr>
              <w:t>3/6/2018</w:t>
            </w:r>
          </w:p>
        </w:tc>
      </w:tr>
      <w:tr>
        <w:trPr>
          <w:trHeight w:val="299"/>
        </w:trPr>
        <w:tc>
          <w:tcPr>
            <w:tcW w:w="41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70">
              <w:r>
                <w:rPr>
                  <w:rFonts w:ascii="Arial" w:cs="Arial" w:eastAsia="Arial" w:hAnsi="Arial"/>
                  <w:sz w:val="18"/>
                  <w:szCs w:val="18"/>
                  <w:color w:val="0000FF"/>
                  <w:w w:val="90"/>
                </w:rPr>
                <w:t>Offer Letter to Chris Linthwaite, dated as of July 14, 2016</w:t>
              </w:r>
            </w:hyperlink>
          </w:p>
        </w:tc>
        <w:tc>
          <w:tcPr>
            <w:tcW w:w="1160" w:type="dxa"/>
            <w:vAlign w:val="bottom"/>
            <w:gridSpan w:val="3"/>
          </w:tcPr>
          <w:p>
            <w:pPr>
              <w:spacing w:after="0"/>
              <w:rPr>
                <w:sz w:val="24"/>
                <w:szCs w:val="24"/>
                <w:color w:val="auto"/>
              </w:rPr>
            </w:pPr>
          </w:p>
        </w:tc>
        <w:tc>
          <w:tcPr>
            <w:tcW w:w="2280" w:type="dxa"/>
            <w:vAlign w:val="bottom"/>
          </w:tcPr>
          <w:p>
            <w:pPr>
              <w:jc w:val="center"/>
              <w:ind w:left="372"/>
              <w:spacing w:after="0"/>
              <w:rPr>
                <w:sz w:val="20"/>
                <w:szCs w:val="20"/>
                <w:color w:val="auto"/>
              </w:rPr>
            </w:pPr>
            <w:r>
              <w:rPr>
                <w:rFonts w:ascii="Arial" w:cs="Arial" w:eastAsia="Arial" w:hAnsi="Arial"/>
                <w:sz w:val="18"/>
                <w:szCs w:val="18"/>
                <w:color w:val="auto"/>
                <w:w w:val="91"/>
              </w:rPr>
              <w:t>Filed herewith</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5"/>
        </w:trPr>
        <w:tc>
          <w:tcPr>
            <w:tcW w:w="5280" w:type="dxa"/>
            <w:vAlign w:val="bottom"/>
            <w:gridSpan w:val="5"/>
          </w:tcPr>
          <w:p>
            <w:pPr>
              <w:spacing w:after="0"/>
              <w:rPr>
                <w:rFonts w:ascii="Arial" w:cs="Arial" w:eastAsia="Arial" w:hAnsi="Arial"/>
                <w:sz w:val="18"/>
                <w:szCs w:val="18"/>
                <w:color w:val="0000FF"/>
                <w:w w:val="90"/>
              </w:rPr>
            </w:pPr>
            <w:hyperlink w:anchor="page74">
              <w:r>
                <w:rPr>
                  <w:rFonts w:ascii="Arial" w:cs="Arial" w:eastAsia="Arial" w:hAnsi="Arial"/>
                  <w:sz w:val="18"/>
                  <w:szCs w:val="18"/>
                  <w:color w:val="0000FF"/>
                  <w:w w:val="90"/>
                </w:rPr>
                <w:t>Certification Pursuant to 18 U.S.C. Section 1350, as Adopted Pursuant to</w:t>
              </w:r>
            </w:hyperlink>
          </w:p>
        </w:tc>
        <w:tc>
          <w:tcPr>
            <w:tcW w:w="2280" w:type="dxa"/>
            <w:vAlign w:val="bottom"/>
          </w:tcPr>
          <w:p>
            <w:pPr>
              <w:jc w:val="center"/>
              <w:ind w:left="372"/>
              <w:spacing w:after="0"/>
              <w:rPr>
                <w:sz w:val="20"/>
                <w:szCs w:val="20"/>
                <w:color w:val="auto"/>
              </w:rPr>
            </w:pPr>
            <w:r>
              <w:rPr>
                <w:rFonts w:ascii="Arial" w:cs="Arial" w:eastAsia="Arial" w:hAnsi="Arial"/>
                <w:sz w:val="18"/>
                <w:szCs w:val="18"/>
                <w:color w:val="auto"/>
                <w:w w:val="91"/>
              </w:rPr>
              <w:t>Filed herewith</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3"/>
        </w:trPr>
        <w:tc>
          <w:tcPr>
            <w:tcW w:w="5180" w:type="dxa"/>
            <w:vAlign w:val="bottom"/>
            <w:tcBorders>
              <w:top w:val="single" w:sz="8" w:color="0000FF"/>
              <w:bottom w:val="single" w:sz="8" w:color="0000FF"/>
            </w:tcBorders>
            <w:gridSpan w:val="4"/>
          </w:tcPr>
          <w:p>
            <w:pPr>
              <w:spacing w:after="0" w:line="153" w:lineRule="exact"/>
              <w:rPr>
                <w:rFonts w:ascii="Arial" w:cs="Arial" w:eastAsia="Arial" w:hAnsi="Arial"/>
                <w:sz w:val="17"/>
                <w:szCs w:val="17"/>
                <w:color w:val="0000FF"/>
                <w:w w:val="93"/>
              </w:rPr>
            </w:pPr>
            <w:hyperlink w:anchor="page74">
              <w:r>
                <w:rPr>
                  <w:rFonts w:ascii="Arial" w:cs="Arial" w:eastAsia="Arial" w:hAnsi="Arial"/>
                  <w:sz w:val="17"/>
                  <w:szCs w:val="17"/>
                  <w:color w:val="0000FF"/>
                  <w:w w:val="93"/>
                </w:rPr>
                <w:t>Section 302 of the Sarbanes-Oxley Act of 2002 of Chief Executive Officer</w:t>
              </w:r>
            </w:hyperlink>
          </w:p>
        </w:tc>
        <w:tc>
          <w:tcPr>
            <w:tcW w:w="100" w:type="dxa"/>
            <w:vAlign w:val="bottom"/>
            <w:tcBorders>
              <w:bottom w:val="single" w:sz="8" w:color="0000FF"/>
            </w:tcBorders>
          </w:tcPr>
          <w:p>
            <w:pPr>
              <w:spacing w:after="0"/>
              <w:rPr>
                <w:sz w:val="13"/>
                <w:szCs w:val="13"/>
                <w:color w:val="auto"/>
              </w:rPr>
            </w:pPr>
          </w:p>
        </w:tc>
        <w:tc>
          <w:tcPr>
            <w:tcW w:w="2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r>
    </w:tbl>
    <w:p>
      <w:pPr>
        <w:spacing w:after="0" w:line="38" w:lineRule="exact"/>
        <w:rPr>
          <w:sz w:val="20"/>
          <w:szCs w:val="20"/>
          <w:color w:val="auto"/>
        </w:rPr>
      </w:pPr>
    </w:p>
    <w:p>
      <w:pPr>
        <w:sectPr>
          <w:pgSz w:w="11900" w:h="16838" w:orient="portrait"/>
          <w:cols w:equalWidth="0" w:num="2">
            <w:col w:w="720" w:space="720"/>
            <w:col w:w="9960"/>
          </w:cols>
          <w:pgMar w:left="240" w:top="127" w:right="2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420" w:type="dxa"/>
            <w:vAlign w:val="bottom"/>
          </w:tcPr>
          <w:p>
            <w:pPr>
              <w:jc w:val="right"/>
              <w:ind w:right="1012"/>
              <w:spacing w:after="0"/>
              <w:rPr>
                <w:sz w:val="20"/>
                <w:szCs w:val="20"/>
                <w:color w:val="auto"/>
              </w:rPr>
            </w:pPr>
            <w:r>
              <w:rPr>
                <w:rFonts w:ascii="Arial" w:cs="Arial" w:eastAsia="Arial" w:hAnsi="Arial"/>
                <w:sz w:val="18"/>
                <w:szCs w:val="18"/>
                <w:color w:val="auto"/>
                <w:w w:val="85"/>
              </w:rPr>
              <w:t>31.2</w:t>
            </w:r>
          </w:p>
        </w:tc>
        <w:tc>
          <w:tcPr>
            <w:tcW w:w="5220" w:type="dxa"/>
            <w:vAlign w:val="bottom"/>
            <w:gridSpan w:val="2"/>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Certification Pursuant to 18 U.S.C. Section 1350, as Adopted Pursuant to</w:t>
              </w:r>
            </w:hyperlink>
          </w:p>
        </w:tc>
        <w:tc>
          <w:tcPr>
            <w:tcW w:w="1940" w:type="dxa"/>
            <w:vAlign w:val="bottom"/>
          </w:tcPr>
          <w:p>
            <w:pPr>
              <w:ind w:left="920"/>
              <w:spacing w:after="0"/>
              <w:rPr>
                <w:sz w:val="20"/>
                <w:szCs w:val="20"/>
                <w:color w:val="auto"/>
              </w:rPr>
            </w:pPr>
            <w:r>
              <w:rPr>
                <w:rFonts w:ascii="Arial" w:cs="Arial" w:eastAsia="Arial" w:hAnsi="Arial"/>
                <w:sz w:val="18"/>
                <w:szCs w:val="18"/>
                <w:color w:val="auto"/>
                <w:w w:val="89"/>
              </w:rPr>
              <w:t>Filed herewith</w:t>
            </w:r>
          </w:p>
        </w:tc>
      </w:tr>
      <w:tr>
        <w:trPr>
          <w:trHeight w:val="153"/>
        </w:trPr>
        <w:tc>
          <w:tcPr>
            <w:tcW w:w="1420" w:type="dxa"/>
            <w:vAlign w:val="bottom"/>
          </w:tcPr>
          <w:p>
            <w:pPr>
              <w:spacing w:after="0"/>
              <w:rPr>
                <w:sz w:val="13"/>
                <w:szCs w:val="13"/>
                <w:color w:val="auto"/>
              </w:rPr>
            </w:pPr>
          </w:p>
        </w:tc>
        <w:tc>
          <w:tcPr>
            <w:tcW w:w="518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4"/>
              </w:rPr>
            </w:pPr>
            <w:hyperlink w:anchor="page75">
              <w:r>
                <w:rPr>
                  <w:rFonts w:ascii="Arial" w:cs="Arial" w:eastAsia="Arial" w:hAnsi="Arial"/>
                  <w:sz w:val="17"/>
                  <w:szCs w:val="17"/>
                  <w:color w:val="0000FF"/>
                  <w:w w:val="94"/>
                </w:rPr>
                <w:t>Section 302 of the Sarbanes-Oxley Act of 2002 of Chief Financial Officer</w:t>
              </w:r>
            </w:hyperlink>
          </w:p>
        </w:tc>
        <w:tc>
          <w:tcPr>
            <w:tcW w:w="40" w:type="dxa"/>
            <w:vAlign w:val="bottom"/>
            <w:tcBorders>
              <w:bottom w:val="single" w:sz="8" w:color="0000FF"/>
            </w:tcBorders>
          </w:tcPr>
          <w:p>
            <w:pPr>
              <w:spacing w:after="0"/>
              <w:rPr>
                <w:sz w:val="13"/>
                <w:szCs w:val="13"/>
                <w:color w:val="auto"/>
              </w:rPr>
            </w:pPr>
          </w:p>
        </w:tc>
        <w:tc>
          <w:tcPr>
            <w:tcW w:w="1940" w:type="dxa"/>
            <w:vAlign w:val="bottom"/>
          </w:tcPr>
          <w:p>
            <w:pPr>
              <w:spacing w:after="0"/>
              <w:rPr>
                <w:sz w:val="13"/>
                <w:szCs w:val="13"/>
                <w:color w:val="auto"/>
              </w:rPr>
            </w:pPr>
          </w:p>
        </w:tc>
      </w:tr>
    </w:tbl>
    <w:p>
      <w:pPr>
        <w:spacing w:after="0" w:line="38" w:lineRule="exact"/>
        <w:rPr>
          <w:sz w:val="20"/>
          <w:szCs w:val="20"/>
          <w:color w:val="auto"/>
        </w:rPr>
      </w:pPr>
    </w:p>
    <w:p>
      <w:pPr>
        <w:sectPr>
          <w:pgSz w:w="11900" w:h="16838" w:orient="portrait"/>
          <w:cols w:equalWidth="0" w:num="1">
            <w:col w:w="11400"/>
          </w:cols>
          <w:pgMar w:left="240" w:top="127" w:right="25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420" w:type="dxa"/>
            <w:vAlign w:val="bottom"/>
          </w:tcPr>
          <w:p>
            <w:pPr>
              <w:spacing w:after="0"/>
              <w:rPr>
                <w:sz w:val="20"/>
                <w:szCs w:val="20"/>
                <w:color w:val="auto"/>
              </w:rPr>
            </w:pPr>
            <w:r>
              <w:rPr>
                <w:rFonts w:ascii="Arial" w:cs="Arial" w:eastAsia="Arial" w:hAnsi="Arial"/>
                <w:sz w:val="18"/>
                <w:szCs w:val="18"/>
                <w:color w:val="auto"/>
              </w:rPr>
              <w:t>32.1(1)</w:t>
            </w:r>
          </w:p>
        </w:tc>
        <w:tc>
          <w:tcPr>
            <w:tcW w:w="5360" w:type="dxa"/>
            <w:vAlign w:val="bottom"/>
            <w:gridSpan w:val="4"/>
          </w:tcPr>
          <w:p>
            <w:pPr>
              <w:spacing w:after="0"/>
              <w:rPr>
                <w:rFonts w:ascii="Arial" w:cs="Arial" w:eastAsia="Arial" w:hAnsi="Arial"/>
                <w:sz w:val="18"/>
                <w:szCs w:val="18"/>
                <w:color w:val="0000FF"/>
                <w:w w:val="91"/>
              </w:rPr>
            </w:pPr>
            <w:hyperlink w:anchor="page77">
              <w:r>
                <w:rPr>
                  <w:rFonts w:ascii="Arial" w:cs="Arial" w:eastAsia="Arial" w:hAnsi="Arial"/>
                  <w:sz w:val="18"/>
                  <w:szCs w:val="18"/>
                  <w:color w:val="0000FF"/>
                  <w:w w:val="91"/>
                </w:rPr>
                <w:t>Certification Pursuant to 18 U.S.C. Section 1350, as Adopted Pursuant to</w:t>
              </w:r>
            </w:hyperlink>
          </w:p>
        </w:tc>
      </w:tr>
      <w:tr>
        <w:trPr>
          <w:trHeight w:val="153"/>
        </w:trPr>
        <w:tc>
          <w:tcPr>
            <w:tcW w:w="1420" w:type="dxa"/>
            <w:vAlign w:val="bottom"/>
          </w:tcPr>
          <w:p>
            <w:pPr>
              <w:spacing w:after="0"/>
              <w:rPr>
                <w:sz w:val="13"/>
                <w:szCs w:val="13"/>
                <w:color w:val="auto"/>
              </w:rPr>
            </w:pPr>
          </w:p>
        </w:tc>
        <w:tc>
          <w:tcPr>
            <w:tcW w:w="518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3"/>
              </w:rPr>
            </w:pPr>
            <w:hyperlink w:anchor="page77">
              <w:r>
                <w:rPr>
                  <w:rFonts w:ascii="Arial" w:cs="Arial" w:eastAsia="Arial" w:hAnsi="Arial"/>
                  <w:sz w:val="17"/>
                  <w:szCs w:val="17"/>
                  <w:color w:val="0000FF"/>
                  <w:w w:val="93"/>
                </w:rPr>
                <w:t>Section 906 of the Sarbanes-Oxley Act of 2002 of Chief Executive Officer</w:t>
              </w:r>
            </w:hyperlink>
          </w:p>
        </w:tc>
        <w:tc>
          <w:tcPr>
            <w:tcW w:w="4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338"/>
        </w:trPr>
        <w:tc>
          <w:tcPr>
            <w:tcW w:w="1420" w:type="dxa"/>
            <w:vAlign w:val="bottom"/>
          </w:tcPr>
          <w:p>
            <w:pPr>
              <w:spacing w:after="0"/>
              <w:rPr>
                <w:sz w:val="20"/>
                <w:szCs w:val="20"/>
                <w:color w:val="auto"/>
              </w:rPr>
            </w:pPr>
            <w:r>
              <w:rPr>
                <w:rFonts w:ascii="Arial" w:cs="Arial" w:eastAsia="Arial" w:hAnsi="Arial"/>
                <w:sz w:val="18"/>
                <w:szCs w:val="18"/>
                <w:color w:val="auto"/>
              </w:rPr>
              <w:t>32.2(1)</w:t>
            </w:r>
          </w:p>
        </w:tc>
        <w:tc>
          <w:tcPr>
            <w:tcW w:w="5360" w:type="dxa"/>
            <w:vAlign w:val="bottom"/>
            <w:gridSpan w:val="4"/>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Certification Pursuant to 18 U.S.C. Section 1350, as Adopted Pursuant to</w:t>
              </w:r>
            </w:hyperlink>
          </w:p>
        </w:tc>
      </w:tr>
      <w:tr>
        <w:trPr>
          <w:trHeight w:val="153"/>
        </w:trPr>
        <w:tc>
          <w:tcPr>
            <w:tcW w:w="1420" w:type="dxa"/>
            <w:vAlign w:val="bottom"/>
          </w:tcPr>
          <w:p>
            <w:pPr>
              <w:spacing w:after="0"/>
              <w:rPr>
                <w:sz w:val="13"/>
                <w:szCs w:val="13"/>
                <w:color w:val="auto"/>
              </w:rPr>
            </w:pPr>
          </w:p>
        </w:tc>
        <w:tc>
          <w:tcPr>
            <w:tcW w:w="5180" w:type="dxa"/>
            <w:vAlign w:val="bottom"/>
            <w:tcBorders>
              <w:top w:val="single" w:sz="8" w:color="0000FF"/>
              <w:bottom w:val="single" w:sz="8" w:color="0000FF"/>
            </w:tcBorders>
          </w:tcPr>
          <w:p>
            <w:pPr>
              <w:spacing w:after="0" w:line="153" w:lineRule="exact"/>
              <w:rPr>
                <w:rFonts w:ascii="Arial" w:cs="Arial" w:eastAsia="Arial" w:hAnsi="Arial"/>
                <w:sz w:val="17"/>
                <w:szCs w:val="17"/>
                <w:color w:val="0000FF"/>
                <w:w w:val="94"/>
              </w:rPr>
            </w:pPr>
            <w:hyperlink w:anchor="page78">
              <w:r>
                <w:rPr>
                  <w:rFonts w:ascii="Arial" w:cs="Arial" w:eastAsia="Arial" w:hAnsi="Arial"/>
                  <w:sz w:val="17"/>
                  <w:szCs w:val="17"/>
                  <w:color w:val="0000FF"/>
                  <w:w w:val="94"/>
                </w:rPr>
                <w:t>Section 906 of the Sarbanes-Oxley Act of 2002 of Chief Financial Officer</w:t>
              </w:r>
            </w:hyperlink>
          </w:p>
        </w:tc>
        <w:tc>
          <w:tcPr>
            <w:tcW w:w="40" w:type="dxa"/>
            <w:vAlign w:val="bottom"/>
            <w:tcBorders>
              <w:bottom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r>
      <w:tr>
        <w:trPr>
          <w:trHeight w:val="379"/>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5360" w:type="dxa"/>
            <w:vAlign w:val="bottom"/>
            <w:gridSpan w:val="4"/>
          </w:tcPr>
          <w:p>
            <w:pPr>
              <w:spacing w:after="0"/>
              <w:rPr>
                <w:sz w:val="20"/>
                <w:szCs w:val="20"/>
                <w:color w:val="auto"/>
              </w:rPr>
            </w:pPr>
            <w:r>
              <w:rPr>
                <w:rFonts w:ascii="Arial" w:cs="Arial" w:eastAsia="Arial" w:hAnsi="Arial"/>
                <w:sz w:val="18"/>
                <w:szCs w:val="18"/>
                <w:color w:val="auto"/>
                <w:w w:val="90"/>
              </w:rPr>
              <w:t>XBRL Instance Document - the instance document does not appear in the</w:t>
            </w:r>
          </w:p>
        </w:tc>
      </w:tr>
      <w:tr>
        <w:trPr>
          <w:trHeight w:val="212"/>
        </w:trPr>
        <w:tc>
          <w:tcPr>
            <w:tcW w:w="14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Arial" w:cs="Arial" w:eastAsia="Arial" w:hAnsi="Arial"/>
                <w:sz w:val="18"/>
                <w:szCs w:val="18"/>
                <w:color w:val="auto"/>
                <w:w w:val="89"/>
              </w:rPr>
              <w:t>Interactive Data File because its XBRL tags are embedded within the Inline</w:t>
            </w:r>
          </w:p>
        </w:tc>
      </w:tr>
      <w:tr>
        <w:trPr>
          <w:trHeight w:val="224"/>
        </w:trPr>
        <w:tc>
          <w:tcPr>
            <w:tcW w:w="1420" w:type="dxa"/>
            <w:vAlign w:val="bottom"/>
          </w:tcPr>
          <w:p>
            <w:pPr>
              <w:spacing w:after="0"/>
              <w:rPr>
                <w:sz w:val="19"/>
                <w:szCs w:val="19"/>
                <w:color w:val="auto"/>
              </w:rPr>
            </w:pPr>
          </w:p>
        </w:tc>
        <w:tc>
          <w:tcPr>
            <w:tcW w:w="5360" w:type="dxa"/>
            <w:vAlign w:val="bottom"/>
            <w:gridSpan w:val="4"/>
          </w:tcPr>
          <w:p>
            <w:pPr>
              <w:spacing w:after="0"/>
              <w:rPr>
                <w:sz w:val="20"/>
                <w:szCs w:val="20"/>
                <w:color w:val="auto"/>
              </w:rPr>
            </w:pPr>
            <w:r>
              <w:rPr>
                <w:rFonts w:ascii="Arial" w:cs="Arial" w:eastAsia="Arial" w:hAnsi="Arial"/>
                <w:sz w:val="18"/>
                <w:szCs w:val="18"/>
                <w:color w:val="auto"/>
              </w:rPr>
              <w:t>XBRL document.</w:t>
            </w:r>
          </w:p>
        </w:tc>
      </w:tr>
      <w:tr>
        <w:trPr>
          <w:trHeight w:val="319"/>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53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9"/>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53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9"/>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53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9"/>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53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19"/>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53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Furnished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herewith</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Furnished</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herewith</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345" w:lineRule="exact"/>
        <w:rPr>
          <w:sz w:val="20"/>
          <w:szCs w:val="20"/>
          <w:color w:val="auto"/>
        </w:rPr>
      </w:pPr>
    </w:p>
    <w:p>
      <w:pPr>
        <w:sectPr>
          <w:pgSz w:w="11900" w:h="16838" w:orient="portrait"/>
          <w:cols w:equalWidth="0" w:num="2">
            <w:col w:w="6860" w:space="720"/>
            <w:col w:w="3820"/>
          </w:cols>
          <w:pgMar w:left="240" w:top="127" w:right="259" w:bottom="1440" w:gutter="0" w:footer="0" w:header="0"/>
          <w:type w:val="continuous"/>
        </w:sectPr>
      </w:pPr>
    </w:p>
    <w:p>
      <w:pPr>
        <w:ind w:left="1460" w:right="140" w:hanging="1436"/>
        <w:spacing w:after="0" w:line="262" w:lineRule="auto"/>
        <w:tabs>
          <w:tab w:leader="none" w:pos="1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7" w:right="2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25"/>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FLUIDIGM CORPORATION</w:t>
      </w:r>
    </w:p>
    <w:p>
      <w:pPr>
        <w:spacing w:after="0" w:line="11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May 8, 2018</w:t>
      </w:r>
    </w:p>
    <w:p>
      <w:pPr>
        <w:spacing w:after="0" w:line="58" w:lineRule="exact"/>
        <w:rPr>
          <w:sz w:val="20"/>
          <w:szCs w:val="20"/>
          <w:color w:val="auto"/>
        </w:rPr>
      </w:pPr>
    </w:p>
    <w:p>
      <w:pPr>
        <w:ind w:left="5900"/>
        <w:spacing w:after="0"/>
        <w:tabs>
          <w:tab w:leader="none" w:pos="632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27940</wp:posOffset>
            </wp:positionV>
            <wp:extent cx="32283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Stephen Christopher Linthwaite</w:t>
      </w:r>
    </w:p>
    <w:p>
      <w:pPr>
        <w:spacing w:after="0" w:line="58"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President and Chief Executive Officer</w:t>
      </w:r>
    </w:p>
    <w:p>
      <w:pPr>
        <w:spacing w:after="0" w:line="11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May 8, 2018</w:t>
      </w:r>
    </w:p>
    <w:p>
      <w:pPr>
        <w:spacing w:after="0" w:line="58" w:lineRule="exact"/>
        <w:rPr>
          <w:sz w:val="20"/>
          <w:szCs w:val="20"/>
          <w:color w:val="auto"/>
        </w:rPr>
      </w:pPr>
    </w:p>
    <w:p>
      <w:pPr>
        <w:ind w:left="5900"/>
        <w:spacing w:after="0"/>
        <w:tabs>
          <w:tab w:leader="none" w:pos="632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27940</wp:posOffset>
            </wp:positionV>
            <wp:extent cx="32283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5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Vikram Jog</w:t>
      </w:r>
    </w:p>
    <w:p>
      <w:pPr>
        <w:spacing w:after="0" w:line="58"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40"/>
          </w:cols>
          <w:pgMar w:left="240" w:top="127" w:right="11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129665" cy="3708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129665"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July 14, 2016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Chris Linthwaite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Dear Chris:</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I am pleased to offer you a position with Fluidigm Corporation (the “Company” or “Fluidigm”) as President, reporting to the Chief Executive Officer of the Company. Other</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terms of your employment include: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Start Date:</w:t>
      </w:r>
      <w:r>
        <w:rPr>
          <w:rFonts w:ascii="Arial" w:cs="Arial" w:eastAsia="Arial" w:hAnsi="Arial"/>
          <w:sz w:val="16"/>
          <w:szCs w:val="16"/>
          <w:b w:val="1"/>
          <w:bCs w:val="1"/>
          <w:color w:val="auto"/>
        </w:rPr>
        <w:t xml:space="preserve"> </w:t>
      </w:r>
      <w:r>
        <w:rPr>
          <w:rFonts w:ascii="Arial" w:cs="Arial" w:eastAsia="Arial" w:hAnsi="Arial"/>
          <w:sz w:val="16"/>
          <w:szCs w:val="16"/>
          <w:color w:val="auto"/>
        </w:rPr>
        <w:t>August 1, 2016</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Compensation:</w:t>
      </w:r>
    </w:p>
    <w:p>
      <w:pPr>
        <w:spacing w:after="0" w:line="59" w:lineRule="exact"/>
        <w:rPr>
          <w:sz w:val="20"/>
          <w:szCs w:val="20"/>
          <w:color w:val="auto"/>
        </w:rPr>
      </w:pPr>
    </w:p>
    <w:p>
      <w:pPr>
        <w:ind w:right="340"/>
        <w:spacing w:after="0" w:line="329" w:lineRule="auto"/>
        <w:rPr>
          <w:sz w:val="20"/>
          <w:szCs w:val="20"/>
          <w:color w:val="auto"/>
        </w:rPr>
      </w:pPr>
      <w:r>
        <w:rPr>
          <w:rFonts w:ascii="Arial" w:cs="Arial" w:eastAsia="Arial" w:hAnsi="Arial"/>
          <w:sz w:val="15"/>
          <w:szCs w:val="15"/>
          <w:color w:val="auto"/>
        </w:rPr>
        <w:t>Your annual base salary will be $450,000 payable by direct deposit on a semi-monthly basis less all applicable tax withholdings and statutory and other deductions. Currently salaries are reviewed annually. Note, however, that Fluidigm is under no obligation to increase salary as a result of such review or at any other time.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Bonus Target:</w:t>
      </w:r>
    </w:p>
    <w:p>
      <w:pPr>
        <w:spacing w:after="0" w:line="59"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You will be eligible to participate in Fluidigm’s executive annual bonus program which is based on achievement of targets or performance criteria as may be specified by Fluidigm’s Board of Directors (the “Board”). The terms and conditions of the executive annual program may be amended or varied from time to time at the sole discretion of the Board. Your target annual bonus for 2016 is 60% of your annual base salary, subject to all applicable federal and state taxes, payable in Q1 of 2017 and pro-rated on a monthly basis. The primary principle for payout of the annual bonus is “pay for performance.”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Equity Awards:</w:t>
      </w:r>
    </w:p>
    <w:p>
      <w:pPr>
        <w:spacing w:after="0" w:line="59"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Subject to approval by our Board (or a committee authorized by the Board), Fluidigm will grant you (i) a stock option to purchase 140,000 shares of Fluidigm Common Stock (the “Option”) at a price per share equal to the fair market value per share of the Common Stock on the date of grant and (ii) 14,000 restricted stock units (the “RSU Award” and, together with the Option, the “Equity Awards”). The Equity Awards will be granted to you only if you remain an employee of the Company through the grant date. Each of the Equity Awards shall be subject to the terms and conditions of Fluidigm’s equity plan and an equity award agreement between you and Fluidigm, including vesting requirements. The Option will be scheduled to vest as to 25% of the shares subject to the Option on the first anniversary of the vesting start date, and as to 1/48</w:t>
      </w:r>
      <w:r>
        <w:rPr>
          <w:rFonts w:ascii="Arial" w:cs="Arial" w:eastAsia="Arial" w:hAnsi="Arial"/>
          <w:sz w:val="16"/>
          <w:szCs w:val="16"/>
          <w:color w:val="auto"/>
          <w:vertAlign w:val="superscript"/>
        </w:rPr>
        <w:t>th</w:t>
      </w:r>
      <w:r>
        <w:rPr>
          <w:rFonts w:ascii="Arial" w:cs="Arial" w:eastAsia="Arial" w:hAnsi="Arial"/>
          <w:sz w:val="15"/>
          <w:szCs w:val="15"/>
          <w:color w:val="auto"/>
        </w:rPr>
        <w:t xml:space="preserve"> of the shares subject to the Option on each monthly anniversary thereafter, in all cases subject to your continued service with Fluidigm through the applicable vesting date.</w:t>
      </w:r>
    </w:p>
    <w:p>
      <w:pPr>
        <w:spacing w:after="0" w:line="4" w:lineRule="exact"/>
        <w:rPr>
          <w:sz w:val="20"/>
          <w:szCs w:val="20"/>
          <w:color w:val="auto"/>
        </w:rPr>
      </w:pPr>
    </w:p>
    <w:p>
      <w:pPr>
        <w:ind w:right="260"/>
        <w:spacing w:after="0" w:line="343" w:lineRule="auto"/>
        <w:rPr>
          <w:sz w:val="20"/>
          <w:szCs w:val="20"/>
          <w:color w:val="auto"/>
        </w:rPr>
      </w:pPr>
      <w:r>
        <w:rPr>
          <w:rFonts w:ascii="Arial" w:cs="Arial" w:eastAsia="Arial" w:hAnsi="Arial"/>
          <w:sz w:val="15"/>
          <w:szCs w:val="15"/>
          <w:color w:val="auto"/>
        </w:rPr>
        <w:t>Assuming your start date is in August 2016, the RSU Award will vest as to 100% of the shares only if there is at least 20% growth in the Company’s revenues during the four Company fiscal quarters beginning with the fiscal quarter in which your start date occurs against the four Company fiscal quarters prior to the fiscal quarter in which your start date occurs (</w:t>
      </w:r>
      <w:r>
        <w:rPr>
          <w:rFonts w:ascii="Arial" w:cs="Arial" w:eastAsia="Arial" w:hAnsi="Arial"/>
          <w:sz w:val="15"/>
          <w:szCs w:val="15"/>
          <w:i w:val="1"/>
          <w:iCs w:val="1"/>
          <w:color w:val="auto"/>
        </w:rPr>
        <w:t>e.g.</w:t>
      </w:r>
      <w:r>
        <w:rPr>
          <w:rFonts w:ascii="Arial" w:cs="Arial" w:eastAsia="Arial" w:hAnsi="Arial"/>
          <w:sz w:val="15"/>
          <w:szCs w:val="15"/>
          <w:color w:val="auto"/>
        </w:rPr>
        <w:t>, if you start in Q3 2016, then revenue for Q3 2016 through Q2 2017 versus Q3 2015 through Q2 2016), subject to your continued service through the date the equity plan’s administrator certifies achievement of the performance goal (the “Certification Date”). For clarity, no portion of your RSU Award will vest if your service with Fluidigm is terminated before the Certification Date or the performance-based goal is not achieved.</w:t>
      </w:r>
    </w:p>
    <w:p>
      <w:pPr>
        <w:spacing w:after="0" w:line="281" w:lineRule="exact"/>
        <w:rPr>
          <w:sz w:val="20"/>
          <w:szCs w:val="20"/>
          <w:color w:val="auto"/>
        </w:rPr>
      </w:pPr>
    </w:p>
    <w:p>
      <w:pPr>
        <w:ind w:right="680"/>
        <w:spacing w:after="0" w:line="337" w:lineRule="auto"/>
        <w:rPr>
          <w:sz w:val="20"/>
          <w:szCs w:val="20"/>
          <w:color w:val="auto"/>
        </w:rPr>
      </w:pPr>
      <w:r>
        <w:rPr>
          <w:rFonts w:ascii="Arial" w:cs="Arial" w:eastAsia="Arial" w:hAnsi="Arial"/>
          <w:sz w:val="16"/>
          <w:szCs w:val="16"/>
          <w:color w:val="auto"/>
        </w:rPr>
        <w:t>No right to any stock is earned or accrued until such time that vesting occurs, nor does the grant confer any right to continue vesting or employment. You are eligible for accelerated vesting as set forth in the Severance Agreement.</w:t>
      </w:r>
    </w:p>
    <w:p>
      <w:pPr>
        <w:sectPr>
          <w:pgSz w:w="11900" w:h="16838" w:orient="portrait"/>
          <w:cols w:equalWidth="0" w:num="1">
            <w:col w:w="11420"/>
          </w:cols>
          <w:pgMar w:left="240" w:top="612" w:right="239" w:bottom="1440" w:gutter="0" w:footer="0" w:header="0"/>
        </w:sectPr>
      </w:pPr>
    </w:p>
    <w:bookmarkStart w:id="70" w:name="page71"/>
    <w:bookmarkEnd w:id="70"/>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392430</wp:posOffset>
            </wp:positionV>
            <wp:extent cx="1213485" cy="404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213485" cy="4044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auto"/>
        </w:rPr>
        <w:t>Severance Agreement</w:t>
      </w:r>
      <w:r>
        <w:rPr>
          <w:rFonts w:ascii="Arial" w:cs="Arial" w:eastAsia="Arial" w:hAnsi="Arial"/>
          <w:sz w:val="16"/>
          <w:szCs w:val="16"/>
          <w:color w:val="auto"/>
        </w:rPr>
        <w:t>:</w:t>
      </w:r>
    </w:p>
    <w:p>
      <w:pPr>
        <w:spacing w:after="0" w:line="59" w:lineRule="exact"/>
        <w:rPr>
          <w:sz w:val="20"/>
          <w:szCs w:val="20"/>
          <w:color w:val="auto"/>
        </w:rPr>
      </w:pPr>
    </w:p>
    <w:p>
      <w:pPr>
        <w:ind w:right="400"/>
        <w:spacing w:after="0" w:line="309" w:lineRule="auto"/>
        <w:rPr>
          <w:sz w:val="20"/>
          <w:szCs w:val="20"/>
          <w:color w:val="auto"/>
        </w:rPr>
      </w:pPr>
      <w:r>
        <w:rPr>
          <w:rFonts w:ascii="Arial" w:cs="Arial" w:eastAsia="Arial" w:hAnsi="Arial"/>
          <w:sz w:val="16"/>
          <w:szCs w:val="16"/>
          <w:color w:val="auto"/>
        </w:rPr>
        <w:t>As an executive of the Company, you will become party to the Company’s customary Employment and Severance Agreement (the “Severance Agreement”). The Severance Agreement is incorporated herein by reference.</w:t>
      </w:r>
    </w:p>
    <w:p>
      <w:pPr>
        <w:spacing w:after="0"/>
        <w:rPr>
          <w:sz w:val="20"/>
          <w:szCs w:val="20"/>
          <w:color w:val="auto"/>
        </w:rPr>
      </w:pPr>
      <w:r>
        <w:rPr>
          <w:rFonts w:ascii="Arial" w:cs="Arial" w:eastAsia="Arial" w:hAnsi="Arial"/>
          <w:sz w:val="16"/>
          <w:szCs w:val="16"/>
          <w:b w:val="1"/>
          <w:bCs w:val="1"/>
          <w:u w:val="single" w:color="auto"/>
          <w:color w:val="auto"/>
        </w:rPr>
        <w:t>Benefits:</w:t>
      </w:r>
    </w:p>
    <w:p>
      <w:pPr>
        <w:spacing w:after="0" w:line="59"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auto"/>
        </w:rPr>
        <w:t>You will be eligible to participate in any of the employee benefit plans or programs Fluidigm generally makes available to its executive employees, pursuant to the terms and conditions of such plans as may be in effect from time to time, except that with respect to life and accidental death and dismemberment insurance, you will be covered up to $2 million. Fluidigm may from time to time alter the terms of the benefit plans or programs in their sole discretion.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Workers’ Compensation Insurance:</w:t>
      </w:r>
    </w:p>
    <w:p>
      <w:pPr>
        <w:spacing w:after="0" w:line="59" w:lineRule="exact"/>
        <w:rPr>
          <w:sz w:val="20"/>
          <w:szCs w:val="20"/>
          <w:color w:val="auto"/>
        </w:rPr>
      </w:pPr>
    </w:p>
    <w:p>
      <w:pPr>
        <w:ind w:right="100"/>
        <w:spacing w:after="0" w:line="309" w:lineRule="auto"/>
        <w:rPr>
          <w:sz w:val="20"/>
          <w:szCs w:val="20"/>
          <w:color w:val="auto"/>
        </w:rPr>
      </w:pPr>
      <w:r>
        <w:rPr>
          <w:rFonts w:ascii="Arial" w:cs="Arial" w:eastAsia="Arial" w:hAnsi="Arial"/>
          <w:sz w:val="16"/>
          <w:szCs w:val="16"/>
          <w:color w:val="auto"/>
        </w:rPr>
        <w:t>The Company provides a comprehensive workers’ compensation insurance program at no cost to employees. This program covers any injury or illness sustained in the course of employment that requires medical, surgical or hospital treatment. Insurance carrier: Preferred Employers Group - PO BOX 85838, San Diego, CA 92186, phone number (866) 472-9602.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Confidentiality and Company Policies:</w:t>
      </w:r>
    </w:p>
    <w:p>
      <w:pPr>
        <w:spacing w:after="0" w:line="5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It is important to protect our confidential information and proprietary material. Therefore, as a condition of employment you will be required to sign the Company’s standard Confidential Information, Invention Assignment, and Arbitration Agreement (the “Agreement”). Please note that we must receive your signed Agreement before your first day of employment.</w:t>
      </w:r>
    </w:p>
    <w:p>
      <w:pPr>
        <w:spacing w:after="0" w:line="2"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color w:val="auto"/>
        </w:rPr>
        <w:t>As a Fluidigm employee, you will be expected to abide by Fluidigm’s rules and standards. Specifically, you will be required to sign an acknowledgment that you have read and that you understand Fluidigm’s rules of conduct.</w:t>
      </w:r>
    </w:p>
    <w:p>
      <w:pPr>
        <w:ind w:right="5260"/>
        <w:spacing w:after="0" w:line="313" w:lineRule="auto"/>
        <w:rPr>
          <w:sz w:val="20"/>
          <w:szCs w:val="20"/>
          <w:color w:val="auto"/>
        </w:rPr>
      </w:pPr>
      <w:r>
        <w:rPr>
          <w:rFonts w:ascii="Arial" w:cs="Arial" w:eastAsia="Arial" w:hAnsi="Arial"/>
          <w:sz w:val="16"/>
          <w:szCs w:val="16"/>
          <w:b w:val="1"/>
          <w:bCs w:val="1"/>
          <w:u w:val="single" w:color="auto"/>
          <w:color w:val="auto"/>
        </w:rPr>
        <w:t>Background check:</w:t>
      </w:r>
      <w:r>
        <w:rPr>
          <w:rFonts w:ascii="Arial" w:cs="Arial" w:eastAsia="Arial" w:hAnsi="Arial"/>
          <w:sz w:val="16"/>
          <w:szCs w:val="16"/>
          <w:b w:val="1"/>
          <w:bCs w:val="1"/>
          <w:color w:val="auto"/>
        </w:rPr>
        <w:t xml:space="preserve"> </w:t>
      </w:r>
      <w:r>
        <w:rPr>
          <w:rFonts w:ascii="Arial" w:cs="Arial" w:eastAsia="Arial" w:hAnsi="Arial"/>
          <w:sz w:val="16"/>
          <w:szCs w:val="16"/>
          <w:color w:val="auto"/>
        </w:rPr>
        <w:t>This offer is contingent upon successfully passing your background check.</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Reference checks:</w:t>
      </w:r>
      <w:r>
        <w:rPr>
          <w:rFonts w:ascii="Arial" w:cs="Arial" w:eastAsia="Arial" w:hAnsi="Arial"/>
          <w:sz w:val="16"/>
          <w:szCs w:val="16"/>
          <w:b w:val="1"/>
          <w:bCs w:val="1"/>
          <w:color w:val="auto"/>
        </w:rPr>
        <w:t xml:space="preserve"> </w:t>
      </w:r>
      <w:r>
        <w:rPr>
          <w:rFonts w:ascii="Arial" w:cs="Arial" w:eastAsia="Arial" w:hAnsi="Arial"/>
          <w:sz w:val="16"/>
          <w:szCs w:val="16"/>
          <w:color w:val="auto"/>
        </w:rPr>
        <w:t>This offer is contingent upon successfully passing your reference checks.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Employment Authorization:</w:t>
      </w:r>
    </w:p>
    <w:p>
      <w:pPr>
        <w:spacing w:after="0" w:line="1"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You will be required to provide to the Company documentary evidence of your identity and eligibility for employment in the United States. Such documentation must be provided to us within three (3) business days of your date of hire, or our employment relationship may be terminated.</w:t>
      </w:r>
    </w:p>
    <w:p>
      <w:pPr>
        <w:spacing w:after="0"/>
        <w:rPr>
          <w:sz w:val="20"/>
          <w:szCs w:val="20"/>
          <w:color w:val="auto"/>
        </w:rPr>
      </w:pPr>
      <w:r>
        <w:rPr>
          <w:rFonts w:ascii="Arial" w:cs="Arial" w:eastAsia="Arial" w:hAnsi="Arial"/>
          <w:sz w:val="16"/>
          <w:szCs w:val="16"/>
          <w:b w:val="1"/>
          <w:bCs w:val="1"/>
          <w:u w:val="single" w:color="auto"/>
          <w:color w:val="auto"/>
        </w:rPr>
        <w:t>At-Will Employment:</w:t>
      </w:r>
    </w:p>
    <w:p>
      <w:pPr>
        <w:spacing w:after="0" w:line="59" w:lineRule="exact"/>
        <w:rPr>
          <w:sz w:val="20"/>
          <w:szCs w:val="20"/>
          <w:color w:val="auto"/>
        </w:rPr>
      </w:pPr>
    </w:p>
    <w:p>
      <w:pPr>
        <w:ind w:right="340"/>
        <w:spacing w:after="0" w:line="227" w:lineRule="exact"/>
        <w:rPr>
          <w:sz w:val="20"/>
          <w:szCs w:val="20"/>
          <w:color w:val="auto"/>
        </w:rPr>
      </w:pPr>
      <w:r>
        <w:rPr>
          <w:rFonts w:ascii="Arial" w:cs="Arial" w:eastAsia="Arial" w:hAnsi="Arial"/>
          <w:sz w:val="16"/>
          <w:szCs w:val="16"/>
          <w:color w:val="auto"/>
        </w:rPr>
        <w:t>Your employment with Fluidigm is for no specified period and constitutes at</w:t>
      </w:r>
      <w:r>
        <w:rPr>
          <w:rFonts w:ascii="MS PGothic" w:cs="MS PGothic" w:eastAsia="MS PGothic" w:hAnsi="MS PGothic"/>
          <w:sz w:val="16"/>
          <w:szCs w:val="16"/>
          <w:color w:val="auto"/>
        </w:rPr>
        <w:t>‑</w:t>
      </w:r>
      <w:r>
        <w:rPr>
          <w:rFonts w:ascii="Arial" w:cs="Arial" w:eastAsia="Arial" w:hAnsi="Arial"/>
          <w:sz w:val="16"/>
          <w:szCs w:val="16"/>
          <w:color w:val="auto"/>
        </w:rPr>
        <w:t>will employment. As a result, you are free to resign at any time, for any reason or for no reason. Similarly, Fluidigm is free to conclude its employment relationship with you at any time, with or without cause, and with or without notice. We request that, in the event of resignation, you give Fluidigm at least two (2) weeks’ notice.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w:t>
      </w:r>
    </w:p>
    <w:p>
      <w:pPr>
        <w:spacing w:after="0" w:line="59" w:lineRule="exact"/>
        <w:rPr>
          <w:sz w:val="20"/>
          <w:szCs w:val="20"/>
          <w:color w:val="auto"/>
        </w:rPr>
      </w:pPr>
    </w:p>
    <w:p>
      <w:pPr>
        <w:ind w:right="120"/>
        <w:spacing w:after="0" w:line="339" w:lineRule="auto"/>
        <w:rPr>
          <w:sz w:val="20"/>
          <w:szCs w:val="20"/>
          <w:color w:val="auto"/>
        </w:rPr>
      </w:pPr>
      <w:r>
        <w:rPr>
          <w:rFonts w:ascii="Arial" w:cs="Arial" w:eastAsia="Arial" w:hAnsi="Arial"/>
          <w:sz w:val="15"/>
          <w:szCs w:val="15"/>
          <w:color w:val="auto"/>
        </w:rPr>
        <w:t>We also ask that, if you have not already done so, you disclose to Fluidigm any and all agreements relating to your prior employment that may affect your eligibility to be employed by Fluidigm or limit the manner in which you may be employed. It is Fluidigm’s understanding that any such agreements will not prevent you from performing the duties of your position and you represent that such is the case. Moreover, you agree that, during the term of your employment with Fluidigm, you will not engage in any other employment, occupation, consulting or other business activity directly related to the business in which Fluidigm is now involved or becomes involved during the term of your employment, nor will you engage in any other activities that conflict with your obligations to Fluidigm; provided, however, that beginning on the date 18 months following your start date, you will be permitted to serve as a non-employee member of the board of directors of up to two privately-held companies that are non-competitive with the Company, subject to compliance with Fluidigm’s code of conduct and approval by the Board.</w:t>
      </w:r>
    </w:p>
    <w:p>
      <w:pPr>
        <w:sectPr>
          <w:pgSz w:w="11900" w:h="16838" w:orient="portrait"/>
          <w:cols w:equalWidth="0" w:num="1">
            <w:col w:w="11380"/>
          </w:cols>
          <w:pgMar w:left="240" w:top="1440" w:right="279" w:bottom="1440" w:gutter="0" w:footer="0" w:header="0"/>
        </w:sectPr>
      </w:pPr>
    </w:p>
    <w:bookmarkStart w:id="71" w:name="page72"/>
    <w:bookmarkEnd w:id="71"/>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392430</wp:posOffset>
            </wp:positionV>
            <wp:extent cx="1213485" cy="404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213485" cy="404495"/>
                    </a:xfrm>
                    <a:prstGeom prst="rect">
                      <a:avLst/>
                    </a:prstGeom>
                    <a:noFill/>
                  </pic:spPr>
                </pic:pic>
              </a:graphicData>
            </a:graphic>
          </wp:anchor>
        </w:drawing>
      </w:r>
    </w:p>
    <w:p>
      <w:pPr>
        <w:spacing w:after="0" w:line="337" w:lineRule="auto"/>
        <w:rPr>
          <w:sz w:val="20"/>
          <w:szCs w:val="20"/>
          <w:color w:val="auto"/>
        </w:rPr>
      </w:pPr>
      <w:r>
        <w:rPr>
          <w:rFonts w:ascii="Arial" w:cs="Arial" w:eastAsia="Arial" w:hAnsi="Arial"/>
          <w:sz w:val="16"/>
          <w:szCs w:val="16"/>
          <w:color w:val="auto"/>
        </w:rPr>
        <w:t>Similarly, you agree not to bring any third party confidential information to Fluidigm, including that of your former employer, and that in performing your duties for Fluidigm you will not in any way utilize any such information.</w:t>
      </w:r>
    </w:p>
    <w:p>
      <w:pPr>
        <w:spacing w:after="0" w:line="134"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This letter, and your employment hereunder, shall be governed by and construed in accordance with the laws of the State of California. In addition, Fluidigm may change your compensation, duties, assignments, responsibilities, location of your position, or any other terms and conditions of employment at any time to adjust to the changing needs of our dynamic Company.</w:t>
      </w:r>
    </w:p>
    <w:p>
      <w:pPr>
        <w:spacing w:after="0" w:line="29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the event of any dispute or claim relating to or arising out of our employment relationship, you and Fluidigm agree that (i) any and all disputes between you and Fluidigm shall be fully and finally resolved by binding arbitration, (ii) you are waiving any and all rights to a jury trial but all court remedies will be available in arbitration, (iii) all disputes shall be resolved by a neutral arbitrator who shall issue a written opinion, (iv) the arbitration shall provide for adequate discovery, and (v) Fluidigm shall pay all the arbitration fees, except an amount equal to the filing fees you would have paid had you filed a complaint in a court of law.</w:t>
      </w:r>
    </w:p>
    <w:p>
      <w:pPr>
        <w:spacing w:after="0" w:line="2"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 xml:space="preserve">You and the Company agree that all such disputes shall be fully and finally resolved by binding arbitration conducted by the Judicial Arbitration &amp; Mediation Services (“JAMS”) in Santa Clara County California. The current JAMS employment arbitration rules &amp; procedures can be found at </w:t>
      </w:r>
      <w:r>
        <w:rPr>
          <w:rFonts w:ascii="Arial" w:cs="Arial" w:eastAsia="Arial" w:hAnsi="Arial"/>
          <w:sz w:val="19"/>
          <w:szCs w:val="19"/>
          <w:u w:val="single" w:color="auto"/>
          <w:color w:val="0000FF"/>
        </w:rPr>
        <w:t>http://www.jamsadr.com/rules-employment-arbitration/</w:t>
      </w:r>
      <w:r>
        <w:rPr>
          <w:rFonts w:ascii="Arial" w:cs="Arial" w:eastAsia="Arial" w:hAnsi="Arial"/>
          <w:sz w:val="15"/>
          <w:szCs w:val="15"/>
          <w:color w:val="000000"/>
        </w:rPr>
        <w:t>. The JAMS employment arbitration rules &amp; procedures may, however, be amended by JAMS.)</w:t>
      </w:r>
    </w:p>
    <w:p>
      <w:pPr>
        <w:spacing w:after="0" w:line="2" w:lineRule="exact"/>
        <w:rPr>
          <w:sz w:val="20"/>
          <w:szCs w:val="20"/>
          <w:color w:val="auto"/>
        </w:rPr>
      </w:pPr>
    </w:p>
    <w:p>
      <w:pPr>
        <w:ind w:right="140"/>
        <w:spacing w:after="0" w:line="332" w:lineRule="auto"/>
        <w:rPr>
          <w:sz w:val="20"/>
          <w:szCs w:val="20"/>
          <w:color w:val="auto"/>
        </w:rPr>
      </w:pPr>
      <w:r>
        <w:rPr>
          <w:rFonts w:ascii="Arial" w:cs="Arial" w:eastAsia="Arial" w:hAnsi="Arial"/>
          <w:sz w:val="15"/>
          <w:szCs w:val="15"/>
          <w:color w:val="auto"/>
        </w:rPr>
        <w:t>This offer expires on July 21, 2016, unless you accept prior to this date. To indicate your acceptance of this offer, please sign and date this letter in the space provided below and return it in the envelope provided to me, 7000 Shoreline Court, Suite 100, South San Francisco, CA 94080. A copy is provided for your records.</w:t>
      </w:r>
    </w:p>
    <w:p>
      <w:pPr>
        <w:spacing w:after="0" w:line="1"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This letter, the Severance Agreement and any agreement relating to proprietary rights between you and the Company (including, the Agreement) set forth the terms of your employment with Fluidigm and supersede any prior representations or agreements, whether written or oral. This letter may not be modified or amended except by a written agreement, signed by the Company and by you.</w:t>
      </w:r>
    </w:p>
    <w:p>
      <w:pPr>
        <w:spacing w:after="0" w:line="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employees are committed to the success and growth of our business. At Fluidigm, we believe that our values are not just words on paper – they are a statement of our character. Fluidigmers should: Win as a team; Work hard and with passion; Be strong; Be aggressive; Do what you say you will do; Sweat the details; and Keep learning. We believe our values define who we are as a company and as employees of Fluidigm. We aspire to live by these values each day and work hard to exhibit these traits because these are the things that are worth believing.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Chris, I have really enjoyed getting to know you, while being consistently impressed with your acumen. I am certain we can build a great company together.</w:t>
      </w:r>
    </w:p>
    <w:p>
      <w:pPr>
        <w:sectPr>
          <w:pgSz w:w="11900" w:h="16838" w:orient="portrait"/>
          <w:cols w:equalWidth="0" w:num="1">
            <w:col w:w="11400"/>
          </w:cols>
          <w:pgMar w:left="240" w:top="1440" w:right="25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Sincerely,</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 Gajus Worthington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Gajus Worthington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President &amp; Chief Executive Officer</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Fluidigm Corporation</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 TO:</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Chris Linthwaite 14 July 2016</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Chris Linthwaite Date</w:t>
      </w:r>
    </w:p>
    <w:p>
      <w:pPr>
        <w:sectPr>
          <w:pgSz w:w="11900" w:h="16838" w:orient="portrait"/>
          <w:cols w:equalWidth="0" w:num="1">
            <w:col w:w="10219"/>
          </w:cols>
          <w:pgMar w:left="240" w:top="820" w:right="1440"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65" w:lineRule="exact"/>
        <w:rPr>
          <w:sz w:val="20"/>
          <w:szCs w:val="20"/>
          <w:color w:val="auto"/>
        </w:rPr>
      </w:pPr>
    </w:p>
    <w:p>
      <w:pPr>
        <w:jc w:val="center"/>
        <w:ind w:left="260" w:right="2160"/>
        <w:spacing w:after="0" w:line="259" w:lineRule="auto"/>
        <w:rPr>
          <w:sz w:val="20"/>
          <w:szCs w:val="20"/>
          <w:color w:val="auto"/>
        </w:rPr>
      </w:pPr>
      <w:r>
        <w:rPr>
          <w:rFonts w:ascii="Arial" w:cs="Arial" w:eastAsia="Arial" w:hAnsi="Arial"/>
          <w:sz w:val="18"/>
          <w:szCs w:val="18"/>
          <w:b w:val="1"/>
          <w:bCs w:val="1"/>
          <w:color w:val="auto"/>
        </w:rPr>
        <w:t>CERTIFICATION OF PRESIDENT AND CHIEF EXECUTIVE OFFICER PURSUANT TO SECURITIES EXCHANGE ACT RULES 13a-14(a) AND 15d-14(a), 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258" w:lineRule="exact"/>
        <w:rPr>
          <w:sz w:val="20"/>
          <w:szCs w:val="20"/>
          <w:color w:val="auto"/>
        </w:rPr>
      </w:pPr>
    </w:p>
    <w:p>
      <w:pPr>
        <w:ind w:left="720" w:hanging="183"/>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38" w:lineRule="exact"/>
        <w:rPr>
          <w:rFonts w:ascii="Arial" w:cs="Arial" w:eastAsia="Arial" w:hAnsi="Arial"/>
          <w:sz w:val="18"/>
          <w:szCs w:val="18"/>
          <w:color w:val="auto"/>
        </w:rPr>
      </w:pPr>
    </w:p>
    <w:p>
      <w:pPr>
        <w:ind w:left="540" w:right="100" w:hanging="3"/>
        <w:spacing w:after="0" w:line="480" w:lineRule="auto"/>
        <w:tabs>
          <w:tab w:leader="none" w:pos="717" w:val="left"/>
        </w:tabs>
        <w:numPr>
          <w:ilvl w:val="1"/>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380" w:hanging="3"/>
        <w:spacing w:after="0" w:line="423" w:lineRule="auto"/>
        <w:tabs>
          <w:tab w:leader="none" w:pos="717" w:val="left"/>
        </w:tabs>
        <w:numPr>
          <w:ilvl w:val="1"/>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180" w:hanging="3"/>
        <w:spacing w:after="0" w:line="409" w:lineRule="auto"/>
        <w:tabs>
          <w:tab w:leader="none" w:pos="71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880" w:right="20" w:hanging="237"/>
        <w:spacing w:after="0" w:line="219" w:lineRule="auto"/>
        <w:tabs>
          <w:tab w:leader="none" w:pos="861"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80" w:hanging="237"/>
        <w:spacing w:after="0" w:line="219" w:lineRule="auto"/>
        <w:tabs>
          <w:tab w:leader="none" w:pos="871"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80" w:right="60" w:hanging="237"/>
        <w:spacing w:after="0" w:line="246" w:lineRule="auto"/>
        <w:tabs>
          <w:tab w:leader="none" w:pos="861" w:val="left"/>
        </w:tabs>
        <w:numPr>
          <w:ilvl w:val="2"/>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ind w:left="880" w:right="80" w:hanging="237"/>
        <w:spacing w:after="0" w:line="219" w:lineRule="auto"/>
        <w:tabs>
          <w:tab w:leader="none" w:pos="871" w:val="left"/>
        </w:tabs>
        <w:numPr>
          <w:ilvl w:val="2"/>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40" w:right="540" w:hanging="315"/>
        <w:spacing w:after="0" w:line="311" w:lineRule="auto"/>
        <w:tabs>
          <w:tab w:leader="none" w:pos="498"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5"/>
          <w:szCs w:val="15"/>
          <w:color w:val="auto"/>
        </w:rPr>
      </w:pPr>
    </w:p>
    <w:p>
      <w:pPr>
        <w:ind w:left="880" w:right="440" w:hanging="237"/>
        <w:spacing w:after="0" w:line="246" w:lineRule="auto"/>
        <w:tabs>
          <w:tab w:leader="none" w:pos="861" w:val="left"/>
        </w:tabs>
        <w:numPr>
          <w:ilvl w:val="2"/>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880" w:right="20" w:hanging="237"/>
        <w:spacing w:after="0" w:line="229" w:lineRule="auto"/>
        <w:tabs>
          <w:tab w:leader="none" w:pos="871"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2018</w:t>
      </w:r>
    </w:p>
    <w:p>
      <w:pPr>
        <w:spacing w:after="0" w:line="58" w:lineRule="exact"/>
        <w:rPr>
          <w:sz w:val="20"/>
          <w:szCs w:val="20"/>
          <w:color w:val="auto"/>
        </w:rPr>
      </w:pPr>
    </w:p>
    <w:p>
      <w:pPr>
        <w:ind w:left="590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27940</wp:posOffset>
            </wp:positionV>
            <wp:extent cx="30346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Stephen Christopher Linthwaite</w:t>
      </w:r>
    </w:p>
    <w:p>
      <w:pPr>
        <w:spacing w:after="0" w:line="5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and Chief Executive Officer</w:t>
      </w:r>
    </w:p>
    <w:p>
      <w:pPr>
        <w:spacing w:after="0" w:line="5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18"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65" w:lineRule="exact"/>
        <w:rPr>
          <w:sz w:val="20"/>
          <w:szCs w:val="20"/>
          <w:color w:val="auto"/>
        </w:rPr>
      </w:pPr>
    </w:p>
    <w:p>
      <w:pPr>
        <w:jc w:val="center"/>
        <w:ind w:left="260" w:right="2160"/>
        <w:spacing w:after="0" w:line="259"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284" w:lineRule="exact"/>
        <w:rPr>
          <w:sz w:val="20"/>
          <w:szCs w:val="20"/>
          <w:color w:val="auto"/>
        </w:rPr>
      </w:pPr>
    </w:p>
    <w:p>
      <w:pPr>
        <w:ind w:left="720" w:hanging="183"/>
        <w:spacing w:after="0"/>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38" w:lineRule="exact"/>
        <w:rPr>
          <w:rFonts w:ascii="Arial" w:cs="Arial" w:eastAsia="Arial" w:hAnsi="Arial"/>
          <w:sz w:val="18"/>
          <w:szCs w:val="18"/>
          <w:color w:val="auto"/>
        </w:rPr>
      </w:pPr>
    </w:p>
    <w:p>
      <w:pPr>
        <w:ind w:left="540" w:right="100" w:hanging="3"/>
        <w:spacing w:after="0" w:line="480" w:lineRule="auto"/>
        <w:tabs>
          <w:tab w:leader="none" w:pos="717" w:val="left"/>
        </w:tabs>
        <w:numPr>
          <w:ilvl w:val="1"/>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380" w:hanging="3"/>
        <w:spacing w:after="0" w:line="423" w:lineRule="auto"/>
        <w:tabs>
          <w:tab w:leader="none" w:pos="717" w:val="left"/>
        </w:tabs>
        <w:numPr>
          <w:ilvl w:val="1"/>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180" w:hanging="3"/>
        <w:spacing w:after="0" w:line="409" w:lineRule="auto"/>
        <w:tabs>
          <w:tab w:leader="none" w:pos="7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ind w:left="880" w:right="20" w:hanging="237"/>
        <w:spacing w:after="0" w:line="255" w:lineRule="auto"/>
        <w:tabs>
          <w:tab w:leader="none" w:pos="861"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ind w:left="880" w:hanging="237"/>
        <w:spacing w:after="0" w:line="255" w:lineRule="auto"/>
        <w:tabs>
          <w:tab w:leader="none" w:pos="871"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880" w:right="60" w:hanging="237"/>
        <w:spacing w:after="0" w:line="295" w:lineRule="auto"/>
        <w:tabs>
          <w:tab w:leader="none" w:pos="861" w:val="left"/>
        </w:tabs>
        <w:numPr>
          <w:ilvl w:val="2"/>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7"/>
          <w:szCs w:val="17"/>
          <w:color w:val="auto"/>
        </w:rPr>
      </w:pPr>
    </w:p>
    <w:p>
      <w:pPr>
        <w:ind w:left="880" w:right="80" w:hanging="237"/>
        <w:spacing w:after="0" w:line="255" w:lineRule="auto"/>
        <w:tabs>
          <w:tab w:leader="none" w:pos="871"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40" w:right="540" w:hanging="315"/>
        <w:spacing w:after="0" w:line="366" w:lineRule="auto"/>
        <w:tabs>
          <w:tab w:leader="none" w:pos="498"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Arial" w:cs="Arial" w:eastAsia="Arial" w:hAnsi="Arial"/>
          <w:sz w:val="15"/>
          <w:szCs w:val="15"/>
          <w:color w:val="auto"/>
        </w:rPr>
      </w:pPr>
    </w:p>
    <w:p>
      <w:pPr>
        <w:ind w:left="880" w:right="440" w:hanging="237"/>
        <w:spacing w:after="0" w:line="295" w:lineRule="auto"/>
        <w:tabs>
          <w:tab w:leader="none" w:pos="861" w:val="left"/>
        </w:tabs>
        <w:numPr>
          <w:ilvl w:val="2"/>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7"/>
          <w:szCs w:val="17"/>
          <w:color w:val="auto"/>
        </w:rPr>
      </w:pPr>
    </w:p>
    <w:p>
      <w:pPr>
        <w:ind w:left="880" w:right="20" w:hanging="237"/>
        <w:spacing w:after="0" w:line="265" w:lineRule="auto"/>
        <w:tabs>
          <w:tab w:leader="none" w:pos="871"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878" w:right="239" w:bottom="1440" w:gutter="0" w:footer="0" w:header="0"/>
        </w:sectPr>
      </w:pPr>
    </w:p>
    <w:bookmarkStart w:id="75" w:name="page76"/>
    <w:bookmarkEnd w:id="75"/>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2018</w:t>
      </w:r>
    </w:p>
    <w:p>
      <w:pPr>
        <w:spacing w:after="0" w:line="58" w:lineRule="exact"/>
        <w:rPr>
          <w:sz w:val="20"/>
          <w:szCs w:val="20"/>
          <w:color w:val="auto"/>
        </w:rPr>
      </w:pPr>
    </w:p>
    <w:p>
      <w:pPr>
        <w:ind w:left="5860"/>
        <w:spacing w:after="0"/>
        <w:tabs>
          <w:tab w:leader="none" w:pos="6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27940</wp:posOffset>
            </wp:positionV>
            <wp:extent cx="30346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2"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Vikram Jog</w:t>
      </w:r>
    </w:p>
    <w:p>
      <w:pPr>
        <w:spacing w:after="0" w:line="5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600"/>
        <w:spacing w:after="0"/>
        <w:rPr>
          <w:sz w:val="20"/>
          <w:szCs w:val="20"/>
          <w:color w:val="auto"/>
        </w:rPr>
      </w:pPr>
      <w:r>
        <w:rPr>
          <w:rFonts w:ascii="Arial" w:cs="Arial" w:eastAsia="Arial" w:hAnsi="Arial"/>
          <w:sz w:val="15"/>
          <w:szCs w:val="15"/>
          <w:color w:val="auto"/>
        </w:rPr>
        <w:t>(Principal Financial Officer)</w:t>
      </w:r>
    </w:p>
    <w:p>
      <w:pPr>
        <w:sectPr>
          <w:pgSz w:w="11900" w:h="16838" w:orient="portrait"/>
          <w:cols w:equalWidth="0" w:num="1">
            <w:col w:w="10179"/>
          </w:cols>
          <w:pgMar w:left="280" w:top="937"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16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OF PRESIDENT AND CHIEF EXECUTIVE OFFICER PURSUANT TO 18 U.S.C. § 1350, AS ADOPTED PURSUANT TO SECTION 906 OF THE SARBANES-OXLEY ACT OF 2002</w:t>
      </w:r>
    </w:p>
    <w:p>
      <w:pPr>
        <w:spacing w:after="0" w:line="132" w:lineRule="exact"/>
        <w:rPr>
          <w:sz w:val="20"/>
          <w:szCs w:val="20"/>
          <w:color w:val="auto"/>
        </w:rPr>
      </w:pPr>
    </w:p>
    <w:p>
      <w:pPr>
        <w:ind w:right="460" w:firstLine="425"/>
        <w:spacing w:after="0" w:line="295" w:lineRule="auto"/>
        <w:rPr>
          <w:sz w:val="20"/>
          <w:szCs w:val="20"/>
          <w:color w:val="auto"/>
        </w:rPr>
      </w:pPr>
      <w:r>
        <w:rPr>
          <w:rFonts w:ascii="Arial" w:cs="Arial" w:eastAsia="Arial" w:hAnsi="Arial"/>
          <w:sz w:val="17"/>
          <w:szCs w:val="17"/>
          <w:color w:val="auto"/>
        </w:rPr>
        <w:t>I, Stephen Christopher Linthwaite, the president and chief executive officer of Fluidigm Corporation (the “Company”), certify for the purposes of 18 U.S.C. Section 1350, as adopted pursuant to Section 906 of the Sarbanes-Oxley Act of 2002, that, to the best of my knowledge,</w:t>
      </w:r>
    </w:p>
    <w:p>
      <w:pPr>
        <w:spacing w:after="0" w:line="37" w:lineRule="exact"/>
        <w:rPr>
          <w:sz w:val="20"/>
          <w:szCs w:val="20"/>
          <w:color w:val="auto"/>
        </w:rPr>
      </w:pPr>
    </w:p>
    <w:p>
      <w:pPr>
        <w:ind w:right="180" w:firstLine="873"/>
        <w:spacing w:after="0" w:line="265" w:lineRule="auto"/>
        <w:tabs>
          <w:tab w:leader="none" w:pos="10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2018 (the “Report”), fully complies with the requirements of section 13(a) or 15(d) of the Securities Exchange Act of 1934, as amended; and</w:t>
      </w:r>
    </w:p>
    <w:p>
      <w:pPr>
        <w:spacing w:after="0" w:line="60" w:lineRule="exact"/>
        <w:rPr>
          <w:rFonts w:ascii="Arial" w:cs="Arial" w:eastAsia="Arial" w:hAnsi="Arial"/>
          <w:sz w:val="18"/>
          <w:szCs w:val="18"/>
          <w:color w:val="auto"/>
        </w:rPr>
      </w:pPr>
    </w:p>
    <w:p>
      <w:pPr>
        <w:ind w:left="1140" w:hanging="267"/>
        <w:spacing w:after="0"/>
        <w:tabs>
          <w:tab w:leader="none" w:pos="11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05"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8"/>
          <w:szCs w:val="18"/>
          <w:color w:val="auto"/>
        </w:rPr>
        <w:t>By:</w:t>
        <w:tab/>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27940</wp:posOffset>
            </wp:positionV>
            <wp:extent cx="3380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spacing w:after="0" w:line="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Stephen Christopher Linthwaite</w:t>
      </w:r>
    </w:p>
    <w:p>
      <w:pPr>
        <w:spacing w:after="0" w:line="5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5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pacing w:after="0" w:line="58"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Date:</w:t>
        <w:tab/>
        <w:t>May 8, 2018</w:t>
      </w:r>
    </w:p>
    <w:p>
      <w:pPr>
        <w:sectPr>
          <w:pgSz w:w="11900" w:h="16838" w:orient="portrait"/>
          <w:cols w:equalWidth="0" w:num="1">
            <w:col w:w="11420"/>
          </w:cols>
          <w:pgMar w:left="240" w:top="878"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16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2" w:lineRule="exact"/>
        <w:rPr>
          <w:sz w:val="20"/>
          <w:szCs w:val="20"/>
          <w:color w:val="auto"/>
        </w:rPr>
      </w:pPr>
    </w:p>
    <w:p>
      <w:pPr>
        <w:ind w:right="620" w:firstLine="425"/>
        <w:spacing w:after="0" w:line="265"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61" w:lineRule="exact"/>
        <w:rPr>
          <w:sz w:val="20"/>
          <w:szCs w:val="20"/>
          <w:color w:val="auto"/>
        </w:rPr>
      </w:pPr>
    </w:p>
    <w:p>
      <w:pPr>
        <w:ind w:right="180" w:firstLine="873"/>
        <w:spacing w:after="0" w:line="265" w:lineRule="auto"/>
        <w:tabs>
          <w:tab w:leader="none" w:pos="10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March 31, 2018 (the “Report”), fully complies with the requirements of section 13(a) or 15(d) of the Securities Exchange Act of 1934, as amended; and</w:t>
      </w:r>
    </w:p>
    <w:p>
      <w:pPr>
        <w:spacing w:after="0" w:line="60" w:lineRule="exact"/>
        <w:rPr>
          <w:rFonts w:ascii="Arial" w:cs="Arial" w:eastAsia="Arial" w:hAnsi="Arial"/>
          <w:sz w:val="18"/>
          <w:szCs w:val="18"/>
          <w:color w:val="auto"/>
        </w:rPr>
      </w:pPr>
    </w:p>
    <w:p>
      <w:pPr>
        <w:ind w:left="1140" w:hanging="267"/>
        <w:spacing w:after="0"/>
        <w:tabs>
          <w:tab w:leader="none" w:pos="11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8"/>
          <w:szCs w:val="18"/>
          <w:color w:val="auto"/>
        </w:rPr>
        <w:t>By:</w:t>
        <w:tab/>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27940</wp:posOffset>
            </wp:positionV>
            <wp:extent cx="33801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80105" cy="8255"/>
                    </a:xfrm>
                    <a:prstGeom prst="rect">
                      <a:avLst/>
                    </a:prstGeom>
                    <a:noFill/>
                  </pic:spPr>
                </pic:pic>
              </a:graphicData>
            </a:graphic>
          </wp:anchor>
        </w:drawing>
      </w:r>
    </w:p>
    <w:p>
      <w:pPr>
        <w:spacing w:after="0" w:line="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Vikram Jog</w:t>
      </w:r>
    </w:p>
    <w:p>
      <w:pPr>
        <w:spacing w:after="0" w:line="5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Officer)</w:t>
      </w:r>
    </w:p>
    <w:p>
      <w:pPr>
        <w:spacing w:after="0" w:line="58"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Date:</w:t>
        <w:tab/>
        <w:t>May 8, 2018</w:t>
      </w:r>
    </w:p>
    <w:sectPr>
      <w:pgSz w:w="11900" w:h="16838" w:orient="portrait"/>
      <w:cols w:equalWidth="0" w:num="1">
        <w:col w:w="11420"/>
      </w:cols>
      <w:pgMar w:left="240" w:top="8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8"/>
    </w:lvl>
  </w:abstractNum>
  <w:abstractNum w:abstractNumId="6">
    <w:nsid w:val="216231B"/>
    <w:multiLevelType w:val="hybridMultilevel"/>
    <w:lvl w:ilvl="0">
      <w:lvlJc w:val="left"/>
      <w:lvlText w:val="(%1)"/>
      <w:numFmt w:val="lowerRoman"/>
      <w:start w:val="2"/>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
    <w:nsid w:val="66EF438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0">
    <w:nsid w:val="140E0F7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
    <w:nsid w:val="3352255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2">
    <w:nsid w:val="109CF92E"/>
    <w:multiLevelType w:val="hybridMultilevel"/>
    <w:lvl w:ilvl="0">
      <w:lvlJc w:val="left"/>
      <w:lvlText w:val="(%1)"/>
      <w:numFmt w:val="lowerRoman"/>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14" Type="http://schemas.openxmlformats.org/officeDocument/2006/relationships/hyperlink" Target="http://www.sec.gov/Archives/edgar/data/1162194/000117184318001740/exh_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2019-12-28T22:19:08Z</dcterms:created>
  <dcterms:modified xsi:type="dcterms:W3CDTF">2019-12-28T22:19:08Z</dcterms:modified>
</cp:coreProperties>
</file>