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incorporation)</w:t>
            </w:r>
          </w:p>
        </w:tc>
        <w:tc>
          <w:tcPr>
            <w:tcW w:w="44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50 Milk Street, 10th Floor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4"/>
                <w:szCs w:val="24"/>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Standard BioTools Inc. (the “Company”) held its 2026 Annual Meeting of Stockholders (the “Annual Meeting”) on June 17, 2026. The Company’s stockholders voted to approve the Company’s 2026 Equity Incentive Plan (the “2026 Plan”) and an amendment to the Company’s Amended and Restated 2017 Employee Stock Purchase Plan (the “ESPP”), increasing the number of shares of common stock reserved for issuance thereunder by 1,200,000 shares.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2026 Plan and the ESPP are described in further detail in the Company’s definitive proxy statement on Schedule 14A for the Annual Meeting filed with the Securities and Exchange Commission on April 27, 2026 (the “Proxy Statement”), which descriptions are incorporated herein by reference. The complete text of the 2026 Plan and the ESPP are set forth in Exhibits 10.1 and 10.2, respectively, to this Current Report on Form 8-K and are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April 24, 2026 (the “Record Date”), the Company had 390,368,119 shares of common stock issued and outstanding. A total of 335,900,644 votes, or approximately 86.04% of the total voting power of the shares of the Company’s capital stock issued and outstanding and entitled to vote at the Annual Meeting were represented in person or by proxy at the Annual Meeting. The following proposals are described in detail in the Proxy Statement. The final voting results for each of the matters submitted to a stockholder vote at the Annual Meeting are set forth below:</w:t>
      </w:r>
    </w:p>
    <w:p>
      <w:pPr>
        <w:spacing w:after="0" w:line="176" w:lineRule="exact"/>
        <w:rPr>
          <w:sz w:val="20"/>
          <w:szCs w:val="20"/>
          <w:color w:val="auto"/>
        </w:rPr>
      </w:pPr>
    </w:p>
    <w:p>
      <w:pPr>
        <w:ind w:firstLine="382"/>
        <w:spacing w:after="0" w:line="286" w:lineRule="auto"/>
        <w:tabs>
          <w:tab w:leader="none" w:pos="5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Class I Directors. </w:t>
      </w:r>
      <w:r>
        <w:rPr>
          <w:rFonts w:ascii="Times New Roman" w:cs="Times New Roman" w:eastAsia="Times New Roman" w:hAnsi="Times New Roman"/>
          <w:sz w:val="18"/>
          <w:szCs w:val="18"/>
          <w:color w:val="auto"/>
        </w:rPr>
        <w:t>The following nominees were elected to serve as Class I directors, to hold office until the Company’s 2029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their respective successors have been duly elected and qualified or their earlier resignation or removal: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Egholm, Ph.D.</w:t>
            </w:r>
          </w:p>
        </w:tc>
        <w:tc>
          <w:tcPr>
            <w:tcW w:w="2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236,313,971</w:t>
            </w:r>
          </w:p>
        </w:tc>
        <w:tc>
          <w:tcPr>
            <w:tcW w:w="2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13,467,627</w:t>
            </w:r>
          </w:p>
        </w:tc>
        <w:tc>
          <w:tcPr>
            <w:tcW w:w="3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86,119,046</w:t>
            </w:r>
          </w:p>
        </w:tc>
      </w:tr>
      <w:tr>
        <w:trPr>
          <w:trHeight w:val="27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Carey</w:t>
            </w:r>
          </w:p>
        </w:tc>
        <w:tc>
          <w:tcPr>
            <w:tcW w:w="2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227,843,498</w:t>
            </w:r>
          </w:p>
        </w:tc>
        <w:tc>
          <w:tcPr>
            <w:tcW w:w="2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21,938,100</w:t>
            </w:r>
          </w:p>
        </w:tc>
        <w:tc>
          <w:tcPr>
            <w:tcW w:w="3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86,119,046</w:t>
            </w:r>
          </w:p>
        </w:tc>
      </w:tr>
      <w:tr>
        <w:trPr>
          <w:trHeight w:val="27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 Casdin</w:t>
            </w:r>
          </w:p>
        </w:tc>
        <w:tc>
          <w:tcPr>
            <w:tcW w:w="2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234,717,465</w:t>
            </w:r>
          </w:p>
        </w:tc>
        <w:tc>
          <w:tcPr>
            <w:tcW w:w="2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15,064,133</w:t>
            </w:r>
          </w:p>
        </w:tc>
        <w:tc>
          <w:tcPr>
            <w:tcW w:w="3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86,119,046</w:t>
            </w:r>
          </w:p>
        </w:tc>
      </w:tr>
    </w:tbl>
    <w:p>
      <w:pPr>
        <w:spacing w:after="0" w:line="248" w:lineRule="exact"/>
        <w:rPr>
          <w:sz w:val="20"/>
          <w:szCs w:val="20"/>
          <w:color w:val="auto"/>
        </w:rPr>
      </w:pPr>
    </w:p>
    <w:p>
      <w:pPr>
        <w:ind w:firstLine="382"/>
        <w:spacing w:after="0" w:line="286" w:lineRule="auto"/>
        <w:tabs>
          <w:tab w:leader="none" w:pos="5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on Approval of Executive Compensation. </w:t>
      </w:r>
      <w:r>
        <w:rPr>
          <w:rFonts w:ascii="Times New Roman" w:cs="Times New Roman" w:eastAsia="Times New Roman" w:hAnsi="Times New Roman"/>
          <w:sz w:val="18"/>
          <w:szCs w:val="18"/>
          <w:color w:val="auto"/>
        </w:rPr>
        <w:t>The proposal to approve, on an advisory basis, the compensation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 for the year ended December 31, 2025 was approved by the following votes: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209,778,412</w:t>
            </w:r>
          </w:p>
        </w:tc>
        <w:tc>
          <w:tcPr>
            <w:tcW w:w="20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36,318,595</w:t>
            </w:r>
          </w:p>
        </w:tc>
        <w:tc>
          <w:tcPr>
            <w:tcW w:w="27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3,684,591</w:t>
            </w:r>
          </w:p>
        </w:tc>
        <w:tc>
          <w:tcPr>
            <w:tcW w:w="31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86,119,046</w:t>
            </w:r>
          </w:p>
        </w:tc>
      </w:tr>
    </w:tbl>
    <w:p>
      <w:pPr>
        <w:spacing w:after="0" w:line="248" w:lineRule="exact"/>
        <w:rPr>
          <w:sz w:val="20"/>
          <w:szCs w:val="20"/>
          <w:color w:val="auto"/>
        </w:rPr>
      </w:pPr>
    </w:p>
    <w:p>
      <w:pPr>
        <w:jc w:val="both"/>
        <w:ind w:firstLine="382"/>
        <w:spacing w:after="0" w:line="268" w:lineRule="auto"/>
        <w:tabs>
          <w:tab w:leader="none" w:pos="64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proposal to ratify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the Company’s independent registered public accounting firm for the year ending December 31, 2026 was approved by the following vote: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330,172,606</w:t>
            </w:r>
          </w:p>
        </w:tc>
        <w:tc>
          <w:tcPr>
            <w:tcW w:w="440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652,236</w:t>
            </w:r>
          </w:p>
        </w:tc>
        <w:tc>
          <w:tcPr>
            <w:tcW w:w="378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5,075,802</w:t>
            </w:r>
          </w:p>
        </w:tc>
      </w:tr>
    </w:tbl>
    <w:p>
      <w:pPr>
        <w:spacing w:after="0" w:line="221" w:lineRule="exact"/>
        <w:rPr>
          <w:sz w:val="20"/>
          <w:szCs w:val="20"/>
          <w:color w:val="auto"/>
        </w:rPr>
      </w:pPr>
    </w:p>
    <w:p>
      <w:pPr>
        <w:ind w:left="560" w:hanging="178"/>
        <w:spacing w:after="0"/>
        <w:tabs>
          <w:tab w:leader="none" w:pos="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of the 2026 Equity Incentive Plan. </w:t>
      </w:r>
      <w:r>
        <w:rPr>
          <w:rFonts w:ascii="Times New Roman" w:cs="Times New Roman" w:eastAsia="Times New Roman" w:hAnsi="Times New Roman"/>
          <w:sz w:val="18"/>
          <w:szCs w:val="18"/>
          <w:color w:val="auto"/>
        </w:rPr>
        <w:t>The proposal to approve the 2026 Plan was approved by the following votes: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228,342,854</w:t>
            </w:r>
          </w:p>
        </w:tc>
        <w:tc>
          <w:tcPr>
            <w:tcW w:w="20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17,821,911</w:t>
            </w:r>
          </w:p>
        </w:tc>
        <w:tc>
          <w:tcPr>
            <w:tcW w:w="27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3,616,833</w:t>
            </w:r>
          </w:p>
        </w:tc>
        <w:tc>
          <w:tcPr>
            <w:tcW w:w="31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86,119,046</w:t>
            </w:r>
          </w:p>
        </w:tc>
      </w:tr>
    </w:tbl>
    <w:p>
      <w:pPr>
        <w:spacing w:after="0" w:line="221" w:lineRule="exact"/>
        <w:rPr>
          <w:sz w:val="20"/>
          <w:szCs w:val="20"/>
          <w:color w:val="auto"/>
        </w:rPr>
      </w:pPr>
    </w:p>
    <w:p>
      <w:pPr>
        <w:ind w:firstLine="382"/>
        <w:spacing w:after="0" w:line="286" w:lineRule="auto"/>
        <w:tabs>
          <w:tab w:leader="none" w:pos="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of the Amendment to the Amended and Restated 2017 Employee Stock Purchase Plan. </w:t>
      </w:r>
      <w:r>
        <w:rPr>
          <w:rFonts w:ascii="Times New Roman" w:cs="Times New Roman" w:eastAsia="Times New Roman" w:hAnsi="Times New Roman"/>
          <w:sz w:val="18"/>
          <w:szCs w:val="18"/>
          <w:color w:val="auto"/>
        </w:rPr>
        <w:t>The proposal to approve the amendment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ESPP to increase the shares of common stock reserved thereunder by 1,200,000 shares was approved by the following votes: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237,474,844</w:t>
            </w:r>
          </w:p>
        </w:tc>
        <w:tc>
          <w:tcPr>
            <w:tcW w:w="20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12,276,507</w:t>
            </w:r>
          </w:p>
        </w:tc>
        <w:tc>
          <w:tcPr>
            <w:tcW w:w="27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30,247</w:t>
            </w:r>
          </w:p>
        </w:tc>
        <w:tc>
          <w:tcPr>
            <w:tcW w:w="31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86,119,046</w:t>
            </w:r>
          </w:p>
        </w:tc>
      </w:tr>
      <w:tr>
        <w:trPr>
          <w:trHeight w:val="1330"/>
        </w:trPr>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37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Standard BioTools Inc. 2026 Equity Incentive Plan.</w:t>
            </w:r>
          </w:p>
        </w:tc>
        <w:tc>
          <w:tcPr>
            <w:tcW w:w="20" w:type="dxa"/>
            <w:vAlign w:val="bottom"/>
            <w:tcBorders>
              <w:bottom w:val="single" w:sz="8" w:color="0000EE"/>
            </w:tcBorders>
          </w:tcPr>
          <w:p>
            <w:pPr>
              <w:spacing w:after="0"/>
              <w:rPr>
                <w:sz w:val="17"/>
                <w:szCs w:val="17"/>
                <w:color w:val="auto"/>
              </w:rPr>
            </w:pPr>
          </w:p>
        </w:tc>
        <w:tc>
          <w:tcPr>
            <w:tcW w:w="5880" w:type="dxa"/>
            <w:vAlign w:val="bottom"/>
            <w:gridSpan w:val="2"/>
          </w:tcPr>
          <w:p>
            <w:pPr>
              <w:spacing w:after="0"/>
              <w:rPr>
                <w:sz w:val="17"/>
                <w:szCs w:val="17"/>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7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Standard BioTools Inc. Amended and Restated 2017 Employee Stock Purchase Plan, as Amended.</w:t>
            </w:r>
          </w:p>
        </w:tc>
        <w:tc>
          <w:tcPr>
            <w:tcW w:w="2520" w:type="dxa"/>
            <w:vAlign w:val="bottom"/>
          </w:tcPr>
          <w:p>
            <w:pPr>
              <w:spacing w:after="0"/>
              <w:rPr>
                <w:sz w:val="21"/>
                <w:szCs w:val="21"/>
                <w:color w:val="auto"/>
              </w:rPr>
            </w:pPr>
          </w:p>
        </w:tc>
      </w:tr>
      <w:tr>
        <w:trPr>
          <w:trHeight w:val="29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18, 2026</w:t>
            </w:r>
          </w:p>
        </w:tc>
        <w:tc>
          <w:tcPr>
            <w:tcW w:w="724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6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10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6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4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333333"/>
        </w:rPr>
        <w:t>STANDARD BIOTOOLS INC.</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333333"/>
        </w:rPr>
        <w:t>EQUITY INCENTIVE PLAN</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1.   </w:t>
      </w:r>
      <w:r>
        <w:rPr>
          <w:rFonts w:ascii="Times New Roman" w:cs="Times New Roman" w:eastAsia="Times New Roman" w:hAnsi="Times New Roman"/>
          <w:sz w:val="18"/>
          <w:szCs w:val="18"/>
          <w:u w:val="single" w:color="auto"/>
          <w:color w:val="000000"/>
        </w:rPr>
        <w:t>Purposes of the Plan</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333333"/>
        </w:rPr>
        <w:t>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2. 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As used herein, the following definitions will apply: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(a)   “</w:t>
      </w:r>
      <w:r>
        <w:rPr>
          <w:rFonts w:ascii="Times New Roman" w:cs="Times New Roman" w:eastAsia="Times New Roman" w:hAnsi="Times New Roman"/>
          <w:sz w:val="18"/>
          <w:szCs w:val="18"/>
          <w:u w:val="single" w:color="auto"/>
          <w:color w:val="000000"/>
        </w:rPr>
        <w:t>Administrator</w:t>
      </w:r>
      <w:r>
        <w:rPr>
          <w:rFonts w:ascii="Times New Roman" w:cs="Times New Roman" w:eastAsia="Times New Roman" w:hAnsi="Times New Roman"/>
          <w:sz w:val="18"/>
          <w:szCs w:val="18"/>
          <w:color w:val="333333"/>
        </w:rPr>
        <w:t>” means the Board or any of its Committees as may administer the Plan in accordance with Section 4 hereof.</w:t>
      </w:r>
    </w:p>
    <w:p>
      <w:pPr>
        <w:spacing w:after="0" w:line="225"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333333"/>
        </w:rPr>
        <w:t>(b)  “</w:t>
      </w:r>
      <w:r>
        <w:rPr>
          <w:rFonts w:ascii="Times New Roman" w:cs="Times New Roman" w:eastAsia="Times New Roman" w:hAnsi="Times New Roman"/>
          <w:sz w:val="18"/>
          <w:szCs w:val="18"/>
          <w:u w:val="single" w:color="auto"/>
          <w:color w:val="000000"/>
        </w:rPr>
        <w:t>Applicable Laws</w:t>
      </w:r>
      <w:r>
        <w:rPr>
          <w:rFonts w:ascii="Times New Roman" w:cs="Times New Roman" w:eastAsia="Times New Roman" w:hAnsi="Times New Roman"/>
          <w:sz w:val="18"/>
          <w:szCs w:val="18"/>
          <w:color w:val="333333"/>
        </w:rPr>
        <w:t xml:space="preserve">” means the requirements </w:t>
      </w:r>
      <w:r>
        <w:rPr>
          <w:rFonts w:ascii="Times New Roman" w:cs="Times New Roman" w:eastAsia="Times New Roman" w:hAnsi="Times New Roman"/>
          <w:sz w:val="18"/>
          <w:szCs w:val="18"/>
          <w:u w:val="single" w:color="auto"/>
          <w:color w:val="000000"/>
        </w:rPr>
        <w:t>relating</w:t>
      </w:r>
      <w:r>
        <w:rPr>
          <w:rFonts w:ascii="Times New Roman" w:cs="Times New Roman" w:eastAsia="Times New Roman" w:hAnsi="Times New Roman"/>
          <w:sz w:val="18"/>
          <w:szCs w:val="18"/>
          <w:color w:val="333333"/>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(c)  “</w:t>
      </w:r>
      <w:r>
        <w:rPr>
          <w:rFonts w:ascii="Times New Roman" w:cs="Times New Roman" w:eastAsia="Times New Roman" w:hAnsi="Times New Roman"/>
          <w:sz w:val="18"/>
          <w:szCs w:val="18"/>
          <w:u w:val="single" w:color="auto"/>
          <w:color w:val="000000"/>
        </w:rPr>
        <w:t>Award</w:t>
      </w:r>
      <w:r>
        <w:rPr>
          <w:rFonts w:ascii="Times New Roman" w:cs="Times New Roman" w:eastAsia="Times New Roman" w:hAnsi="Times New Roman"/>
          <w:sz w:val="18"/>
          <w:szCs w:val="18"/>
          <w:color w:val="333333"/>
        </w:rPr>
        <w:t>” means, individually or collectively, a grant under the Plan of Options, Stock Appreciation Rights, Restricted Stock, Restricted Stock Units, Performance Units or Performance Shares.</w:t>
      </w:r>
    </w:p>
    <w:p>
      <w:pPr>
        <w:spacing w:after="0" w:line="162"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(d)  “</w:t>
      </w:r>
      <w:r>
        <w:rPr>
          <w:rFonts w:ascii="Times New Roman" w:cs="Times New Roman" w:eastAsia="Times New Roman" w:hAnsi="Times New Roman"/>
          <w:sz w:val="18"/>
          <w:szCs w:val="18"/>
          <w:u w:val="single" w:color="auto"/>
          <w:color w:val="000000"/>
        </w:rPr>
        <w:t>Award Agreement</w:t>
      </w:r>
      <w:r>
        <w:rPr>
          <w:rFonts w:ascii="Times New Roman" w:cs="Times New Roman" w:eastAsia="Times New Roman" w:hAnsi="Times New Roman"/>
          <w:sz w:val="18"/>
          <w:szCs w:val="18"/>
          <w:color w:val="333333"/>
        </w:rPr>
        <w:t>” means the written or electronic agreement setting forth the terms and provisions applicable to each Award granted under the Plan. The Award Agreement is subject to the terms and conditions of the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(e)   “</w:t>
      </w:r>
      <w:r>
        <w:rPr>
          <w:rFonts w:ascii="Times New Roman" w:cs="Times New Roman" w:eastAsia="Times New Roman" w:hAnsi="Times New Roman"/>
          <w:sz w:val="18"/>
          <w:szCs w:val="18"/>
          <w:u w:val="single" w:color="auto"/>
          <w:color w:val="000000"/>
        </w:rPr>
        <w:t>Board</w:t>
      </w:r>
      <w:r>
        <w:rPr>
          <w:rFonts w:ascii="Times New Roman" w:cs="Times New Roman" w:eastAsia="Times New Roman" w:hAnsi="Times New Roman"/>
          <w:sz w:val="18"/>
          <w:szCs w:val="18"/>
          <w:color w:val="333333"/>
        </w:rPr>
        <w:t>” means the Board of Directors of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(f)   “</w:t>
      </w:r>
      <w:r>
        <w:rPr>
          <w:rFonts w:ascii="Times New Roman" w:cs="Times New Roman" w:eastAsia="Times New Roman" w:hAnsi="Times New Roman"/>
          <w:sz w:val="18"/>
          <w:szCs w:val="18"/>
          <w:u w:val="single" w:color="auto"/>
          <w:color w:val="000000"/>
        </w:rPr>
        <w:t>Change in Control</w:t>
      </w:r>
      <w:r>
        <w:rPr>
          <w:rFonts w:ascii="Times New Roman" w:cs="Times New Roman" w:eastAsia="Times New Roman" w:hAnsi="Times New Roman"/>
          <w:sz w:val="18"/>
          <w:szCs w:val="18"/>
          <w:color w:val="333333"/>
        </w:rPr>
        <w:t>” means the occurrence of any of the following events:</w:t>
      </w:r>
    </w:p>
    <w:p>
      <w:pPr>
        <w:spacing w:after="0" w:line="225"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333333"/>
        </w:rPr>
        <w:t>(i)  A change in the ownership of the Company which occurs on the date that any one “</w:t>
      </w:r>
      <w:r>
        <w:rPr>
          <w:rFonts w:ascii="Times New Roman" w:cs="Times New Roman" w:eastAsia="Times New Roman" w:hAnsi="Times New Roman"/>
          <w:sz w:val="18"/>
          <w:szCs w:val="18"/>
          <w:u w:val="single" w:color="auto"/>
          <w:color w:val="333333"/>
        </w:rPr>
        <w:t>Person</w:t>
      </w:r>
      <w:r>
        <w:rPr>
          <w:rFonts w:ascii="Times New Roman" w:cs="Times New Roman" w:eastAsia="Times New Roman" w:hAnsi="Times New Roman"/>
          <w:sz w:val="18"/>
          <w:szCs w:val="18"/>
          <w:color w:val="333333"/>
        </w:rPr>
        <w:t>” (as such term is used in Sections 13(d) and 14(d) of the Exchange Act), acquires ownership of the stock of the Company that, together with the stock held by such Person, constitutes more than 50% of the total voting power of the stock of the Company pursuant to a transaction or a series of related transactions which the Board of Directors does not approve;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76"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333333"/>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85"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333333"/>
        </w:rPr>
        <w:t>(iii)  A merger or consolidation of the Company whether or not approved by the Board of Directors, or the sale or disposition by the Company of all or substantially all of the Company’s assets in a transaction requiring shareholder approval; provided, however, that for purposes of this subsection (iii), the following will not constitute a Change in Control: (A) a merger 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33333"/>
        </w:rPr>
        <w:t>the case may be, outstanding immediately after such merger or consolidation, (B) a transfer of assets by the Company to: (1) an entity that is controlled by the Company’s stockholders immediately after the transfer, (2) a stockholder of the Company (immediately before the asset transfer) in exchange for or with respect to the Company’s stock, (3) an entity, 50% or more of the total value or voting power of which is owned, directly or indirectly, by the Company, (4) a Person, that owns, directly or indirectly, 50% or more of the total value or voting power of all the outstanding stock of the Company, or (5) an entity, at least 50% of the total value or voting power of which is owned, directly or indirectly, by a Person described in this subsection (iii)(B)(4).</w:t>
      </w:r>
    </w:p>
    <w:p>
      <w:pPr>
        <w:spacing w:after="0" w:line="183" w:lineRule="exact"/>
        <w:rPr>
          <w:sz w:val="20"/>
          <w:szCs w:val="20"/>
          <w:color w:val="auto"/>
        </w:rPr>
      </w:pPr>
    </w:p>
    <w:p>
      <w:pPr>
        <w:jc w:val="both"/>
        <w:ind w:right="340" w:firstLine="416"/>
        <w:spacing w:after="0" w:line="266" w:lineRule="auto"/>
        <w:rPr>
          <w:sz w:val="20"/>
          <w:szCs w:val="20"/>
          <w:color w:val="auto"/>
        </w:rPr>
      </w:pPr>
      <w:r>
        <w:rPr>
          <w:rFonts w:ascii="Times New Roman" w:cs="Times New Roman" w:eastAsia="Times New Roman" w:hAnsi="Times New Roman"/>
          <w:sz w:val="18"/>
          <w:szCs w:val="18"/>
          <w:color w:val="333333"/>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333333"/>
        </w:rPr>
        <w:t>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right="500" w:firstLine="416"/>
        <w:spacing w:after="0" w:line="266" w:lineRule="auto"/>
        <w:rPr>
          <w:sz w:val="20"/>
          <w:szCs w:val="20"/>
          <w:color w:val="auto"/>
        </w:rPr>
      </w:pPr>
      <w:r>
        <w:rPr>
          <w:rFonts w:ascii="Times New Roman" w:cs="Times New Roman" w:eastAsia="Times New Roman" w:hAnsi="Times New Roman"/>
          <w:sz w:val="18"/>
          <w:szCs w:val="18"/>
          <w:color w:val="333333"/>
        </w:rPr>
        <w:t>(g)  “</w:t>
      </w:r>
      <w:r>
        <w:rPr>
          <w:rFonts w:ascii="Times New Roman" w:cs="Times New Roman" w:eastAsia="Times New Roman" w:hAnsi="Times New Roman"/>
          <w:sz w:val="18"/>
          <w:szCs w:val="18"/>
          <w:u w:val="single" w:color="auto"/>
          <w:color w:val="333333"/>
        </w:rPr>
        <w:t>Code</w:t>
      </w:r>
      <w:r>
        <w:rPr>
          <w:rFonts w:ascii="Times New Roman" w:cs="Times New Roman" w:eastAsia="Times New Roman" w:hAnsi="Times New Roman"/>
          <w:sz w:val="18"/>
          <w:szCs w:val="18"/>
          <w:color w:val="333333"/>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ind w:right="280" w:firstLine="416"/>
        <w:spacing w:after="0" w:line="282" w:lineRule="auto"/>
        <w:rPr>
          <w:sz w:val="20"/>
          <w:szCs w:val="20"/>
          <w:color w:val="auto"/>
        </w:rPr>
      </w:pPr>
      <w:r>
        <w:rPr>
          <w:rFonts w:ascii="Times New Roman" w:cs="Times New Roman" w:eastAsia="Times New Roman" w:hAnsi="Times New Roman"/>
          <w:sz w:val="18"/>
          <w:szCs w:val="18"/>
          <w:color w:val="333333"/>
        </w:rPr>
        <w:t>(h)  “</w:t>
      </w:r>
      <w:r>
        <w:rPr>
          <w:rFonts w:ascii="Times New Roman" w:cs="Times New Roman" w:eastAsia="Times New Roman" w:hAnsi="Times New Roman"/>
          <w:sz w:val="18"/>
          <w:szCs w:val="18"/>
          <w:u w:val="single" w:color="auto"/>
          <w:color w:val="333333"/>
        </w:rPr>
        <w:t>Committee</w:t>
      </w:r>
      <w:r>
        <w:rPr>
          <w:rFonts w:ascii="Times New Roman" w:cs="Times New Roman" w:eastAsia="Times New Roman" w:hAnsi="Times New Roman"/>
          <w:sz w:val="18"/>
          <w:szCs w:val="18"/>
          <w:color w:val="333333"/>
        </w:rPr>
        <w:t>” means a committee of Directors or of other individuals satisfying Applicable Laws appointed by the Board in accordance with Section 4 hereof.</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(i)   “</w:t>
      </w:r>
      <w:r>
        <w:rPr>
          <w:rFonts w:ascii="Times New Roman" w:cs="Times New Roman" w:eastAsia="Times New Roman" w:hAnsi="Times New Roman"/>
          <w:sz w:val="18"/>
          <w:szCs w:val="18"/>
          <w:u w:val="single" w:color="auto"/>
          <w:color w:val="333333"/>
        </w:rPr>
        <w:t>Common Stock</w:t>
      </w:r>
      <w:r>
        <w:rPr>
          <w:rFonts w:ascii="Times New Roman" w:cs="Times New Roman" w:eastAsia="Times New Roman" w:hAnsi="Times New Roman"/>
          <w:sz w:val="18"/>
          <w:szCs w:val="18"/>
          <w:color w:val="333333"/>
        </w:rPr>
        <w:t>” means the common stock of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(j)   “</w:t>
      </w:r>
      <w:r>
        <w:rPr>
          <w:rFonts w:ascii="Times New Roman" w:cs="Times New Roman" w:eastAsia="Times New Roman" w:hAnsi="Times New Roman"/>
          <w:sz w:val="18"/>
          <w:szCs w:val="18"/>
          <w:u w:val="single" w:color="auto"/>
          <w:color w:val="333333"/>
        </w:rPr>
        <w:t>Company</w:t>
      </w:r>
      <w:r>
        <w:rPr>
          <w:rFonts w:ascii="Times New Roman" w:cs="Times New Roman" w:eastAsia="Times New Roman" w:hAnsi="Times New Roman"/>
          <w:sz w:val="18"/>
          <w:szCs w:val="18"/>
          <w:color w:val="333333"/>
        </w:rPr>
        <w:t>” means Standard BioTools Inc. (fka Fluidigm Corporation), a Delaware corporation, or any successor thereto.</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(k)   “</w:t>
      </w:r>
      <w:r>
        <w:rPr>
          <w:rFonts w:ascii="Times New Roman" w:cs="Times New Roman" w:eastAsia="Times New Roman" w:hAnsi="Times New Roman"/>
          <w:sz w:val="18"/>
          <w:szCs w:val="18"/>
          <w:u w:val="single" w:color="auto"/>
          <w:color w:val="333333"/>
        </w:rPr>
        <w:t>Consultant</w:t>
      </w:r>
      <w:r>
        <w:rPr>
          <w:rFonts w:ascii="Times New Roman" w:cs="Times New Roman" w:eastAsia="Times New Roman" w:hAnsi="Times New Roman"/>
          <w:sz w:val="18"/>
          <w:szCs w:val="18"/>
          <w:color w:val="333333"/>
        </w:rPr>
        <w:t>” means any person, including an advisor, engaged by the Company or a Parent or Subsidiary to render services to such entity.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(l)   “</w:t>
      </w:r>
      <w:r>
        <w:rPr>
          <w:rFonts w:ascii="Times New Roman" w:cs="Times New Roman" w:eastAsia="Times New Roman" w:hAnsi="Times New Roman"/>
          <w:sz w:val="18"/>
          <w:szCs w:val="18"/>
          <w:u w:val="single" w:color="auto"/>
          <w:color w:val="333333"/>
        </w:rPr>
        <w:t>Director</w:t>
      </w:r>
      <w:r>
        <w:rPr>
          <w:rFonts w:ascii="Times New Roman" w:cs="Times New Roman" w:eastAsia="Times New Roman" w:hAnsi="Times New Roman"/>
          <w:sz w:val="18"/>
          <w:szCs w:val="18"/>
          <w:color w:val="333333"/>
        </w:rPr>
        <w:t>” means a member of the Board.</w:t>
      </w:r>
    </w:p>
    <w:p>
      <w:pPr>
        <w:spacing w:after="0" w:line="225"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333333"/>
        </w:rPr>
        <w:t>(m)  “</w:t>
      </w:r>
      <w:r>
        <w:rPr>
          <w:rFonts w:ascii="Times New Roman" w:cs="Times New Roman" w:eastAsia="Times New Roman" w:hAnsi="Times New Roman"/>
          <w:sz w:val="18"/>
          <w:szCs w:val="18"/>
          <w:u w:val="single" w:color="auto"/>
          <w:color w:val="333333"/>
        </w:rPr>
        <w:t>Disability</w:t>
      </w:r>
      <w:r>
        <w:rPr>
          <w:rFonts w:ascii="Times New Roman" w:cs="Times New Roman" w:eastAsia="Times New Roman" w:hAnsi="Times New Roman"/>
          <w:sz w:val="18"/>
          <w:szCs w:val="18"/>
          <w:color w:val="333333"/>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8"/>
          <w:szCs w:val="18"/>
          <w:color w:val="333333"/>
        </w:rPr>
        <w:t xml:space="preserve">(n) </w:t>
      </w:r>
      <w:r>
        <w:rPr>
          <w:sz w:val="20"/>
          <w:szCs w:val="20"/>
          <w:color w:val="auto"/>
        </w:rPr>
        <w:tab/>
      </w:r>
      <w:r>
        <w:rPr>
          <w:rFonts w:ascii="Times New Roman" w:cs="Times New Roman" w:eastAsia="Times New Roman" w:hAnsi="Times New Roman"/>
          <w:sz w:val="17"/>
          <w:szCs w:val="17"/>
          <w:color w:val="333333"/>
        </w:rPr>
        <w:t>“</w:t>
      </w:r>
      <w:r>
        <w:rPr>
          <w:rFonts w:ascii="Times New Roman" w:cs="Times New Roman" w:eastAsia="Times New Roman" w:hAnsi="Times New Roman"/>
          <w:sz w:val="17"/>
          <w:szCs w:val="17"/>
          <w:u w:val="single" w:color="auto"/>
          <w:color w:val="000000"/>
        </w:rPr>
        <w:t>Effective Date</w:t>
      </w:r>
      <w:r>
        <w:rPr>
          <w:rFonts w:ascii="Times New Roman" w:cs="Times New Roman" w:eastAsia="Times New Roman" w:hAnsi="Times New Roman"/>
          <w:sz w:val="17"/>
          <w:szCs w:val="17"/>
          <w:color w:val="333333"/>
        </w:rPr>
        <w:t>” means June 17, 2026.</w:t>
      </w:r>
    </w:p>
    <w:p>
      <w:pPr>
        <w:spacing w:after="0" w:line="225" w:lineRule="exact"/>
        <w:rPr>
          <w:sz w:val="20"/>
          <w:szCs w:val="20"/>
          <w:color w:val="auto"/>
        </w:rPr>
      </w:pPr>
    </w:p>
    <w:p>
      <w:pPr>
        <w:ind w:left="420"/>
        <w:spacing w:after="0"/>
        <w:tabs>
          <w:tab w:leader="none" w:pos="880" w:val="left"/>
        </w:tabs>
        <w:rPr>
          <w:sz w:val="20"/>
          <w:szCs w:val="20"/>
          <w:color w:val="auto"/>
        </w:rPr>
      </w:pPr>
      <w:r>
        <w:rPr>
          <w:rFonts w:ascii="Times New Roman" w:cs="Times New Roman" w:eastAsia="Times New Roman" w:hAnsi="Times New Roman"/>
          <w:sz w:val="18"/>
          <w:szCs w:val="18"/>
          <w:color w:val="333333"/>
        </w:rPr>
        <w:t>(o)  </w:t>
      </w:r>
      <w:r>
        <w:rPr>
          <w:sz w:val="20"/>
          <w:szCs w:val="20"/>
          <w:color w:val="auto"/>
        </w:rPr>
        <w:tab/>
      </w:r>
      <w:r>
        <w:rPr>
          <w:rFonts w:ascii="Times New Roman" w:cs="Times New Roman" w:eastAsia="Times New Roman" w:hAnsi="Times New Roman"/>
          <w:sz w:val="17"/>
          <w:szCs w:val="17"/>
          <w:color w:val="333333"/>
        </w:rPr>
        <w:t>“</w:t>
      </w:r>
      <w:r>
        <w:rPr>
          <w:rFonts w:ascii="Times New Roman" w:cs="Times New Roman" w:eastAsia="Times New Roman" w:hAnsi="Times New Roman"/>
          <w:sz w:val="17"/>
          <w:szCs w:val="17"/>
          <w:u w:val="single" w:color="auto"/>
          <w:color w:val="333333"/>
        </w:rPr>
        <w:t>Employee</w:t>
      </w:r>
      <w:r>
        <w:rPr>
          <w:rFonts w:ascii="Times New Roman" w:cs="Times New Roman" w:eastAsia="Times New Roman" w:hAnsi="Times New Roman"/>
          <w:sz w:val="17"/>
          <w:szCs w:val="17"/>
          <w:color w:val="333333"/>
        </w:rPr>
        <w:t>” means any person, including Officers and Directors, employed by the Company or any Parent or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Neither service as a Director nor payment of a director’s fee by the Company will be sufficient to constitute “employment” by the Company.</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(p)   “</w:t>
      </w:r>
      <w:r>
        <w:rPr>
          <w:rFonts w:ascii="Times New Roman" w:cs="Times New Roman" w:eastAsia="Times New Roman" w:hAnsi="Times New Roman"/>
          <w:sz w:val="18"/>
          <w:szCs w:val="18"/>
          <w:u w:val="single" w:color="auto"/>
          <w:color w:val="333333"/>
        </w:rPr>
        <w:t>Exchange Act</w:t>
      </w:r>
      <w:r>
        <w:rPr>
          <w:rFonts w:ascii="Times New Roman" w:cs="Times New Roman" w:eastAsia="Times New Roman" w:hAnsi="Times New Roman"/>
          <w:sz w:val="18"/>
          <w:szCs w:val="18"/>
          <w:color w:val="333333"/>
        </w:rPr>
        <w:t>” means the Securities Exchange Act of 1934, as amended.</w:t>
      </w:r>
    </w:p>
    <w:p>
      <w:pPr>
        <w:spacing w:after="0" w:line="225" w:lineRule="exact"/>
        <w:rPr>
          <w:sz w:val="20"/>
          <w:szCs w:val="20"/>
          <w:color w:val="auto"/>
        </w:rPr>
      </w:pPr>
    </w:p>
    <w:p>
      <w:pPr>
        <w:ind w:right="200" w:firstLine="416"/>
        <w:spacing w:after="0" w:line="258" w:lineRule="auto"/>
        <w:rPr>
          <w:sz w:val="20"/>
          <w:szCs w:val="20"/>
          <w:color w:val="auto"/>
        </w:rPr>
      </w:pPr>
      <w:r>
        <w:rPr>
          <w:rFonts w:ascii="Times New Roman" w:cs="Times New Roman" w:eastAsia="Times New Roman" w:hAnsi="Times New Roman"/>
          <w:sz w:val="18"/>
          <w:szCs w:val="18"/>
          <w:color w:val="333333"/>
        </w:rPr>
        <w:t>(q)  “</w:t>
      </w:r>
      <w:r>
        <w:rPr>
          <w:rFonts w:ascii="Times New Roman" w:cs="Times New Roman" w:eastAsia="Times New Roman" w:hAnsi="Times New Roman"/>
          <w:sz w:val="18"/>
          <w:szCs w:val="18"/>
          <w:u w:val="single" w:color="auto"/>
          <w:color w:val="333333"/>
        </w:rPr>
        <w:t>Exchange Program</w:t>
      </w:r>
      <w:r>
        <w:rPr>
          <w:rFonts w:ascii="Times New Roman" w:cs="Times New Roman" w:eastAsia="Times New Roman" w:hAnsi="Times New Roman"/>
          <w:sz w:val="18"/>
          <w:szCs w:val="18"/>
          <w:color w:val="333333"/>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(r)   “</w:t>
      </w:r>
      <w:r>
        <w:rPr>
          <w:rFonts w:ascii="Times New Roman" w:cs="Times New Roman" w:eastAsia="Times New Roman" w:hAnsi="Times New Roman"/>
          <w:sz w:val="18"/>
          <w:szCs w:val="18"/>
          <w:u w:val="single" w:color="auto"/>
          <w:color w:val="333333"/>
        </w:rPr>
        <w:t>Fair Market Value</w:t>
      </w:r>
      <w:r>
        <w:rPr>
          <w:rFonts w:ascii="Times New Roman" w:cs="Times New Roman" w:eastAsia="Times New Roman" w:hAnsi="Times New Roman"/>
          <w:sz w:val="18"/>
          <w:szCs w:val="18"/>
          <w:color w:val="333333"/>
        </w:rPr>
        <w:t>” means, as of any date, the value of Common Stock determined as follows: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333333"/>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183"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333333"/>
        </w:rPr>
        <w:t>(ii)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176" w:lineRule="exact"/>
        <w:rPr>
          <w:sz w:val="20"/>
          <w:szCs w:val="20"/>
          <w:color w:val="auto"/>
        </w:rPr>
      </w:pPr>
    </w:p>
    <w:p>
      <w:pPr>
        <w:ind w:right="980" w:firstLine="749"/>
        <w:spacing w:after="0" w:line="282" w:lineRule="auto"/>
        <w:rPr>
          <w:sz w:val="20"/>
          <w:szCs w:val="20"/>
          <w:color w:val="auto"/>
        </w:rPr>
      </w:pPr>
      <w:r>
        <w:rPr>
          <w:rFonts w:ascii="Times New Roman" w:cs="Times New Roman" w:eastAsia="Times New Roman" w:hAnsi="Times New Roman"/>
          <w:sz w:val="18"/>
          <w:szCs w:val="18"/>
          <w:color w:val="333333"/>
        </w:rPr>
        <w:t>(iii)  In the absence of an established market for the Common Stock, the Fair Market Value will be determined in good faith by the Administrator.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(s)   “</w:t>
      </w:r>
      <w:r>
        <w:rPr>
          <w:rFonts w:ascii="Times New Roman" w:cs="Times New Roman" w:eastAsia="Times New Roman" w:hAnsi="Times New Roman"/>
          <w:sz w:val="18"/>
          <w:szCs w:val="18"/>
          <w:u w:val="single" w:color="auto"/>
          <w:color w:val="333333"/>
        </w:rPr>
        <w:t>Fiscal Year</w:t>
      </w:r>
      <w:r>
        <w:rPr>
          <w:rFonts w:ascii="Times New Roman" w:cs="Times New Roman" w:eastAsia="Times New Roman" w:hAnsi="Times New Roman"/>
          <w:sz w:val="18"/>
          <w:szCs w:val="18"/>
          <w:color w:val="333333"/>
        </w:rPr>
        <w:t>” means the fiscal year of the Company.</w:t>
      </w:r>
    </w:p>
    <w:p>
      <w:pPr>
        <w:spacing w:after="0" w:line="225"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333333"/>
        </w:rPr>
        <w:t>(t)  “</w:t>
      </w:r>
      <w:r>
        <w:rPr>
          <w:rFonts w:ascii="Times New Roman" w:cs="Times New Roman" w:eastAsia="Times New Roman" w:hAnsi="Times New Roman"/>
          <w:sz w:val="18"/>
          <w:szCs w:val="18"/>
          <w:u w:val="single" w:color="auto"/>
          <w:color w:val="333333"/>
        </w:rPr>
        <w:t>Incentive Stock Option</w:t>
      </w:r>
      <w:r>
        <w:rPr>
          <w:rFonts w:ascii="Times New Roman" w:cs="Times New Roman" w:eastAsia="Times New Roman" w:hAnsi="Times New Roman"/>
          <w:sz w:val="18"/>
          <w:szCs w:val="18"/>
          <w:color w:val="333333"/>
        </w:rPr>
        <w:t>” means an Option intended to qualify as an incentive stock option within the meaning of Section 422 of the Code and the regulations promulgated thereunder.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(u)   “</w:t>
      </w:r>
      <w:r>
        <w:rPr>
          <w:rFonts w:ascii="Times New Roman" w:cs="Times New Roman" w:eastAsia="Times New Roman" w:hAnsi="Times New Roman"/>
          <w:sz w:val="18"/>
          <w:szCs w:val="18"/>
          <w:u w:val="single" w:color="auto"/>
          <w:color w:val="333333"/>
        </w:rPr>
        <w:t>Inside Director</w:t>
      </w:r>
      <w:r>
        <w:rPr>
          <w:rFonts w:ascii="Times New Roman" w:cs="Times New Roman" w:eastAsia="Times New Roman" w:hAnsi="Times New Roman"/>
          <w:sz w:val="18"/>
          <w:szCs w:val="18"/>
          <w:color w:val="333333"/>
        </w:rPr>
        <w:t>” means a Director who is an Employee.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(v)   “</w:t>
      </w:r>
      <w:r>
        <w:rPr>
          <w:rFonts w:ascii="Times New Roman" w:cs="Times New Roman" w:eastAsia="Times New Roman" w:hAnsi="Times New Roman"/>
          <w:sz w:val="18"/>
          <w:szCs w:val="18"/>
          <w:u w:val="single" w:color="auto"/>
          <w:color w:val="333333"/>
        </w:rPr>
        <w:t>Nonstatutory Stock Option</w:t>
      </w:r>
      <w:r>
        <w:rPr>
          <w:rFonts w:ascii="Times New Roman" w:cs="Times New Roman" w:eastAsia="Times New Roman" w:hAnsi="Times New Roman"/>
          <w:sz w:val="18"/>
          <w:szCs w:val="18"/>
          <w:color w:val="333333"/>
        </w:rPr>
        <w:t>” means an Option that by its terms does not qualify or is not intended to qualify as an Incentive Stock Option.</w:t>
      </w:r>
    </w:p>
    <w:p>
      <w:pPr>
        <w:spacing w:after="0" w:line="225"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333333"/>
        </w:rPr>
        <w:t>(w)  “</w:t>
      </w:r>
      <w:r>
        <w:rPr>
          <w:rFonts w:ascii="Times New Roman" w:cs="Times New Roman" w:eastAsia="Times New Roman" w:hAnsi="Times New Roman"/>
          <w:sz w:val="18"/>
          <w:szCs w:val="18"/>
          <w:u w:val="single" w:color="auto"/>
          <w:color w:val="333333"/>
        </w:rPr>
        <w:t>Officer</w:t>
      </w:r>
      <w:r>
        <w:rPr>
          <w:rFonts w:ascii="Times New Roman" w:cs="Times New Roman" w:eastAsia="Times New Roman" w:hAnsi="Times New Roman"/>
          <w:sz w:val="18"/>
          <w:szCs w:val="18"/>
          <w:color w:val="333333"/>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(x)   “</w:t>
      </w:r>
      <w:r>
        <w:rPr>
          <w:rFonts w:ascii="Times New Roman" w:cs="Times New Roman" w:eastAsia="Times New Roman" w:hAnsi="Times New Roman"/>
          <w:sz w:val="18"/>
          <w:szCs w:val="18"/>
          <w:u w:val="single" w:color="auto"/>
          <w:color w:val="333333"/>
        </w:rPr>
        <w:t>Option</w:t>
      </w:r>
      <w:r>
        <w:rPr>
          <w:rFonts w:ascii="Times New Roman" w:cs="Times New Roman" w:eastAsia="Times New Roman" w:hAnsi="Times New Roman"/>
          <w:sz w:val="18"/>
          <w:szCs w:val="18"/>
          <w:color w:val="333333"/>
        </w:rPr>
        <w:t>” means a stock option granted pursuant to the Plan.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(y)   “</w:t>
      </w:r>
      <w:r>
        <w:rPr>
          <w:rFonts w:ascii="Times New Roman" w:cs="Times New Roman" w:eastAsia="Times New Roman" w:hAnsi="Times New Roman"/>
          <w:sz w:val="18"/>
          <w:szCs w:val="18"/>
          <w:u w:val="single" w:color="auto"/>
          <w:color w:val="333333"/>
        </w:rPr>
        <w:t>Outside Director</w:t>
      </w:r>
      <w:r>
        <w:rPr>
          <w:rFonts w:ascii="Times New Roman" w:cs="Times New Roman" w:eastAsia="Times New Roman" w:hAnsi="Times New Roman"/>
          <w:sz w:val="18"/>
          <w:szCs w:val="18"/>
          <w:color w:val="333333"/>
        </w:rPr>
        <w:t>” means a Director who is not an Employee.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(z)   “</w:t>
      </w:r>
      <w:r>
        <w:rPr>
          <w:rFonts w:ascii="Times New Roman" w:cs="Times New Roman" w:eastAsia="Times New Roman" w:hAnsi="Times New Roman"/>
          <w:sz w:val="18"/>
          <w:szCs w:val="18"/>
          <w:u w:val="single" w:color="auto"/>
          <w:color w:val="333333"/>
        </w:rPr>
        <w:t>Parent</w:t>
      </w:r>
      <w:r>
        <w:rPr>
          <w:rFonts w:ascii="Times New Roman" w:cs="Times New Roman" w:eastAsia="Times New Roman" w:hAnsi="Times New Roman"/>
          <w:sz w:val="18"/>
          <w:szCs w:val="18"/>
          <w:color w:val="333333"/>
        </w:rPr>
        <w:t>” means a “parent corporation,” whether now or hereafter existing, as defined in Section 424(e) of the Code.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(aa)   “</w:t>
      </w:r>
      <w:r>
        <w:rPr>
          <w:rFonts w:ascii="Times New Roman" w:cs="Times New Roman" w:eastAsia="Times New Roman" w:hAnsi="Times New Roman"/>
          <w:sz w:val="18"/>
          <w:szCs w:val="18"/>
          <w:u w:val="single" w:color="auto"/>
          <w:color w:val="333333"/>
        </w:rPr>
        <w:t>Participant</w:t>
      </w:r>
      <w:r>
        <w:rPr>
          <w:rFonts w:ascii="Times New Roman" w:cs="Times New Roman" w:eastAsia="Times New Roman" w:hAnsi="Times New Roman"/>
          <w:sz w:val="18"/>
          <w:szCs w:val="18"/>
          <w:color w:val="333333"/>
        </w:rPr>
        <w:t>” means the holder of an outstanding Award.</w:t>
      </w:r>
    </w:p>
    <w:p>
      <w:pPr>
        <w:spacing w:after="0" w:line="225"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333333"/>
        </w:rPr>
        <w:t>(bb)  “</w:t>
      </w:r>
      <w:r>
        <w:rPr>
          <w:rFonts w:ascii="Times New Roman" w:cs="Times New Roman" w:eastAsia="Times New Roman" w:hAnsi="Times New Roman"/>
          <w:sz w:val="18"/>
          <w:szCs w:val="18"/>
          <w:u w:val="single" w:color="auto"/>
          <w:color w:val="333333"/>
        </w:rPr>
        <w:t>Performance Share</w:t>
      </w:r>
      <w:r>
        <w:rPr>
          <w:rFonts w:ascii="Times New Roman" w:cs="Times New Roman" w:eastAsia="Times New Roman" w:hAnsi="Times New Roman"/>
          <w:sz w:val="18"/>
          <w:szCs w:val="18"/>
          <w:color w:val="333333"/>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333333"/>
        </w:rPr>
        <w:t>(cc)  “</w:t>
      </w:r>
      <w:r>
        <w:rPr>
          <w:rFonts w:ascii="Times New Roman" w:cs="Times New Roman" w:eastAsia="Times New Roman" w:hAnsi="Times New Roman"/>
          <w:sz w:val="18"/>
          <w:szCs w:val="18"/>
          <w:u w:val="single" w:color="auto"/>
          <w:color w:val="333333"/>
        </w:rPr>
        <w:t>Performance Unit</w:t>
      </w:r>
      <w:r>
        <w:rPr>
          <w:rFonts w:ascii="Times New Roman" w:cs="Times New Roman" w:eastAsia="Times New Roman" w:hAnsi="Times New Roman"/>
          <w:sz w:val="18"/>
          <w:szCs w:val="18"/>
          <w:color w:val="333333"/>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62"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333333"/>
        </w:rPr>
        <w:t>(dd)  “</w:t>
      </w:r>
      <w:r>
        <w:rPr>
          <w:rFonts w:ascii="Times New Roman" w:cs="Times New Roman" w:eastAsia="Times New Roman" w:hAnsi="Times New Roman"/>
          <w:sz w:val="18"/>
          <w:szCs w:val="18"/>
          <w:u w:val="single" w:color="auto"/>
          <w:color w:val="333333"/>
        </w:rPr>
        <w:t>Period of Restriction</w:t>
      </w:r>
      <w:r>
        <w:rPr>
          <w:rFonts w:ascii="Times New Roman" w:cs="Times New Roman" w:eastAsia="Times New Roman" w:hAnsi="Times New Roman"/>
          <w:sz w:val="18"/>
          <w:szCs w:val="18"/>
          <w:color w:val="333333"/>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(ee)   “</w:t>
      </w:r>
      <w:r>
        <w:rPr>
          <w:rFonts w:ascii="Times New Roman" w:cs="Times New Roman" w:eastAsia="Times New Roman" w:hAnsi="Times New Roman"/>
          <w:sz w:val="18"/>
          <w:szCs w:val="18"/>
          <w:u w:val="single" w:color="auto"/>
          <w:color w:val="333333"/>
        </w:rPr>
        <w:t>Plan</w:t>
      </w:r>
      <w:r>
        <w:rPr>
          <w:rFonts w:ascii="Times New Roman" w:cs="Times New Roman" w:eastAsia="Times New Roman" w:hAnsi="Times New Roman"/>
          <w:sz w:val="18"/>
          <w:szCs w:val="18"/>
          <w:color w:val="333333"/>
        </w:rPr>
        <w:t>” means this 2026 Equity Incentive Plan.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right="580" w:firstLine="416"/>
        <w:spacing w:after="0" w:line="282" w:lineRule="auto"/>
        <w:rPr>
          <w:sz w:val="20"/>
          <w:szCs w:val="20"/>
          <w:color w:val="auto"/>
        </w:rPr>
      </w:pPr>
      <w:r>
        <w:rPr>
          <w:rFonts w:ascii="Times New Roman" w:cs="Times New Roman" w:eastAsia="Times New Roman" w:hAnsi="Times New Roman"/>
          <w:sz w:val="18"/>
          <w:szCs w:val="18"/>
          <w:color w:val="333333"/>
        </w:rPr>
        <w:t>(ff)  “</w:t>
      </w:r>
      <w:r>
        <w:rPr>
          <w:rFonts w:ascii="Times New Roman" w:cs="Times New Roman" w:eastAsia="Times New Roman" w:hAnsi="Times New Roman"/>
          <w:sz w:val="18"/>
          <w:szCs w:val="18"/>
          <w:u w:val="single" w:color="auto"/>
          <w:color w:val="333333"/>
        </w:rPr>
        <w:t>Restricted Stock</w:t>
      </w:r>
      <w:r>
        <w:rPr>
          <w:rFonts w:ascii="Times New Roman" w:cs="Times New Roman" w:eastAsia="Times New Roman" w:hAnsi="Times New Roman"/>
          <w:sz w:val="18"/>
          <w:szCs w:val="18"/>
          <w:color w:val="333333"/>
        </w:rPr>
        <w:t>” means Shares issued pursuant to a Restricted Stock award under Section 7 of the Plan, or issued pursuant to the early exercise of an Option.</w:t>
      </w:r>
    </w:p>
    <w:p>
      <w:pPr>
        <w:spacing w:after="0" w:line="162"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333333"/>
        </w:rPr>
        <w:t>(gg)  “</w:t>
      </w:r>
      <w:r>
        <w:rPr>
          <w:rFonts w:ascii="Times New Roman" w:cs="Times New Roman" w:eastAsia="Times New Roman" w:hAnsi="Times New Roman"/>
          <w:sz w:val="18"/>
          <w:szCs w:val="18"/>
          <w:u w:val="single" w:color="auto"/>
          <w:color w:val="333333"/>
        </w:rPr>
        <w:t>Restricted Stock Unit</w:t>
      </w:r>
      <w:r>
        <w:rPr>
          <w:rFonts w:ascii="Times New Roman" w:cs="Times New Roman" w:eastAsia="Times New Roman" w:hAnsi="Times New Roman"/>
          <w:sz w:val="18"/>
          <w:szCs w:val="18"/>
          <w:color w:val="333333"/>
        </w:rPr>
        <w:t>” means a bookkeeping entry representing an amount equal to the Fair Market Value of one Share, granted pursuant to Section 8. Each Restricted Stock Unit represents an unfunded and unsecured obligation of the Company.</w:t>
      </w:r>
    </w:p>
    <w:p>
      <w:pPr>
        <w:spacing w:after="0" w:line="162" w:lineRule="exact"/>
        <w:rPr>
          <w:sz w:val="20"/>
          <w:szCs w:val="20"/>
          <w:color w:val="auto"/>
        </w:rPr>
      </w:pPr>
    </w:p>
    <w:p>
      <w:pPr>
        <w:ind w:right="460" w:firstLine="416"/>
        <w:spacing w:after="0" w:line="282" w:lineRule="auto"/>
        <w:rPr>
          <w:sz w:val="20"/>
          <w:szCs w:val="20"/>
          <w:color w:val="auto"/>
        </w:rPr>
      </w:pPr>
      <w:r>
        <w:rPr>
          <w:rFonts w:ascii="Times New Roman" w:cs="Times New Roman" w:eastAsia="Times New Roman" w:hAnsi="Times New Roman"/>
          <w:sz w:val="18"/>
          <w:szCs w:val="18"/>
          <w:color w:val="333333"/>
        </w:rPr>
        <w:t>(hh)  “</w:t>
      </w:r>
      <w:r>
        <w:rPr>
          <w:rFonts w:ascii="Times New Roman" w:cs="Times New Roman" w:eastAsia="Times New Roman" w:hAnsi="Times New Roman"/>
          <w:sz w:val="18"/>
          <w:szCs w:val="18"/>
          <w:u w:val="single" w:color="auto"/>
          <w:color w:val="333333"/>
        </w:rPr>
        <w:t>Rule 16b-3</w:t>
      </w:r>
      <w:r>
        <w:rPr>
          <w:rFonts w:ascii="Times New Roman" w:cs="Times New Roman" w:eastAsia="Times New Roman" w:hAnsi="Times New Roman"/>
          <w:sz w:val="18"/>
          <w:szCs w:val="18"/>
          <w:color w:val="333333"/>
        </w:rPr>
        <w:t>” means Rule 16b-3 of the Exchange Act or any successor to Rule 16b-3, as in effect when discretion is being exercised with respect to the Plan.</w:t>
      </w:r>
    </w:p>
    <w:p>
      <w:pPr>
        <w:spacing w:after="0" w:line="162"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333333"/>
        </w:rPr>
        <w:t>(ii)  </w:t>
      </w:r>
      <w:r>
        <w:rPr>
          <w:sz w:val="20"/>
          <w:szCs w:val="20"/>
          <w:color w:val="auto"/>
        </w:rPr>
        <w:tab/>
      </w:r>
      <w:r>
        <w:rPr>
          <w:rFonts w:ascii="Times New Roman" w:cs="Times New Roman" w:eastAsia="Times New Roman" w:hAnsi="Times New Roman"/>
          <w:sz w:val="17"/>
          <w:szCs w:val="17"/>
          <w:color w:val="333333"/>
        </w:rPr>
        <w:t>“</w:t>
      </w:r>
      <w:r>
        <w:rPr>
          <w:rFonts w:ascii="Times New Roman" w:cs="Times New Roman" w:eastAsia="Times New Roman" w:hAnsi="Times New Roman"/>
          <w:sz w:val="17"/>
          <w:szCs w:val="17"/>
          <w:u w:val="single" w:color="auto"/>
          <w:color w:val="333333"/>
        </w:rPr>
        <w:t>Section 16(b)</w:t>
      </w:r>
      <w:r>
        <w:rPr>
          <w:rFonts w:ascii="Times New Roman" w:cs="Times New Roman" w:eastAsia="Times New Roman" w:hAnsi="Times New Roman"/>
          <w:sz w:val="17"/>
          <w:szCs w:val="17"/>
          <w:color w:val="333333"/>
        </w:rPr>
        <w:t>” means Section 16(b) of the Exchange Act.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(jj)   “</w:t>
      </w:r>
      <w:r>
        <w:rPr>
          <w:rFonts w:ascii="Times New Roman" w:cs="Times New Roman" w:eastAsia="Times New Roman" w:hAnsi="Times New Roman"/>
          <w:sz w:val="18"/>
          <w:szCs w:val="18"/>
          <w:u w:val="single" w:color="auto"/>
          <w:color w:val="333333"/>
        </w:rPr>
        <w:t>Service Provider</w:t>
      </w:r>
      <w:r>
        <w:rPr>
          <w:rFonts w:ascii="Times New Roman" w:cs="Times New Roman" w:eastAsia="Times New Roman" w:hAnsi="Times New Roman"/>
          <w:sz w:val="18"/>
          <w:szCs w:val="18"/>
          <w:color w:val="333333"/>
        </w:rPr>
        <w:t>” means an Employee, Director or Consultant.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(kk)   “</w:t>
      </w:r>
      <w:r>
        <w:rPr>
          <w:rFonts w:ascii="Times New Roman" w:cs="Times New Roman" w:eastAsia="Times New Roman" w:hAnsi="Times New Roman"/>
          <w:sz w:val="18"/>
          <w:szCs w:val="18"/>
          <w:u w:val="single" w:color="auto"/>
          <w:color w:val="333333"/>
        </w:rPr>
        <w:t>Share</w:t>
      </w:r>
      <w:r>
        <w:rPr>
          <w:rFonts w:ascii="Times New Roman" w:cs="Times New Roman" w:eastAsia="Times New Roman" w:hAnsi="Times New Roman"/>
          <w:sz w:val="18"/>
          <w:szCs w:val="18"/>
          <w:color w:val="333333"/>
        </w:rPr>
        <w:t>” means a share of the Common Stock, as adjusted in accordance with Section 13 of the Plan.</w:t>
      </w:r>
    </w:p>
    <w:p>
      <w:pPr>
        <w:spacing w:after="0" w:line="225"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333333"/>
        </w:rPr>
        <w:t>(ll)  “</w:t>
      </w:r>
      <w:r>
        <w:rPr>
          <w:rFonts w:ascii="Times New Roman" w:cs="Times New Roman" w:eastAsia="Times New Roman" w:hAnsi="Times New Roman"/>
          <w:sz w:val="18"/>
          <w:szCs w:val="18"/>
          <w:u w:val="single" w:color="auto"/>
          <w:color w:val="333333"/>
        </w:rPr>
        <w:t>Stock Appreciation Right</w:t>
      </w:r>
      <w:r>
        <w:rPr>
          <w:rFonts w:ascii="Times New Roman" w:cs="Times New Roman" w:eastAsia="Times New Roman" w:hAnsi="Times New Roman"/>
          <w:sz w:val="18"/>
          <w:szCs w:val="18"/>
          <w:color w:val="333333"/>
        </w:rPr>
        <w:t>” means an Award, granted alone or in connection with an Option, that pursuant to Section 9 is designated as a Stock Appreciation Right.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(mm)   “</w:t>
      </w:r>
      <w:r>
        <w:rPr>
          <w:rFonts w:ascii="Times New Roman" w:cs="Times New Roman" w:eastAsia="Times New Roman" w:hAnsi="Times New Roman"/>
          <w:sz w:val="18"/>
          <w:szCs w:val="18"/>
          <w:u w:val="single" w:color="auto"/>
          <w:color w:val="333333"/>
        </w:rPr>
        <w:t>Subsidiary</w:t>
      </w:r>
      <w:r>
        <w:rPr>
          <w:rFonts w:ascii="Times New Roman" w:cs="Times New Roman" w:eastAsia="Times New Roman" w:hAnsi="Times New Roman"/>
          <w:sz w:val="18"/>
          <w:szCs w:val="18"/>
          <w:color w:val="333333"/>
        </w:rPr>
        <w:t>” means a “subsidiary corporation,” whether now or hereafter existing, as defined in Section 424(f) of the Code.</w:t>
      </w:r>
    </w:p>
    <w:p>
      <w:pPr>
        <w:spacing w:after="0" w:line="225"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333333"/>
        </w:rPr>
        <w:t>(nn)  “</w:t>
      </w:r>
      <w:r>
        <w:rPr>
          <w:rFonts w:ascii="Times New Roman" w:cs="Times New Roman" w:eastAsia="Times New Roman" w:hAnsi="Times New Roman"/>
          <w:sz w:val="18"/>
          <w:szCs w:val="18"/>
          <w:u w:val="single" w:color="auto"/>
          <w:color w:val="333333"/>
        </w:rPr>
        <w:t>Substitute Award</w:t>
      </w:r>
      <w:r>
        <w:rPr>
          <w:rFonts w:ascii="Times New Roman" w:cs="Times New Roman" w:eastAsia="Times New Roman" w:hAnsi="Times New Roman"/>
          <w:sz w:val="18"/>
          <w:szCs w:val="18"/>
          <w:color w:val="333333"/>
        </w:rPr>
        <w:t>” means an award issued under the Plan in substitution for one or more equity awards of an acquired company that are converted, replaced or adjusted in connection with the acquisition.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3.   </w:t>
      </w:r>
      <w:r>
        <w:rPr>
          <w:rFonts w:ascii="Times New Roman" w:cs="Times New Roman" w:eastAsia="Times New Roman" w:hAnsi="Times New Roman"/>
          <w:sz w:val="18"/>
          <w:szCs w:val="18"/>
          <w:u w:val="single" w:color="auto"/>
          <w:color w:val="333333"/>
        </w:rPr>
        <w:t>Stock Subject to the Plan</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Stock Subject to the Plan</w:t>
      </w:r>
      <w:r>
        <w:rPr>
          <w:rFonts w:ascii="Times New Roman" w:cs="Times New Roman" w:eastAsia="Times New Roman" w:hAnsi="Times New Roman"/>
          <w:sz w:val="18"/>
          <w:szCs w:val="18"/>
          <w:color w:val="333333"/>
        </w:rPr>
        <w:t>. Subject to the provisions of Section 13 of the Plan, the maximum aggregate number of Shares that may be issued under the Plan as of the Effective Date is the sum of (i) 24,835,928 Shares and (ii) any Shares that are attributable to awards granted under the Company’s Amended and Restated 2011 Equity Incentive Plan that are forfeited, expire or are cancelled without delivery of Shares or which result in the forfeiture of Shares back to the Company on or after June 17, 2026, or the equivalent of such number of Shares after the Administrator, in its sole discretion, has interpreted the effect of any stock split, stock dividend, combination, recapitalization or similar transaction in accordance with Section 13 of the Plan; provided, however, that no more than 34,476,543 Shares shall be added to the Plan pursuant to subsection (ii). The Shares may be authorized, but unissued, or reacquired Common Stock.</w:t>
      </w:r>
    </w:p>
    <w:p>
      <w:pPr>
        <w:spacing w:after="0" w:line="189"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Lapsed Awards</w:t>
      </w:r>
      <w:r>
        <w:rPr>
          <w:rFonts w:ascii="Times New Roman" w:cs="Times New Roman" w:eastAsia="Times New Roman" w:hAnsi="Times New Roman"/>
          <w:sz w:val="18"/>
          <w:szCs w:val="18"/>
          <w:color w:val="333333"/>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02" w:lineRule="exact"/>
        <w:rPr>
          <w:sz w:val="20"/>
          <w:szCs w:val="20"/>
          <w:color w:val="auto"/>
        </w:rPr>
      </w:pPr>
    </w:p>
    <w:p>
      <w:pPr>
        <w:ind w:right="6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Share Reserve</w:t>
      </w:r>
      <w:r>
        <w:rPr>
          <w:rFonts w:ascii="Times New Roman" w:cs="Times New Roman" w:eastAsia="Times New Roman" w:hAnsi="Times New Roman"/>
          <w:sz w:val="18"/>
          <w:szCs w:val="18"/>
          <w:color w:val="333333"/>
        </w:rPr>
        <w:t>. The Company, during the term of this Plan, will at all times reserve and keep available such number of Shares as will be sufficient to satisfy the requirements of the Plan.</w:t>
      </w:r>
    </w:p>
    <w:p>
      <w:pPr>
        <w:spacing w:after="0" w:line="162"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Substitute Awards</w:t>
      </w:r>
      <w:r>
        <w:rPr>
          <w:rFonts w:ascii="Times New Roman" w:cs="Times New Roman" w:eastAsia="Times New Roman" w:hAnsi="Times New Roman"/>
          <w:sz w:val="18"/>
          <w:szCs w:val="18"/>
          <w:color w:val="333333"/>
        </w:rPr>
        <w:t>. 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Section 4(d)(iii) below.</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4.   </w:t>
      </w:r>
      <w:r>
        <w:rPr>
          <w:rFonts w:ascii="Times New Roman" w:cs="Times New Roman" w:eastAsia="Times New Roman" w:hAnsi="Times New Roman"/>
          <w:sz w:val="18"/>
          <w:szCs w:val="18"/>
          <w:u w:val="single" w:color="auto"/>
          <w:color w:val="333333"/>
        </w:rPr>
        <w:t>Administration of the Plan</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Procedure</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 xml:space="preserve">(i)   </w:t>
      </w:r>
      <w:r>
        <w:rPr>
          <w:rFonts w:ascii="Times New Roman" w:cs="Times New Roman" w:eastAsia="Times New Roman" w:hAnsi="Times New Roman"/>
          <w:sz w:val="18"/>
          <w:szCs w:val="18"/>
          <w:u w:val="single" w:color="auto"/>
          <w:color w:val="333333"/>
        </w:rPr>
        <w:t>Multiple Administrative Bodies</w:t>
      </w:r>
      <w:r>
        <w:rPr>
          <w:rFonts w:ascii="Times New Roman" w:cs="Times New Roman" w:eastAsia="Times New Roman" w:hAnsi="Times New Roman"/>
          <w:sz w:val="18"/>
          <w:szCs w:val="18"/>
          <w:color w:val="333333"/>
        </w:rPr>
        <w:t>. Different Committees may administer the Plan with respect to different groups of Service Providers.</w:t>
      </w:r>
    </w:p>
    <w:p>
      <w:pPr>
        <w:spacing w:after="0" w:line="22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333333"/>
        </w:rPr>
        <w:t xml:space="preserve">(ii)  </w:t>
      </w:r>
      <w:r>
        <w:rPr>
          <w:rFonts w:ascii="Times New Roman" w:cs="Times New Roman" w:eastAsia="Times New Roman" w:hAnsi="Times New Roman"/>
          <w:sz w:val="18"/>
          <w:szCs w:val="18"/>
          <w:u w:val="single" w:color="auto"/>
          <w:color w:val="333333"/>
        </w:rPr>
        <w:t>Rule 16b-3</w:t>
      </w:r>
      <w:r>
        <w:rPr>
          <w:rFonts w:ascii="Times New Roman" w:cs="Times New Roman" w:eastAsia="Times New Roman" w:hAnsi="Times New Roman"/>
          <w:sz w:val="18"/>
          <w:szCs w:val="18"/>
          <w:color w:val="333333"/>
        </w:rPr>
        <w:t>. To the extent desirable to qualify transactions hereunder as exempt under Rule 16b-3, such transactions will be structured to satisfy the requirements for exemption under Rule 16b-3.</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333333"/>
        </w:rPr>
        <w:t xml:space="preserve">(iii)  </w:t>
      </w:r>
      <w:r>
        <w:rPr>
          <w:rFonts w:ascii="Times New Roman" w:cs="Times New Roman" w:eastAsia="Times New Roman" w:hAnsi="Times New Roman"/>
          <w:sz w:val="18"/>
          <w:szCs w:val="18"/>
          <w:u w:val="single" w:color="auto"/>
          <w:color w:val="333333"/>
        </w:rPr>
        <w:t>Other Administration</w:t>
      </w:r>
      <w:r>
        <w:rPr>
          <w:rFonts w:ascii="Times New Roman" w:cs="Times New Roman" w:eastAsia="Times New Roman" w:hAnsi="Times New Roman"/>
          <w:sz w:val="18"/>
          <w:szCs w:val="18"/>
          <w:color w:val="333333"/>
        </w:rPr>
        <w:t>. Other than as provided above, the Plan will be administered by (A) the Board or (B) a Committee constituted to satisfy Applicable Laws.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Powers of the Administrator</w:t>
      </w:r>
      <w:r>
        <w:rPr>
          <w:rFonts w:ascii="Times New Roman" w:cs="Times New Roman" w:eastAsia="Times New Roman" w:hAnsi="Times New Roman"/>
          <w:sz w:val="18"/>
          <w:szCs w:val="18"/>
          <w:color w:val="333333"/>
        </w:rPr>
        <w:t>. Subject to the provisions of the Plan, and in the case of a Committee, subject to the specific duties delegated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Board to such Committee, the Administrator will have the authority, in its discretion: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(i)   to determine the Fair Market Value;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(ii)   to select the Service Providers to whom Awards may be granted 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(iii)   to determine the number of Shares to be covered by each Award granted 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(iv)   to approve forms of Award Agreements for use under the Plan;</w:t>
      </w:r>
    </w:p>
    <w:p>
      <w:pPr>
        <w:spacing w:after="0" w:line="22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333333"/>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(vi)   to construe and interpret the terms of the Plan and Awards granted pursuant to the Plan;</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333333"/>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333333"/>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(ix)   to allow Participants to satisfy tax withholding obligations in such manner as prescribed in Section 14 of the Plan;</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333333"/>
        </w:rPr>
        <w:t>(x)  to authorize any person to execute on behalf of the Company any instrument required to effect the grant of an Award previously granted by the Administrator;</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333333"/>
        </w:rPr>
        <w:t>(xi)  to allow a Participant to defer the receipt of the payment of cash or the delivery of Shares that would otherwise be due to such Participant under an Award;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(xii)   to make all other determinations deemed necessary or advisable for administering the Plan.</w:t>
      </w:r>
    </w:p>
    <w:p>
      <w:pPr>
        <w:spacing w:after="0" w:line="225"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Effect of Administrator’s Decision</w:t>
      </w:r>
      <w:r>
        <w:rPr>
          <w:rFonts w:ascii="Times New Roman" w:cs="Times New Roman" w:eastAsia="Times New Roman" w:hAnsi="Times New Roman"/>
          <w:sz w:val="18"/>
          <w:szCs w:val="18"/>
          <w:color w:val="333333"/>
        </w:rPr>
        <w:t>. The decisions, determinations, and interpretations of the Administrator will be final and binding on all Participants and any other holders of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Limitations on Administrative Authority</w:t>
      </w:r>
      <w:r>
        <w:rPr>
          <w:rFonts w:ascii="Times New Roman" w:cs="Times New Roman" w:eastAsia="Times New Roman" w:hAnsi="Times New Roman"/>
          <w:sz w:val="18"/>
          <w:szCs w:val="18"/>
          <w:color w:val="333333"/>
        </w:rPr>
        <w:t>. Notwithstanding anything herein to the contrary, the Administrator shall be limited as follows: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 xml:space="preserve">(i)   </w:t>
      </w:r>
      <w:r>
        <w:rPr>
          <w:rFonts w:ascii="Times New Roman" w:cs="Times New Roman" w:eastAsia="Times New Roman" w:hAnsi="Times New Roman"/>
          <w:sz w:val="18"/>
          <w:szCs w:val="18"/>
          <w:u w:val="single" w:color="auto"/>
          <w:color w:val="333333"/>
        </w:rPr>
        <w:t>Exchange Program</w:t>
      </w:r>
      <w:r>
        <w:rPr>
          <w:rFonts w:ascii="Times New Roman" w:cs="Times New Roman" w:eastAsia="Times New Roman" w:hAnsi="Times New Roman"/>
          <w:sz w:val="18"/>
          <w:szCs w:val="18"/>
          <w:color w:val="333333"/>
        </w:rPr>
        <w:t>. The Administrator may not implement an Exchange Program.</w:t>
      </w:r>
    </w:p>
    <w:p>
      <w:pPr>
        <w:spacing w:after="0" w:line="225" w:lineRule="exact"/>
        <w:rPr>
          <w:sz w:val="20"/>
          <w:szCs w:val="20"/>
          <w:color w:val="auto"/>
        </w:rPr>
      </w:pPr>
    </w:p>
    <w:p>
      <w:pPr>
        <w:jc w:val="both"/>
        <w:ind w:right="340" w:firstLine="749"/>
        <w:spacing w:after="0" w:line="312" w:lineRule="auto"/>
        <w:rPr>
          <w:sz w:val="20"/>
          <w:szCs w:val="20"/>
          <w:color w:val="auto"/>
        </w:rPr>
      </w:pPr>
      <w:r>
        <w:rPr>
          <w:rFonts w:ascii="Times New Roman" w:cs="Times New Roman" w:eastAsia="Times New Roman" w:hAnsi="Times New Roman"/>
          <w:sz w:val="17"/>
          <w:szCs w:val="17"/>
          <w:color w:val="333333"/>
        </w:rPr>
        <w:t xml:space="preserve">(ii)  </w:t>
      </w:r>
      <w:r>
        <w:rPr>
          <w:rFonts w:ascii="Times New Roman" w:cs="Times New Roman" w:eastAsia="Times New Roman" w:hAnsi="Times New Roman"/>
          <w:sz w:val="17"/>
          <w:szCs w:val="17"/>
          <w:u w:val="single" w:color="auto"/>
          <w:color w:val="333333"/>
        </w:rPr>
        <w:t>No Dividends or Dividend Equivalents Paid on Unvested Awards</w:t>
      </w:r>
      <w:r>
        <w:rPr>
          <w:rFonts w:ascii="Times New Roman" w:cs="Times New Roman" w:eastAsia="Times New Roman" w:hAnsi="Times New Roman"/>
          <w:sz w:val="17"/>
          <w:szCs w:val="17"/>
          <w:color w:val="333333"/>
        </w:rPr>
        <w:t>. No dividends or dividend equivalents shall be paid on any unvested Awards. Any dividends or dividend equivalents may be declared or accrue on unvested Awards, but shall not be paid until the vesting of such Awards.</w:t>
      </w:r>
    </w:p>
    <w:p>
      <w:pPr>
        <w:spacing w:after="0" w:line="14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333333"/>
        </w:rPr>
        <w:t xml:space="preserve">(iii)  </w:t>
      </w:r>
      <w:r>
        <w:rPr>
          <w:rFonts w:ascii="Times New Roman" w:cs="Times New Roman" w:eastAsia="Times New Roman" w:hAnsi="Times New Roman"/>
          <w:sz w:val="18"/>
          <w:szCs w:val="18"/>
          <w:u w:val="single" w:color="auto"/>
          <w:color w:val="333333"/>
        </w:rPr>
        <w:t>Outside Director Limitations</w:t>
      </w:r>
      <w:r>
        <w:rPr>
          <w:rFonts w:ascii="Times New Roman" w:cs="Times New Roman" w:eastAsia="Times New Roman" w:hAnsi="Times New Roman"/>
          <w:sz w:val="18"/>
          <w:szCs w:val="18"/>
          <w:color w:val="333333"/>
        </w:rPr>
        <w:t>. No Outside Director may be paid, issued or granted, in any Fiscal Year, Awards and other cash compensation with an aggregate value greater than $750,000 (with the value of each Award based on its grant date fair value (determined in accordance with U.S. generally accepted accounting principles)), except that such limit will be increased to $1,000,000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183" w:lineRule="exact"/>
        <w:rPr>
          <w:sz w:val="20"/>
          <w:szCs w:val="20"/>
          <w:color w:val="auto"/>
        </w:rPr>
      </w:pPr>
    </w:p>
    <w:p>
      <w:pPr>
        <w:ind w:right="8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5.  </w:t>
      </w:r>
      <w:r>
        <w:rPr>
          <w:rFonts w:ascii="Times New Roman" w:cs="Times New Roman" w:eastAsia="Times New Roman" w:hAnsi="Times New Roman"/>
          <w:sz w:val="18"/>
          <w:szCs w:val="18"/>
          <w:u w:val="single" w:color="auto"/>
          <w:color w:val="333333"/>
        </w:rPr>
        <w:t>Eligibility</w:t>
      </w:r>
      <w:r>
        <w:rPr>
          <w:rFonts w:ascii="Times New Roman" w:cs="Times New Roman" w:eastAsia="Times New Roman" w:hAnsi="Times New Roman"/>
          <w:sz w:val="18"/>
          <w:szCs w:val="18"/>
          <w:color w:val="333333"/>
        </w:rPr>
        <w:t>. Nonstatutory Stock Options, Stock Appreciation Rights, Restricted Stock, Restricted Stock Units, Performance Shares and Performance Units may be granted to Service Providers. Incentive Stock Options may be granted only to Employees.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6.   </w:t>
      </w:r>
      <w:r>
        <w:rPr>
          <w:rFonts w:ascii="Times New Roman" w:cs="Times New Roman" w:eastAsia="Times New Roman" w:hAnsi="Times New Roman"/>
          <w:sz w:val="18"/>
          <w:szCs w:val="18"/>
          <w:u w:val="single" w:color="auto"/>
          <w:color w:val="333333"/>
        </w:rPr>
        <w:t>Stock Options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Limitations</w:t>
      </w:r>
      <w:r>
        <w:rPr>
          <w:rFonts w:ascii="Times New Roman" w:cs="Times New Roman" w:eastAsia="Times New Roman" w:hAnsi="Times New Roman"/>
          <w:sz w:val="18"/>
          <w:szCs w:val="18"/>
          <w:color w:val="333333"/>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Term of Option</w:t>
      </w:r>
      <w:r>
        <w:rPr>
          <w:rFonts w:ascii="Times New Roman" w:cs="Times New Roman" w:eastAsia="Times New Roman" w:hAnsi="Times New Roman"/>
          <w:sz w:val="18"/>
          <w:szCs w:val="18"/>
          <w:color w:val="333333"/>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Option Exercise Price and Consideration</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333333"/>
        </w:rPr>
        <w:t xml:space="preserve">(i)   </w:t>
      </w:r>
      <w:r>
        <w:rPr>
          <w:rFonts w:ascii="Times New Roman" w:cs="Times New Roman" w:eastAsia="Times New Roman" w:hAnsi="Times New Roman"/>
          <w:sz w:val="18"/>
          <w:szCs w:val="18"/>
          <w:u w:val="single" w:color="auto"/>
          <w:color w:val="333333"/>
        </w:rPr>
        <w:t>Exercise Price</w:t>
      </w:r>
      <w:r>
        <w:rPr>
          <w:rFonts w:ascii="Times New Roman" w:cs="Times New Roman" w:eastAsia="Times New Roman" w:hAnsi="Times New Roman"/>
          <w:sz w:val="18"/>
          <w:szCs w:val="18"/>
          <w:color w:val="333333"/>
        </w:rPr>
        <w:t>. The per share exercise price for the Shares to be issued pursuant to exercise of an Option will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Administrator, subject to the following:</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333333"/>
        </w:rPr>
        <w:t>(1)   In the case of an Incentive Stock Option</w:t>
      </w:r>
    </w:p>
    <w:p>
      <w:pPr>
        <w:spacing w:after="0" w:line="225" w:lineRule="exact"/>
        <w:rPr>
          <w:sz w:val="20"/>
          <w:szCs w:val="20"/>
          <w:color w:val="auto"/>
        </w:rPr>
      </w:pPr>
    </w:p>
    <w:p>
      <w:pPr>
        <w:ind w:left="2260" w:right="20"/>
        <w:spacing w:after="0" w:line="266" w:lineRule="auto"/>
        <w:rPr>
          <w:sz w:val="20"/>
          <w:szCs w:val="20"/>
          <w:color w:val="auto"/>
        </w:rPr>
      </w:pPr>
      <w:r>
        <w:rPr>
          <w:rFonts w:ascii="Times New Roman" w:cs="Times New Roman" w:eastAsia="Times New Roman" w:hAnsi="Times New Roman"/>
          <w:sz w:val="18"/>
          <w:szCs w:val="18"/>
          <w:color w:val="333333"/>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6" w:lineRule="exact"/>
        <w:rPr>
          <w:sz w:val="20"/>
          <w:szCs w:val="20"/>
          <w:color w:val="auto"/>
        </w:rPr>
      </w:pPr>
    </w:p>
    <w:p>
      <w:pPr>
        <w:ind w:left="2260" w:right="20"/>
        <w:spacing w:after="0" w:line="261" w:lineRule="auto"/>
        <w:rPr>
          <w:sz w:val="20"/>
          <w:szCs w:val="20"/>
          <w:color w:val="auto"/>
        </w:rPr>
      </w:pPr>
      <w:r>
        <w:rPr>
          <w:rFonts w:ascii="Times New Roman" w:cs="Times New Roman" w:eastAsia="Times New Roman" w:hAnsi="Times New Roman"/>
          <w:sz w:val="18"/>
          <w:szCs w:val="18"/>
          <w:color w:val="333333"/>
        </w:rPr>
        <w:t>b)  granted to any Employee other than an Employee described in paragraph (A) immediately above, the per Share exercise price will be no less than one hundred percent</w:t>
      </w:r>
    </w:p>
    <w:p>
      <w:pPr>
        <w:ind w:left="2260"/>
        <w:spacing w:after="0"/>
        <w:rPr>
          <w:sz w:val="20"/>
          <w:szCs w:val="20"/>
          <w:color w:val="auto"/>
        </w:rPr>
      </w:pPr>
      <w:r>
        <w:rPr>
          <w:rFonts w:ascii="Times New Roman" w:cs="Times New Roman" w:eastAsia="Times New Roman" w:hAnsi="Times New Roman"/>
          <w:sz w:val="18"/>
          <w:szCs w:val="18"/>
          <w:color w:val="333333"/>
        </w:rPr>
        <w:t>(100%) of the Fair Market Value per Share on the date of grant.</w:t>
      </w:r>
    </w:p>
    <w:p>
      <w:pPr>
        <w:spacing w:after="0" w:line="207" w:lineRule="exact"/>
        <w:rPr>
          <w:sz w:val="20"/>
          <w:szCs w:val="20"/>
          <w:color w:val="auto"/>
        </w:rPr>
      </w:pPr>
    </w:p>
    <w:p>
      <w:pPr>
        <w:ind w:left="760" w:right="200" w:firstLine="749"/>
        <w:spacing w:after="0" w:line="282" w:lineRule="auto"/>
        <w:rPr>
          <w:sz w:val="20"/>
          <w:szCs w:val="20"/>
          <w:color w:val="auto"/>
        </w:rPr>
      </w:pPr>
      <w:r>
        <w:rPr>
          <w:rFonts w:ascii="Times New Roman" w:cs="Times New Roman" w:eastAsia="Times New Roman" w:hAnsi="Times New Roman"/>
          <w:sz w:val="18"/>
          <w:szCs w:val="18"/>
          <w:color w:val="333333"/>
        </w:rPr>
        <w:t>(2)  In the case of a Nonstatutory Stock Option, the per Share exercise price will be no less than one hundred percent (100%) of the Fair Market Value per Share on the date of grant.</w:t>
      </w:r>
    </w:p>
    <w:p>
      <w:pPr>
        <w:spacing w:after="0" w:line="40" w:lineRule="exact"/>
        <w:rPr>
          <w:sz w:val="20"/>
          <w:szCs w:val="20"/>
          <w:color w:val="auto"/>
        </w:rPr>
      </w:pPr>
    </w:p>
    <w:p>
      <w:pPr>
        <w:jc w:val="both"/>
        <w:ind w:left="760" w:right="80" w:firstLine="749"/>
        <w:spacing w:after="0" w:line="266" w:lineRule="auto"/>
        <w:rPr>
          <w:sz w:val="20"/>
          <w:szCs w:val="20"/>
          <w:color w:val="auto"/>
        </w:rPr>
      </w:pPr>
      <w:r>
        <w:rPr>
          <w:rFonts w:ascii="Times New Roman" w:cs="Times New Roman" w:eastAsia="Times New Roman" w:hAnsi="Times New Roman"/>
          <w:sz w:val="18"/>
          <w:szCs w:val="18"/>
          <w:color w:val="333333"/>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333333"/>
        </w:rPr>
        <w:t xml:space="preserve">(ii)  </w:t>
      </w:r>
      <w:r>
        <w:rPr>
          <w:rFonts w:ascii="Times New Roman" w:cs="Times New Roman" w:eastAsia="Times New Roman" w:hAnsi="Times New Roman"/>
          <w:sz w:val="18"/>
          <w:szCs w:val="18"/>
          <w:u w:val="single" w:color="auto"/>
          <w:color w:val="333333"/>
        </w:rPr>
        <w:t>Waiting Period and Exercise Dates</w:t>
      </w:r>
      <w:r>
        <w:rPr>
          <w:rFonts w:ascii="Times New Roman" w:cs="Times New Roman" w:eastAsia="Times New Roman" w:hAnsi="Times New Roman"/>
          <w:sz w:val="18"/>
          <w:szCs w:val="18"/>
          <w:color w:val="333333"/>
        </w:rPr>
        <w:t>. At the time an Option is granted, the Administrator will fix the period within which the Option may be exercised and will determine any conditions that must be satisfied before the Option may be exercised.</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333333"/>
        </w:rPr>
        <w:t xml:space="preserve">(iii)  </w:t>
      </w:r>
      <w:r>
        <w:rPr>
          <w:rFonts w:ascii="Times New Roman" w:cs="Times New Roman" w:eastAsia="Times New Roman" w:hAnsi="Times New Roman"/>
          <w:sz w:val="18"/>
          <w:szCs w:val="18"/>
          <w:u w:val="single" w:color="auto"/>
          <w:color w:val="333333"/>
        </w:rPr>
        <w:t>Form of Consideration</w:t>
      </w:r>
      <w:r>
        <w:rPr>
          <w:rFonts w:ascii="Times New Roman" w:cs="Times New Roman" w:eastAsia="Times New Roman" w:hAnsi="Times New Roman"/>
          <w:sz w:val="18"/>
          <w:szCs w:val="18"/>
          <w:color w:val="333333"/>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Exercise of Option</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333333"/>
        </w:rPr>
        <w:t xml:space="preserve">(i)  </w:t>
      </w:r>
      <w:r>
        <w:rPr>
          <w:rFonts w:ascii="Times New Roman" w:cs="Times New Roman" w:eastAsia="Times New Roman" w:hAnsi="Times New Roman"/>
          <w:sz w:val="18"/>
          <w:szCs w:val="18"/>
          <w:u w:val="single" w:color="auto"/>
          <w:color w:val="333333"/>
        </w:rPr>
        <w:t>Procedure for Exercise; Rights as a Stockholder</w:t>
      </w:r>
      <w:r>
        <w:rPr>
          <w:rFonts w:ascii="Times New Roman" w:cs="Times New Roman" w:eastAsia="Times New Roman" w:hAnsi="Times New Roman"/>
          <w:sz w:val="18"/>
          <w:szCs w:val="18"/>
          <w:color w:val="333333"/>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333333"/>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right="400" w:firstLine="416"/>
        <w:spacing w:after="0" w:line="282" w:lineRule="auto"/>
        <w:rPr>
          <w:sz w:val="20"/>
          <w:szCs w:val="20"/>
          <w:color w:val="auto"/>
        </w:rPr>
      </w:pPr>
      <w:r>
        <w:rPr>
          <w:rFonts w:ascii="Times New Roman" w:cs="Times New Roman" w:eastAsia="Times New Roman" w:hAnsi="Times New Roman"/>
          <w:sz w:val="18"/>
          <w:szCs w:val="18"/>
          <w:color w:val="333333"/>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80" w:firstLine="749"/>
        <w:spacing w:after="0" w:line="273" w:lineRule="auto"/>
        <w:rPr>
          <w:sz w:val="20"/>
          <w:szCs w:val="20"/>
          <w:color w:val="auto"/>
        </w:rPr>
      </w:pPr>
      <w:r>
        <w:rPr>
          <w:rFonts w:ascii="Times New Roman" w:cs="Times New Roman" w:eastAsia="Times New Roman" w:hAnsi="Times New Roman"/>
          <w:sz w:val="17"/>
          <w:szCs w:val="17"/>
          <w:color w:val="333333"/>
        </w:rPr>
        <w:t xml:space="preserve">(ii)  </w:t>
      </w:r>
      <w:r>
        <w:rPr>
          <w:rFonts w:ascii="Times New Roman" w:cs="Times New Roman" w:eastAsia="Times New Roman" w:hAnsi="Times New Roman"/>
          <w:sz w:val="17"/>
          <w:szCs w:val="17"/>
          <w:u w:val="single" w:color="auto"/>
          <w:color w:val="333333"/>
        </w:rPr>
        <w:t>Termination of Relationship as a Service Provider</w:t>
      </w:r>
      <w:r>
        <w:rPr>
          <w:rFonts w:ascii="Times New Roman" w:cs="Times New Roman" w:eastAsia="Times New Roman" w:hAnsi="Times New Roman"/>
          <w:sz w:val="17"/>
          <w:szCs w:val="17"/>
          <w:color w:val="333333"/>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1"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333333"/>
        </w:rPr>
        <w:t xml:space="preserve">(iii)  </w:t>
      </w:r>
      <w:r>
        <w:rPr>
          <w:rFonts w:ascii="Times New Roman" w:cs="Times New Roman" w:eastAsia="Times New Roman" w:hAnsi="Times New Roman"/>
          <w:sz w:val="18"/>
          <w:szCs w:val="18"/>
          <w:u w:val="single" w:color="auto"/>
          <w:color w:val="333333"/>
        </w:rPr>
        <w:t>Disability of Participant</w:t>
      </w:r>
      <w:r>
        <w:rPr>
          <w:rFonts w:ascii="Times New Roman" w:cs="Times New Roman" w:eastAsia="Times New Roman" w:hAnsi="Times New Roman"/>
          <w:sz w:val="18"/>
          <w:szCs w:val="18"/>
          <w:color w:val="333333"/>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6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333333"/>
        </w:rPr>
        <w:t xml:space="preserve">(iv)  </w:t>
      </w:r>
      <w:r>
        <w:rPr>
          <w:rFonts w:ascii="Times New Roman" w:cs="Times New Roman" w:eastAsia="Times New Roman" w:hAnsi="Times New Roman"/>
          <w:sz w:val="18"/>
          <w:szCs w:val="18"/>
          <w:u w:val="single" w:color="auto"/>
          <w:color w:val="333333"/>
        </w:rPr>
        <w:t>Death of Participant</w:t>
      </w:r>
      <w:r>
        <w:rPr>
          <w:rFonts w:ascii="Times New Roman" w:cs="Times New Roman" w:eastAsia="Times New Roman" w:hAnsi="Times New Roman"/>
          <w:sz w:val="18"/>
          <w:szCs w:val="18"/>
          <w:color w:val="333333"/>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7.   </w:t>
      </w:r>
      <w:r>
        <w:rPr>
          <w:rFonts w:ascii="Times New Roman" w:cs="Times New Roman" w:eastAsia="Times New Roman" w:hAnsi="Times New Roman"/>
          <w:sz w:val="18"/>
          <w:szCs w:val="18"/>
          <w:u w:val="single" w:color="auto"/>
          <w:color w:val="333333"/>
        </w:rPr>
        <w:t>Restricted Stock</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Grant of Restricted Stock</w:t>
      </w:r>
      <w:r>
        <w:rPr>
          <w:rFonts w:ascii="Times New Roman" w:cs="Times New Roman" w:eastAsia="Times New Roman" w:hAnsi="Times New Roman"/>
          <w:sz w:val="18"/>
          <w:szCs w:val="18"/>
          <w:color w:val="333333"/>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2"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Restricted Stock Agreement</w:t>
      </w:r>
      <w:r>
        <w:rPr>
          <w:rFonts w:ascii="Times New Roman" w:cs="Times New Roman" w:eastAsia="Times New Roman" w:hAnsi="Times New Roman"/>
          <w:sz w:val="18"/>
          <w:szCs w:val="18"/>
          <w:color w:val="333333"/>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sz w:val="20"/>
          <w:szCs w:val="20"/>
          <w:color w:val="auto"/>
        </w:rPr>
      </w:pPr>
    </w:p>
    <w:p>
      <w:pPr>
        <w:ind w:right="5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Transferability</w:t>
      </w:r>
      <w:r>
        <w:rPr>
          <w:rFonts w:ascii="Times New Roman" w:cs="Times New Roman" w:eastAsia="Times New Roman" w:hAnsi="Times New Roman"/>
          <w:sz w:val="18"/>
          <w:szCs w:val="18"/>
          <w:color w:val="333333"/>
        </w:rPr>
        <w:t>. Except as provided in this Section 7 or in the Award Agreement, Shares of Restricted Stock may not be sold, transferred, pledged, assigned, or otherwise alienated or hypothecated until the end of the applicable Period of Restriction.</w:t>
      </w:r>
    </w:p>
    <w:p>
      <w:pPr>
        <w:spacing w:after="0" w:line="162"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Other Restrictions</w:t>
      </w:r>
      <w:r>
        <w:rPr>
          <w:rFonts w:ascii="Times New Roman" w:cs="Times New Roman" w:eastAsia="Times New Roman" w:hAnsi="Times New Roman"/>
          <w:sz w:val="18"/>
          <w:szCs w:val="18"/>
          <w:color w:val="333333"/>
        </w:rPr>
        <w:t>. The Administrator, in its sole discretion, may impose such other restrictions on Shares of Restricted Stock as it may deem advisable or appropriate.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86"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(e)  </w:t>
      </w:r>
      <w:r>
        <w:rPr>
          <w:rFonts w:ascii="Times New Roman" w:cs="Times New Roman" w:eastAsia="Times New Roman" w:hAnsi="Times New Roman"/>
          <w:sz w:val="18"/>
          <w:szCs w:val="18"/>
          <w:u w:val="single" w:color="auto"/>
          <w:color w:val="333333"/>
        </w:rPr>
        <w:t>Removal of Restrictions</w:t>
      </w:r>
      <w:r>
        <w:rPr>
          <w:rFonts w:ascii="Times New Roman" w:cs="Times New Roman" w:eastAsia="Times New Roman" w:hAnsi="Times New Roman"/>
          <w:sz w:val="18"/>
          <w:szCs w:val="18"/>
          <w:color w:val="333333"/>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6"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(f)  </w:t>
      </w:r>
      <w:r>
        <w:rPr>
          <w:rFonts w:ascii="Times New Roman" w:cs="Times New Roman" w:eastAsia="Times New Roman" w:hAnsi="Times New Roman"/>
          <w:sz w:val="18"/>
          <w:szCs w:val="18"/>
          <w:u w:val="single" w:color="auto"/>
          <w:color w:val="333333"/>
        </w:rPr>
        <w:t>Voting Rights</w:t>
      </w:r>
      <w:r>
        <w:rPr>
          <w:rFonts w:ascii="Times New Roman" w:cs="Times New Roman" w:eastAsia="Times New Roman" w:hAnsi="Times New Roman"/>
          <w:sz w:val="18"/>
          <w:szCs w:val="18"/>
          <w:color w:val="333333"/>
        </w:rPr>
        <w:t>. During the Period of Restriction, Service Providers holding Shares of Restricted Stock granted hereunder may exercise full voting rights with respect to those Shares, unless the Administrator determines otherwise.</w:t>
      </w:r>
    </w:p>
    <w:p>
      <w:pPr>
        <w:spacing w:after="0" w:line="162"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(g)  </w:t>
      </w:r>
      <w:r>
        <w:rPr>
          <w:rFonts w:ascii="Times New Roman" w:cs="Times New Roman" w:eastAsia="Times New Roman" w:hAnsi="Times New Roman"/>
          <w:sz w:val="18"/>
          <w:szCs w:val="18"/>
          <w:u w:val="single" w:color="auto"/>
          <w:color w:val="333333"/>
        </w:rPr>
        <w:t>Dividends and Other Distributions</w:t>
      </w:r>
      <w:r>
        <w:rPr>
          <w:rFonts w:ascii="Times New Roman" w:cs="Times New Roman" w:eastAsia="Times New Roman" w:hAnsi="Times New Roman"/>
          <w:sz w:val="18"/>
          <w:szCs w:val="18"/>
          <w:color w:val="333333"/>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ind w:right="400" w:firstLine="419"/>
        <w:spacing w:after="0" w:line="261" w:lineRule="auto"/>
        <w:rPr>
          <w:sz w:val="20"/>
          <w:szCs w:val="20"/>
          <w:color w:val="auto"/>
        </w:rPr>
      </w:pPr>
      <w:r>
        <w:rPr>
          <w:rFonts w:ascii="Times New Roman" w:cs="Times New Roman" w:eastAsia="Times New Roman" w:hAnsi="Times New Roman"/>
          <w:sz w:val="18"/>
          <w:szCs w:val="18"/>
          <w:color w:val="333333"/>
        </w:rPr>
        <w:t xml:space="preserve">(h)  </w:t>
      </w:r>
      <w:r>
        <w:rPr>
          <w:rFonts w:ascii="Times New Roman" w:cs="Times New Roman" w:eastAsia="Times New Roman" w:hAnsi="Times New Roman"/>
          <w:sz w:val="18"/>
          <w:szCs w:val="18"/>
          <w:u w:val="single" w:color="auto"/>
          <w:color w:val="333333"/>
        </w:rPr>
        <w:t>Return of Restricted Stock to Company</w:t>
      </w:r>
      <w:r>
        <w:rPr>
          <w:rFonts w:ascii="Times New Roman" w:cs="Times New Roman" w:eastAsia="Times New Roman" w:hAnsi="Times New Roman"/>
          <w:sz w:val="18"/>
          <w:szCs w:val="18"/>
          <w:color w:val="333333"/>
        </w:rPr>
        <w:t>. On the date set forth in the Award Agreement, the Restricted Stock for which restrictions have not lapsed will revert to the Company and again will become available for grant under the Plan.</w:t>
      </w:r>
    </w:p>
    <w:p>
      <w:pPr>
        <w:ind w:left="420"/>
        <w:spacing w:after="0"/>
        <w:rPr>
          <w:sz w:val="20"/>
          <w:szCs w:val="20"/>
          <w:color w:val="auto"/>
        </w:rPr>
      </w:pPr>
      <w:r>
        <w:rPr>
          <w:rFonts w:ascii="Times New Roman" w:cs="Times New Roman" w:eastAsia="Times New Roman" w:hAnsi="Times New Roman"/>
          <w:sz w:val="18"/>
          <w:szCs w:val="18"/>
          <w:color w:val="333333"/>
        </w:rPr>
        <w:t xml:space="preserve">8.   </w:t>
      </w:r>
      <w:r>
        <w:rPr>
          <w:rFonts w:ascii="Times New Roman" w:cs="Times New Roman" w:eastAsia="Times New Roman" w:hAnsi="Times New Roman"/>
          <w:sz w:val="18"/>
          <w:szCs w:val="18"/>
          <w:u w:val="single" w:color="auto"/>
          <w:color w:val="333333"/>
        </w:rPr>
        <w:t>Restricted Stock Units</w:t>
      </w:r>
      <w:r>
        <w:rPr>
          <w:rFonts w:ascii="Times New Roman" w:cs="Times New Roman" w:eastAsia="Times New Roman" w:hAnsi="Times New Roman"/>
          <w:sz w:val="18"/>
          <w:szCs w:val="18"/>
          <w:color w:val="333333"/>
        </w:rPr>
        <w:t>.</w:t>
      </w:r>
    </w:p>
    <w:p>
      <w:pPr>
        <w:spacing w:after="0" w:line="207"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Grant</w:t>
      </w:r>
      <w:r>
        <w:rPr>
          <w:rFonts w:ascii="Times New Roman" w:cs="Times New Roman" w:eastAsia="Times New Roman" w:hAnsi="Times New Roman"/>
          <w:sz w:val="18"/>
          <w:szCs w:val="18"/>
          <w:color w:val="333333"/>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6"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Vesting Criteria and Other Terms</w:t>
      </w:r>
      <w:r>
        <w:rPr>
          <w:rFonts w:ascii="Times New Roman" w:cs="Times New Roman" w:eastAsia="Times New Roman" w:hAnsi="Times New Roman"/>
          <w:sz w:val="18"/>
          <w:szCs w:val="18"/>
          <w:color w:val="333333"/>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80"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Earning Restricted Stock Units</w:t>
      </w:r>
      <w:r>
        <w:rPr>
          <w:rFonts w:ascii="Times New Roman" w:cs="Times New Roman" w:eastAsia="Times New Roman" w:hAnsi="Times New Roman"/>
          <w:sz w:val="18"/>
          <w:szCs w:val="18"/>
          <w:color w:val="333333"/>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Form and Timing of Payment</w:t>
      </w:r>
      <w:r>
        <w:rPr>
          <w:rFonts w:ascii="Times New Roman" w:cs="Times New Roman" w:eastAsia="Times New Roman" w:hAnsi="Times New Roman"/>
          <w:sz w:val="18"/>
          <w:szCs w:val="18"/>
          <w:color w:val="333333"/>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(e)   </w:t>
      </w:r>
      <w:r>
        <w:rPr>
          <w:rFonts w:ascii="Times New Roman" w:cs="Times New Roman" w:eastAsia="Times New Roman" w:hAnsi="Times New Roman"/>
          <w:sz w:val="18"/>
          <w:szCs w:val="18"/>
          <w:u w:val="single" w:color="auto"/>
          <w:color w:val="333333"/>
        </w:rPr>
        <w:t>Cancellation</w:t>
      </w:r>
      <w:r>
        <w:rPr>
          <w:rFonts w:ascii="Times New Roman" w:cs="Times New Roman" w:eastAsia="Times New Roman" w:hAnsi="Times New Roman"/>
          <w:sz w:val="18"/>
          <w:szCs w:val="18"/>
          <w:color w:val="333333"/>
        </w:rPr>
        <w:t>. On the date set forth in the Award Agreement, all unearned Restricted Stock Units will be forfeited to the Company.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9.   </w:t>
      </w:r>
      <w:r>
        <w:rPr>
          <w:rFonts w:ascii="Times New Roman" w:cs="Times New Roman" w:eastAsia="Times New Roman" w:hAnsi="Times New Roman"/>
          <w:sz w:val="18"/>
          <w:szCs w:val="18"/>
          <w:u w:val="single" w:color="auto"/>
          <w:color w:val="333333"/>
        </w:rPr>
        <w:t>Stock Appreciation Rights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46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Grant of Stock Appreciation Rights</w:t>
      </w:r>
      <w:r>
        <w:rPr>
          <w:rFonts w:ascii="Times New Roman" w:cs="Times New Roman" w:eastAsia="Times New Roman" w:hAnsi="Times New Roman"/>
          <w:sz w:val="18"/>
          <w:szCs w:val="18"/>
          <w:color w:val="333333"/>
        </w:rPr>
        <w:t>. Subject to the terms and conditions of the Plan, a Stock Appreciation Right may be granted to Service Providers at any time and from time to time as will be determined by the Administrator, in its sole discretion.</w:t>
      </w:r>
    </w:p>
    <w:p>
      <w:pPr>
        <w:spacing w:after="0" w:line="162"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Number of Shares</w:t>
      </w:r>
      <w:r>
        <w:rPr>
          <w:rFonts w:ascii="Times New Roman" w:cs="Times New Roman" w:eastAsia="Times New Roman" w:hAnsi="Times New Roman"/>
          <w:sz w:val="18"/>
          <w:szCs w:val="18"/>
          <w:color w:val="333333"/>
        </w:rPr>
        <w:t>. The Administrator will have complete discretion to determine the number of Stock Appreciation Rights granted to any Service Provider.</w:t>
      </w:r>
    </w:p>
    <w:p>
      <w:pPr>
        <w:spacing w:after="0" w:line="162"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Exercise Price and Other Terms</w:t>
      </w:r>
      <w:r>
        <w:rPr>
          <w:rFonts w:ascii="Times New Roman" w:cs="Times New Roman" w:eastAsia="Times New Roman" w:hAnsi="Times New Roman"/>
          <w:sz w:val="18"/>
          <w:szCs w:val="18"/>
          <w:color w:val="333333"/>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333333"/>
        </w:rPr>
        <w:t>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40" w:lineRule="exact"/>
        <w:rPr>
          <w:sz w:val="20"/>
          <w:szCs w:val="20"/>
          <w:color w:val="auto"/>
        </w:rPr>
      </w:pPr>
    </w:p>
    <w:p>
      <w:pPr>
        <w:ind w:right="30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Stock Appreciation Right Agreement</w:t>
      </w:r>
      <w:r>
        <w:rPr>
          <w:rFonts w:ascii="Times New Roman" w:cs="Times New Roman" w:eastAsia="Times New Roman" w:hAnsi="Times New Roman"/>
          <w:sz w:val="18"/>
          <w:szCs w:val="18"/>
          <w:color w:val="333333"/>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sz w:val="20"/>
          <w:szCs w:val="20"/>
          <w:color w:val="auto"/>
        </w:rPr>
      </w:pPr>
    </w:p>
    <w:p>
      <w:pPr>
        <w:ind w:right="5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(e)  </w:t>
      </w:r>
      <w:r>
        <w:rPr>
          <w:rFonts w:ascii="Times New Roman" w:cs="Times New Roman" w:eastAsia="Times New Roman" w:hAnsi="Times New Roman"/>
          <w:sz w:val="18"/>
          <w:szCs w:val="18"/>
          <w:u w:val="single" w:color="auto"/>
          <w:color w:val="333333"/>
        </w:rPr>
        <w:t>Expiration of Stock Appreciation Rights</w:t>
      </w:r>
      <w:r>
        <w:rPr>
          <w:rFonts w:ascii="Times New Roman" w:cs="Times New Roman" w:eastAsia="Times New Roman" w:hAnsi="Times New Roman"/>
          <w:sz w:val="18"/>
          <w:szCs w:val="18"/>
          <w:color w:val="333333"/>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6"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(f)  </w:t>
      </w:r>
      <w:r>
        <w:rPr>
          <w:rFonts w:ascii="Times New Roman" w:cs="Times New Roman" w:eastAsia="Times New Roman" w:hAnsi="Times New Roman"/>
          <w:sz w:val="18"/>
          <w:szCs w:val="18"/>
          <w:u w:val="single" w:color="auto"/>
          <w:color w:val="333333"/>
        </w:rPr>
        <w:t>Payment of Stock Appreciation Right Amount</w:t>
      </w:r>
      <w:r>
        <w:rPr>
          <w:rFonts w:ascii="Times New Roman" w:cs="Times New Roman" w:eastAsia="Times New Roman" w:hAnsi="Times New Roman"/>
          <w:sz w:val="18"/>
          <w:szCs w:val="18"/>
          <w:color w:val="333333"/>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10.   </w:t>
      </w:r>
      <w:r>
        <w:rPr>
          <w:rFonts w:ascii="Times New Roman" w:cs="Times New Roman" w:eastAsia="Times New Roman" w:hAnsi="Times New Roman"/>
          <w:sz w:val="18"/>
          <w:szCs w:val="18"/>
          <w:u w:val="single" w:color="auto"/>
          <w:color w:val="333333"/>
        </w:rPr>
        <w:t>Performance Units and Performance Shares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Grant of Performance Units/Shares</w:t>
      </w:r>
      <w:r>
        <w:rPr>
          <w:rFonts w:ascii="Times New Roman" w:cs="Times New Roman" w:eastAsia="Times New Roman" w:hAnsi="Times New Roman"/>
          <w:sz w:val="18"/>
          <w:szCs w:val="18"/>
          <w:color w:val="333333"/>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6"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Value of Performance Units/Shares</w:t>
      </w:r>
      <w:r>
        <w:rPr>
          <w:rFonts w:ascii="Times New Roman" w:cs="Times New Roman" w:eastAsia="Times New Roman" w:hAnsi="Times New Roman"/>
          <w:sz w:val="18"/>
          <w:szCs w:val="18"/>
          <w:color w:val="333333"/>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Performance Objectives and Other Terms</w:t>
      </w:r>
      <w:r>
        <w:rPr>
          <w:rFonts w:ascii="Times New Roman" w:cs="Times New Roman" w:eastAsia="Times New Roman" w:hAnsi="Times New Roman"/>
          <w:sz w:val="18"/>
          <w:szCs w:val="18"/>
          <w:color w:val="333333"/>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89"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Earning of Performance Units/Shares</w:t>
      </w:r>
      <w:r>
        <w:rPr>
          <w:rFonts w:ascii="Times New Roman" w:cs="Times New Roman" w:eastAsia="Times New Roman" w:hAnsi="Times New Roman"/>
          <w:sz w:val="18"/>
          <w:szCs w:val="18"/>
          <w:color w:val="333333"/>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(e)  </w:t>
      </w:r>
      <w:r>
        <w:rPr>
          <w:rFonts w:ascii="Times New Roman" w:cs="Times New Roman" w:eastAsia="Times New Roman" w:hAnsi="Times New Roman"/>
          <w:sz w:val="18"/>
          <w:szCs w:val="18"/>
          <w:u w:val="single" w:color="auto"/>
          <w:color w:val="333333"/>
        </w:rPr>
        <w:t>Form and Timing of Payment of Performance Units/Shares</w:t>
      </w:r>
      <w:r>
        <w:rPr>
          <w:rFonts w:ascii="Times New Roman" w:cs="Times New Roman" w:eastAsia="Times New Roman" w:hAnsi="Times New Roman"/>
          <w:sz w:val="18"/>
          <w:szCs w:val="18"/>
          <w:color w:val="333333"/>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26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(f)  </w:t>
      </w:r>
      <w:r>
        <w:rPr>
          <w:rFonts w:ascii="Times New Roman" w:cs="Times New Roman" w:eastAsia="Times New Roman" w:hAnsi="Times New Roman"/>
          <w:sz w:val="18"/>
          <w:szCs w:val="18"/>
          <w:u w:val="single" w:color="auto"/>
          <w:color w:val="333333"/>
        </w:rPr>
        <w:t>Cancellation of Performance Units/Shares</w:t>
      </w:r>
      <w:r>
        <w:rPr>
          <w:rFonts w:ascii="Times New Roman" w:cs="Times New Roman" w:eastAsia="Times New Roman" w:hAnsi="Times New Roman"/>
          <w:sz w:val="18"/>
          <w:szCs w:val="18"/>
          <w:color w:val="333333"/>
        </w:rPr>
        <w:t>. On the date set forth in the Award Agreement, all unearned or unvested Performance Units/Shares will be forfeited to the Company, and again will be available for grant under the Plan.</w:t>
      </w:r>
    </w:p>
    <w:p>
      <w:pPr>
        <w:spacing w:after="0" w:line="162" w:lineRule="exact"/>
        <w:rPr>
          <w:sz w:val="20"/>
          <w:szCs w:val="20"/>
          <w:color w:val="auto"/>
        </w:rPr>
      </w:pPr>
    </w:p>
    <w:p>
      <w:pPr>
        <w:ind w:firstLine="416"/>
        <w:spacing w:after="0" w:line="260" w:lineRule="auto"/>
        <w:rPr>
          <w:sz w:val="20"/>
          <w:szCs w:val="20"/>
          <w:color w:val="auto"/>
        </w:rPr>
      </w:pPr>
      <w:r>
        <w:rPr>
          <w:rFonts w:ascii="Times New Roman" w:cs="Times New Roman" w:eastAsia="Times New Roman" w:hAnsi="Times New Roman"/>
          <w:sz w:val="18"/>
          <w:szCs w:val="18"/>
          <w:color w:val="333333"/>
        </w:rPr>
        <w:t xml:space="preserve">11.  </w:t>
      </w:r>
      <w:r>
        <w:rPr>
          <w:rFonts w:ascii="Times New Roman" w:cs="Times New Roman" w:eastAsia="Times New Roman" w:hAnsi="Times New Roman"/>
          <w:sz w:val="18"/>
          <w:szCs w:val="18"/>
          <w:u w:val="single" w:color="auto"/>
          <w:color w:val="333333"/>
        </w:rPr>
        <w:t>Leaves of Absence/Transfers Between Locations</w:t>
      </w:r>
      <w:r>
        <w:rPr>
          <w:rFonts w:ascii="Times New Roman" w:cs="Times New Roman" w:eastAsia="Times New Roman" w:hAnsi="Times New Roman"/>
          <w:sz w:val="18"/>
          <w:szCs w:val="18"/>
          <w:color w:val="333333"/>
        </w:rPr>
        <w:t>. Unless the Administrator provides otherwise, vesting of Awards granted hereunder (i) will be suspended during any unpaid leave of absence and (ii) will continue during any 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85"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12.  </w:t>
      </w:r>
      <w:r>
        <w:rPr>
          <w:rFonts w:ascii="Times New Roman" w:cs="Times New Roman" w:eastAsia="Times New Roman" w:hAnsi="Times New Roman"/>
          <w:sz w:val="18"/>
          <w:szCs w:val="18"/>
          <w:u w:val="single" w:color="auto"/>
          <w:color w:val="333333"/>
        </w:rPr>
        <w:t>Transferability of Awards</w:t>
      </w:r>
      <w:r>
        <w:rPr>
          <w:rFonts w:ascii="Times New Roman" w:cs="Times New Roman" w:eastAsia="Times New Roman" w:hAnsi="Times New Roman"/>
          <w:sz w:val="18"/>
          <w:szCs w:val="18"/>
          <w:color w:val="333333"/>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13.   </w:t>
      </w:r>
      <w:r>
        <w:rPr>
          <w:rFonts w:ascii="Times New Roman" w:cs="Times New Roman" w:eastAsia="Times New Roman" w:hAnsi="Times New Roman"/>
          <w:sz w:val="18"/>
          <w:szCs w:val="18"/>
          <w:u w:val="single" w:color="auto"/>
          <w:color w:val="333333"/>
        </w:rPr>
        <w:t>Adjustments; Dissolution or Liquidation; Merger or Change in Control</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Adjustments</w:t>
      </w:r>
      <w:r>
        <w:rPr>
          <w:rFonts w:ascii="Times New Roman" w:cs="Times New Roman" w:eastAsia="Times New Roman" w:hAnsi="Times New Roman"/>
          <w:sz w:val="18"/>
          <w:szCs w:val="18"/>
          <w:color w:val="333333"/>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66"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Dissolution or Liquidation</w:t>
      </w:r>
      <w:r>
        <w:rPr>
          <w:rFonts w:ascii="Times New Roman" w:cs="Times New Roman" w:eastAsia="Times New Roman" w:hAnsi="Times New Roman"/>
          <w:sz w:val="18"/>
          <w:szCs w:val="18"/>
          <w:color w:val="333333"/>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6"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Change in Control</w:t>
      </w:r>
      <w:r>
        <w:rPr>
          <w:rFonts w:ascii="Times New Roman" w:cs="Times New Roman" w:eastAsia="Times New Roman" w:hAnsi="Times New Roman"/>
          <w:sz w:val="18"/>
          <w:szCs w:val="18"/>
          <w:color w:val="333333"/>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80"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333333"/>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333333"/>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333333"/>
        </w:rPr>
        <w:t>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3" w:lineRule="exact"/>
        <w:rPr>
          <w:sz w:val="20"/>
          <w:szCs w:val="20"/>
          <w:color w:val="auto"/>
        </w:rPr>
      </w:pPr>
    </w:p>
    <w:p>
      <w:pPr>
        <w:ind w:right="500" w:firstLine="416"/>
        <w:spacing w:after="0" w:line="261" w:lineRule="auto"/>
        <w:rPr>
          <w:sz w:val="20"/>
          <w:szCs w:val="20"/>
          <w:color w:val="auto"/>
        </w:rPr>
      </w:pPr>
      <w:r>
        <w:rPr>
          <w:rFonts w:ascii="Times New Roman" w:cs="Times New Roman" w:eastAsia="Times New Roman" w:hAnsi="Times New Roman"/>
          <w:sz w:val="18"/>
          <w:szCs w:val="18"/>
          <w:color w:val="333333"/>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333333"/>
        </w:rPr>
        <w:t xml:space="preserve">(d)  </w:t>
      </w:r>
      <w:r>
        <w:rPr>
          <w:rFonts w:ascii="Times New Roman" w:cs="Times New Roman" w:eastAsia="Times New Roman" w:hAnsi="Times New Roman"/>
          <w:sz w:val="18"/>
          <w:szCs w:val="18"/>
          <w:u w:val="single" w:color="auto"/>
          <w:color w:val="333333"/>
        </w:rPr>
        <w:t>Outside Director Awards</w:t>
      </w:r>
      <w:r>
        <w:rPr>
          <w:rFonts w:ascii="Times New Roman" w:cs="Times New Roman" w:eastAsia="Times New Roman" w:hAnsi="Times New Roman"/>
          <w:sz w:val="18"/>
          <w:szCs w:val="18"/>
          <w:color w:val="333333"/>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14.   </w:t>
      </w:r>
      <w:r>
        <w:rPr>
          <w:rFonts w:ascii="Times New Roman" w:cs="Times New Roman" w:eastAsia="Times New Roman" w:hAnsi="Times New Roman"/>
          <w:sz w:val="18"/>
          <w:szCs w:val="18"/>
          <w:u w:val="single" w:color="auto"/>
          <w:color w:val="333333"/>
        </w:rPr>
        <w:t>Tax</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jc w:val="both"/>
        <w:ind w:right="1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Withholding Requirements</w:t>
      </w:r>
      <w:r>
        <w:rPr>
          <w:rFonts w:ascii="Times New Roman" w:cs="Times New Roman" w:eastAsia="Times New Roman" w:hAnsi="Times New Roman"/>
          <w:sz w:val="18"/>
          <w:szCs w:val="18"/>
          <w:color w:val="333333"/>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Withholding Arrangements</w:t>
      </w:r>
      <w:r>
        <w:rPr>
          <w:rFonts w:ascii="Times New Roman" w:cs="Times New Roman" w:eastAsia="Times New Roman" w:hAnsi="Times New Roman"/>
          <w:sz w:val="18"/>
          <w:szCs w:val="18"/>
          <w:color w:val="333333"/>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8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Compliance With Code Section 409A</w:t>
      </w:r>
      <w:r>
        <w:rPr>
          <w:rFonts w:ascii="Times New Roman" w:cs="Times New Roman" w:eastAsia="Times New Roman" w:hAnsi="Times New Roman"/>
          <w:sz w:val="18"/>
          <w:szCs w:val="18"/>
          <w:color w:val="333333"/>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9"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15.  </w:t>
      </w:r>
      <w:r>
        <w:rPr>
          <w:rFonts w:ascii="Times New Roman" w:cs="Times New Roman" w:eastAsia="Times New Roman" w:hAnsi="Times New Roman"/>
          <w:sz w:val="18"/>
          <w:szCs w:val="18"/>
          <w:u w:val="single" w:color="auto"/>
          <w:color w:val="333333"/>
        </w:rPr>
        <w:t>No Effect on Employment or Service</w:t>
      </w:r>
      <w:r>
        <w:rPr>
          <w:rFonts w:ascii="Times New Roman" w:cs="Times New Roman" w:eastAsia="Times New Roman" w:hAnsi="Times New Roman"/>
          <w:sz w:val="18"/>
          <w:szCs w:val="18"/>
          <w:color w:val="333333"/>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6"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16.  </w:t>
      </w:r>
      <w:r>
        <w:rPr>
          <w:rFonts w:ascii="Times New Roman" w:cs="Times New Roman" w:eastAsia="Times New Roman" w:hAnsi="Times New Roman"/>
          <w:sz w:val="18"/>
          <w:szCs w:val="18"/>
          <w:u w:val="single" w:color="auto"/>
          <w:color w:val="333333"/>
        </w:rPr>
        <w:t>Date of Grant</w:t>
      </w:r>
      <w:r>
        <w:rPr>
          <w:rFonts w:ascii="Times New Roman" w:cs="Times New Roman" w:eastAsia="Times New Roman" w:hAnsi="Times New Roman"/>
          <w:sz w:val="18"/>
          <w:szCs w:val="18"/>
          <w:color w:val="333333"/>
        </w:rPr>
        <w:t>. The date of grant of an Award will be, for all purposes, the date on which the Administrator makes the determination granting such Award, or such other later date as is determined by the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Administrator. Notice of the determination will be provided to each Participant within a reasonable time after the date of such grant.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17.   </w:t>
      </w:r>
      <w:r>
        <w:rPr>
          <w:rFonts w:ascii="Times New Roman" w:cs="Times New Roman" w:eastAsia="Times New Roman" w:hAnsi="Times New Roman"/>
          <w:sz w:val="18"/>
          <w:szCs w:val="18"/>
          <w:u w:val="single" w:color="auto"/>
          <w:color w:val="333333"/>
        </w:rPr>
        <w:t>Term of Plan</w:t>
      </w:r>
      <w:r>
        <w:rPr>
          <w:rFonts w:ascii="Times New Roman" w:cs="Times New Roman" w:eastAsia="Times New Roman" w:hAnsi="Times New Roman"/>
          <w:sz w:val="18"/>
          <w:szCs w:val="18"/>
          <w:color w:val="333333"/>
        </w:rPr>
        <w:t>. Subject to Section 22 of the Plan, this Plan will become effective upon the Effective Date. The Plan will terminate on April 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2036, unless terminated earlier under Section 18 of the Plan.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18.   </w:t>
      </w:r>
      <w:r>
        <w:rPr>
          <w:rFonts w:ascii="Times New Roman" w:cs="Times New Roman" w:eastAsia="Times New Roman" w:hAnsi="Times New Roman"/>
          <w:sz w:val="18"/>
          <w:szCs w:val="18"/>
          <w:u w:val="single" w:color="auto"/>
          <w:color w:val="333333"/>
        </w:rPr>
        <w:t>Amendment and Termination of the Plan</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Amendment and Termination</w:t>
      </w:r>
      <w:r>
        <w:rPr>
          <w:rFonts w:ascii="Times New Roman" w:cs="Times New Roman" w:eastAsia="Times New Roman" w:hAnsi="Times New Roman"/>
          <w:sz w:val="18"/>
          <w:szCs w:val="18"/>
          <w:color w:val="333333"/>
        </w:rPr>
        <w:t>. The Board may at any time amend, alter, suspend or terminate the Plan.</w:t>
      </w:r>
    </w:p>
    <w:p>
      <w:pPr>
        <w:spacing w:after="0" w:line="225"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Stockholder Approval</w:t>
      </w:r>
      <w:r>
        <w:rPr>
          <w:rFonts w:ascii="Times New Roman" w:cs="Times New Roman" w:eastAsia="Times New Roman" w:hAnsi="Times New Roman"/>
          <w:sz w:val="18"/>
          <w:szCs w:val="18"/>
          <w:color w:val="333333"/>
        </w:rPr>
        <w:t>. The Company will obtain stockholder approval of any Plan amendment to the extent necessary and desirable to comply with Applicable Laws.</w:t>
      </w:r>
    </w:p>
    <w:p>
      <w:pPr>
        <w:spacing w:after="0" w:line="162" w:lineRule="exact"/>
        <w:rPr>
          <w:sz w:val="20"/>
          <w:szCs w:val="20"/>
          <w:color w:val="auto"/>
        </w:rPr>
      </w:pPr>
    </w:p>
    <w:p>
      <w:pPr>
        <w:jc w:val="both"/>
        <w:ind w:right="20" w:firstLine="416"/>
        <w:spacing w:after="0" w:line="261" w:lineRule="auto"/>
        <w:rPr>
          <w:sz w:val="20"/>
          <w:szCs w:val="20"/>
          <w:color w:val="auto"/>
        </w:rPr>
      </w:pPr>
      <w:r>
        <w:rPr>
          <w:rFonts w:ascii="Times New Roman" w:cs="Times New Roman" w:eastAsia="Times New Roman" w:hAnsi="Times New Roman"/>
          <w:sz w:val="18"/>
          <w:szCs w:val="18"/>
          <w:color w:val="333333"/>
        </w:rPr>
        <w:t xml:space="preserve">(c)  </w:t>
      </w:r>
      <w:r>
        <w:rPr>
          <w:rFonts w:ascii="Times New Roman" w:cs="Times New Roman" w:eastAsia="Times New Roman" w:hAnsi="Times New Roman"/>
          <w:sz w:val="18"/>
          <w:szCs w:val="18"/>
          <w:u w:val="single" w:color="auto"/>
          <w:color w:val="333333"/>
        </w:rPr>
        <w:t>Effect of Amendment or Termination</w:t>
      </w:r>
      <w:r>
        <w:rPr>
          <w:rFonts w:ascii="Times New Roman" w:cs="Times New Roman" w:eastAsia="Times New Roman" w:hAnsi="Times New Roman"/>
          <w:sz w:val="18"/>
          <w:szCs w:val="18"/>
          <w:color w:val="333333"/>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19.   </w:t>
      </w:r>
      <w:r>
        <w:rPr>
          <w:rFonts w:ascii="Times New Roman" w:cs="Times New Roman" w:eastAsia="Times New Roman" w:hAnsi="Times New Roman"/>
          <w:sz w:val="18"/>
          <w:szCs w:val="18"/>
          <w:u w:val="single" w:color="auto"/>
          <w:color w:val="333333"/>
        </w:rPr>
        <w:t>Conditions Upon Issuance of Shares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36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u w:val="single" w:color="auto"/>
          <w:color w:val="333333"/>
        </w:rPr>
        <w:t>Legal Compliance</w:t>
      </w:r>
      <w:r>
        <w:rPr>
          <w:rFonts w:ascii="Times New Roman" w:cs="Times New Roman" w:eastAsia="Times New Roman" w:hAnsi="Times New Roman"/>
          <w:sz w:val="18"/>
          <w:szCs w:val="18"/>
          <w:color w:val="333333"/>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54"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(b)  </w:t>
      </w:r>
      <w:r>
        <w:rPr>
          <w:rFonts w:ascii="Times New Roman" w:cs="Times New Roman" w:eastAsia="Times New Roman" w:hAnsi="Times New Roman"/>
          <w:sz w:val="18"/>
          <w:szCs w:val="18"/>
          <w:u w:val="single" w:color="auto"/>
          <w:color w:val="333333"/>
        </w:rPr>
        <w:t>Investment Representations</w:t>
      </w:r>
      <w:r>
        <w:rPr>
          <w:rFonts w:ascii="Times New Roman" w:cs="Times New Roman" w:eastAsia="Times New Roman" w:hAnsi="Times New Roman"/>
          <w:sz w:val="18"/>
          <w:szCs w:val="18"/>
          <w:color w:val="333333"/>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20.  </w:t>
      </w:r>
      <w:r>
        <w:rPr>
          <w:rFonts w:ascii="Times New Roman" w:cs="Times New Roman" w:eastAsia="Times New Roman" w:hAnsi="Times New Roman"/>
          <w:sz w:val="18"/>
          <w:szCs w:val="18"/>
          <w:u w:val="single" w:color="auto"/>
          <w:color w:val="333333"/>
        </w:rPr>
        <w:t>Inability to Obtain Authority</w:t>
      </w:r>
      <w:r>
        <w:rPr>
          <w:rFonts w:ascii="Times New Roman" w:cs="Times New Roman" w:eastAsia="Times New Roman" w:hAnsi="Times New Roman"/>
          <w:sz w:val="18"/>
          <w:szCs w:val="18"/>
          <w:color w:val="333333"/>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333333"/>
        </w:rPr>
        <w:t xml:space="preserve">21.   </w:t>
      </w:r>
      <w:r>
        <w:rPr>
          <w:rFonts w:ascii="Times New Roman" w:cs="Times New Roman" w:eastAsia="Times New Roman" w:hAnsi="Times New Roman"/>
          <w:sz w:val="18"/>
          <w:szCs w:val="18"/>
          <w:u w:val="single" w:color="auto"/>
          <w:color w:val="333333"/>
        </w:rPr>
        <w:t>Forfeiture Events</w:t>
      </w:r>
      <w:r>
        <w:rPr>
          <w:rFonts w:ascii="Times New Roman" w:cs="Times New Roman" w:eastAsia="Times New Roman" w:hAnsi="Times New Roman"/>
          <w:sz w:val="18"/>
          <w:szCs w:val="18"/>
          <w:color w:val="333333"/>
        </w:rPr>
        <w:t>.</w:t>
      </w:r>
    </w:p>
    <w:p>
      <w:pPr>
        <w:spacing w:after="0" w:line="225"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333333"/>
        </w:rPr>
        <w:t>(a)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9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333333"/>
        </w:rPr>
        <w:t>(b)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86"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333333"/>
        </w:rPr>
        <w:t xml:space="preserve">22.  </w:t>
      </w:r>
      <w:r>
        <w:rPr>
          <w:rFonts w:ascii="Times New Roman" w:cs="Times New Roman" w:eastAsia="Times New Roman" w:hAnsi="Times New Roman"/>
          <w:sz w:val="18"/>
          <w:szCs w:val="18"/>
          <w:u w:val="single" w:color="auto"/>
          <w:color w:val="333333"/>
        </w:rPr>
        <w:t>Stockholder Approval</w:t>
      </w:r>
      <w:r>
        <w:rPr>
          <w:rFonts w:ascii="Times New Roman" w:cs="Times New Roman" w:eastAsia="Times New Roman" w:hAnsi="Times New Roman"/>
          <w:sz w:val="18"/>
          <w:szCs w:val="18"/>
          <w:color w:val="333333"/>
        </w:rPr>
        <w:t>. This Plan is subject to, and contingent upon, stockholder approval at the 2026 Annual Meeting of Stockholders. Such stockholder approval will be obtained in the manner and to the degree required under Applicable Laws.</w:t>
      </w:r>
    </w:p>
    <w:p>
      <w:pPr>
        <w:spacing w:after="0" w:line="16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333333"/>
        </w:rPr>
        <w:t xml:space="preserve">23.  </w:t>
      </w:r>
      <w:r>
        <w:rPr>
          <w:rFonts w:ascii="Times New Roman" w:cs="Times New Roman" w:eastAsia="Times New Roman" w:hAnsi="Times New Roman"/>
          <w:sz w:val="18"/>
          <w:szCs w:val="18"/>
          <w:u w:val="single" w:color="auto"/>
          <w:color w:val="333333"/>
        </w:rPr>
        <w:t>Waiver of Jury Trial</w:t>
      </w:r>
      <w:r>
        <w:rPr>
          <w:rFonts w:ascii="Times New Roman" w:cs="Times New Roman" w:eastAsia="Times New Roman" w:hAnsi="Times New Roman"/>
          <w:sz w:val="18"/>
          <w:szCs w:val="18"/>
          <w:color w:val="333333"/>
        </w:rPr>
        <w:t>. 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88"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333333"/>
        </w:rPr>
        <w:t xml:space="preserve">24.   </w:t>
      </w:r>
      <w:r>
        <w:rPr>
          <w:rFonts w:ascii="Times New Roman" w:cs="Times New Roman" w:eastAsia="Times New Roman" w:hAnsi="Times New Roman"/>
          <w:sz w:val="18"/>
          <w:szCs w:val="18"/>
          <w:u w:val="single" w:color="auto"/>
          <w:color w:val="333333"/>
        </w:rPr>
        <w:t>Unfunded Obligations</w:t>
      </w:r>
      <w:r>
        <w:rPr>
          <w:rFonts w:ascii="Times New Roman" w:cs="Times New Roman" w:eastAsia="Times New Roman" w:hAnsi="Times New Roman"/>
          <w:sz w:val="18"/>
          <w:szCs w:val="18"/>
          <w:color w:val="333333"/>
        </w:rPr>
        <w:t>. 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EMPLOYEE STOCK PURCHASE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(As amended and restated effective June 23, 2020,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and as further amended and restated effective June 17, 2026)</w:t>
      </w:r>
    </w:p>
    <w:p>
      <w:pPr>
        <w:spacing w:after="0" w:line="194" w:lineRule="exact"/>
        <w:rPr>
          <w:sz w:val="20"/>
          <w:szCs w:val="20"/>
          <w:color w:val="auto"/>
        </w:rPr>
      </w:pPr>
    </w:p>
    <w:p>
      <w:pPr>
        <w:jc w:val="both"/>
        <w:ind w:firstLine="757"/>
        <w:spacing w:after="0" w:line="243" w:lineRule="auto"/>
        <w:tabs>
          <w:tab w:leader="none" w:pos="101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any Committee designated by the Board to administer the Plan pursuant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of the following events:</w:t>
      </w:r>
    </w:p>
    <w:p>
      <w:pPr>
        <w:spacing w:after="0" w:line="215" w:lineRule="exact"/>
        <w:rPr>
          <w:rFonts w:ascii="Times New Roman" w:cs="Times New Roman" w:eastAsia="Times New Roman" w:hAnsi="Times New Roman"/>
          <w:sz w:val="20"/>
          <w:szCs w:val="20"/>
          <w:color w:val="auto"/>
        </w:rPr>
      </w:pPr>
    </w:p>
    <w:p>
      <w:pPr>
        <w:jc w:val="both"/>
        <w:ind w:firstLine="2254"/>
        <w:spacing w:after="0" w:line="246" w:lineRule="auto"/>
        <w:tabs>
          <w:tab w:leader="none" w:pos="2546"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the Company which occurs on the date that any one person, or more than one person acting as a group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84" w:lineRule="exact"/>
        <w:rPr>
          <w:rFonts w:ascii="Times New Roman" w:cs="Times New Roman" w:eastAsia="Times New Roman" w:hAnsi="Times New Roman"/>
          <w:sz w:val="20"/>
          <w:szCs w:val="20"/>
          <w:color w:val="auto"/>
        </w:rPr>
      </w:pPr>
    </w:p>
    <w:p>
      <w:pPr>
        <w:jc w:val="both"/>
        <w:ind w:firstLine="2254"/>
        <w:spacing w:after="0" w:line="246" w:lineRule="auto"/>
        <w:tabs>
          <w:tab w:leader="none" w:pos="2546"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auto"/>
        </w:rPr>
        <w:t>(iii)A change in the ownership of a substantial portion of the Company’s assets which occurs on the date that any Person acquires (or has acquired during the twelve (12) month period ending on the date of the most recent acquisition by such person or persons) assets from the Company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jc w:val="both"/>
        <w:spacing w:after="0" w:line="242" w:lineRule="auto"/>
        <w:rPr>
          <w:sz w:val="20"/>
          <w:szCs w:val="20"/>
          <w:color w:val="auto"/>
        </w:rPr>
      </w:pPr>
      <w:r>
        <w:rPr>
          <w:rFonts w:ascii="Times New Roman" w:cs="Times New Roman" w:eastAsia="Times New Roman" w:hAnsi="Times New Roman"/>
          <w:sz w:val="20"/>
          <w:szCs w:val="20"/>
          <w:color w:val="auto"/>
        </w:rPr>
        <w:t>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jc w:val="both"/>
        <w:ind w:right="760" w:firstLine="2246"/>
        <w:spacing w:after="0" w:line="254" w:lineRule="auto"/>
        <w:rPr>
          <w:sz w:val="20"/>
          <w:szCs w:val="20"/>
          <w:color w:val="auto"/>
        </w:rPr>
      </w:pPr>
      <w:r>
        <w:rPr>
          <w:rFonts w:ascii="Times New Roman" w:cs="Times New Roman" w:eastAsia="Times New Roman" w:hAnsi="Times New Roman"/>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4" w:lineRule="exact"/>
        <w:rPr>
          <w:sz w:val="20"/>
          <w:szCs w:val="20"/>
          <w:color w:val="auto"/>
        </w:rPr>
      </w:pPr>
    </w:p>
    <w:p>
      <w:pPr>
        <w:jc w:val="both"/>
        <w:ind w:right="740" w:firstLine="2246"/>
        <w:spacing w:after="0" w:line="249" w:lineRule="auto"/>
        <w:rPr>
          <w:sz w:val="20"/>
          <w:szCs w:val="20"/>
          <w:color w:val="auto"/>
        </w:rPr>
      </w:pPr>
      <w:r>
        <w:rPr>
          <w:rFonts w:ascii="Times New Roman" w:cs="Times New Roman" w:eastAsia="Times New Roman" w:hAnsi="Times New Roman"/>
          <w:sz w:val="20"/>
          <w:szCs w:val="20"/>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80" w:lineRule="exact"/>
        <w:rPr>
          <w:sz w:val="20"/>
          <w:szCs w:val="20"/>
          <w:color w:val="auto"/>
        </w:rPr>
      </w:pPr>
    </w:p>
    <w:p>
      <w:pPr>
        <w:jc w:val="both"/>
        <w:ind w:right="740" w:firstLine="2246"/>
        <w:spacing w:after="0" w:line="249" w:lineRule="auto"/>
        <w:rPr>
          <w:sz w:val="20"/>
          <w:szCs w:val="20"/>
          <w:color w:val="auto"/>
        </w:rPr>
      </w:pPr>
      <w:r>
        <w:rPr>
          <w:rFonts w:ascii="Times New Roman" w:cs="Times New Roman" w:eastAsia="Times New Roman" w:hAnsi="Times New Roman"/>
          <w:sz w:val="20"/>
          <w:szCs w:val="20"/>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505"/>
        <w:spacing w:after="0" w:line="249"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 Section 423 Plan Component</w:t>
      </w:r>
      <w:r>
        <w:rPr>
          <w:rFonts w:ascii="Times New Roman" w:cs="Times New Roman" w:eastAsia="Times New Roman" w:hAnsi="Times New Roman"/>
          <w:sz w:val="20"/>
          <w:szCs w:val="20"/>
          <w:color w:val="auto"/>
        </w:rPr>
        <w:t>” means the component of this Plan that is intended to meet the requirements set forth in Section 423(b) of the Code. The Code Section 423 Plan Component shall be construed, administered and enforced in accordance with Section 423(b) of the Code.</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a committee of the Board appointed in accordance with Section 14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Standard BioTools Inc., a Delaware corporation, or any successor thereto.</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269" w:lineRule="auto"/>
        <w:rPr>
          <w:sz w:val="20"/>
          <w:szCs w:val="20"/>
          <w:color w:val="auto"/>
        </w:rPr>
      </w:pPr>
      <w:r>
        <w:rPr>
          <w:rFonts w:ascii="Times New Roman" w:cs="Times New Roman" w:eastAsia="Times New Roman" w:hAnsi="Times New Roman"/>
          <w:sz w:val="20"/>
          <w:szCs w:val="20"/>
          <w:color w:val="auto"/>
        </w:rPr>
        <w:t>but for purposes of participants participating in the Code Section 423 Plan Component, it will be applied on a uniform, non-discriminatory basis.</w:t>
      </w:r>
    </w:p>
    <w:p>
      <w:pPr>
        <w:spacing w:after="0" w:line="159" w:lineRule="exact"/>
        <w:rPr>
          <w:sz w:val="20"/>
          <w:szCs w:val="20"/>
          <w:color w:val="auto"/>
        </w:rPr>
      </w:pPr>
    </w:p>
    <w:p>
      <w:pPr>
        <w:ind w:firstLine="1505"/>
        <w:spacing w:after="0" w:line="269" w:lineRule="auto"/>
        <w:tabs>
          <w:tab w:leader="none" w:pos="203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Contributions</w:t>
      </w:r>
      <w:r>
        <w:rPr>
          <w:rFonts w:ascii="Times New Roman" w:cs="Times New Roman" w:eastAsia="Times New Roman" w:hAnsi="Times New Roman"/>
          <w:sz w:val="20"/>
          <w:szCs w:val="20"/>
          <w:color w:val="auto"/>
        </w:rPr>
        <w:t>” means the payroll deductions and other additional payments that the Company may permit to be made by a Participant to fund the exercise of options granted pursuant to the Plan.</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Subsidiary</w:t>
      </w:r>
      <w:r>
        <w:rPr>
          <w:rFonts w:ascii="Times New Roman" w:cs="Times New Roman" w:eastAsia="Times New Roman" w:hAnsi="Times New Roman"/>
          <w:sz w:val="20"/>
          <w:szCs w:val="20"/>
          <w:color w:val="auto"/>
        </w:rPr>
        <w:t>” means any Subsidiary that has been designated by the Administrator from time to time in its sole discretion as eligible to participate in the Plan. The Administrator may provide that any Designated Subsidiary shall only be eligible to participate in the Non-423 Plan Component and at any given time, a Subsidiary that is a Designated Subsidiary under the Code Section 423 Plan Component shall not be a Designated Subsidiary under the Non-423 Plan Component.</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 member of the Board.</w:t>
      </w:r>
    </w:p>
    <w:p>
      <w:pPr>
        <w:spacing w:after="0" w:line="215" w:lineRule="exact"/>
        <w:rPr>
          <w:rFonts w:ascii="Times New Roman" w:cs="Times New Roman" w:eastAsia="Times New Roman" w:hAnsi="Times New Roman"/>
          <w:sz w:val="20"/>
          <w:szCs w:val="20"/>
          <w:color w:val="auto"/>
        </w:rPr>
      </w:pPr>
    </w:p>
    <w:p>
      <w:pPr>
        <w:jc w:val="both"/>
        <w:ind w:firstLine="1505"/>
        <w:spacing w:after="0" w:line="258" w:lineRule="auto"/>
        <w:tabs>
          <w:tab w:leader="none" w:pos="2036"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Employee</w:t>
      </w:r>
      <w:r>
        <w:rPr>
          <w:rFonts w:ascii="Times New Roman" w:cs="Times New Roman" w:eastAsia="Times New Roman" w:hAnsi="Times New Roman"/>
          <w:sz w:val="19"/>
          <w:szCs w:val="19"/>
          <w:color w:val="auto"/>
        </w:rPr>
        <w:t>”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w:t>
      </w:r>
    </w:p>
    <w:p>
      <w:pPr>
        <w:jc w:val="both"/>
        <w:ind w:firstLine="8"/>
        <w:spacing w:after="0"/>
        <w:tabs>
          <w:tab w:leader="none" w:pos="28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and one (1) day following the commencement of such leave. The Administrator, in its discretion, from time to time may, prior to an Offering Date for all options to be granted on such Offering Date in an Offering, determine (and for purposes of the Code Section 423 Plan Component, on a uniform and nondiscriminatory basis or as otherwise permitted by Treasury Regulation Section 1.423-2) that the definition of Eligible Employee will or will not include an individual if he or she: (i) customarily works not more than twenty (20) hours per week. (ii) is a highly compensated employee within the meaning of Section 414(q) of the Code, or (iii)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1.423-2(e)(2)(ii). For Offerings under the Non-423 Plan Component, Eligible Employee will also mean any other employee of an Employer to the extent that Applicable Law requires participation in the Plan to be extended to such employee, as determined by the Administrator.</w:t>
      </w:r>
    </w:p>
    <w:p>
      <w:pPr>
        <w:spacing w:after="0" w:line="18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employer of the applicable Eligible Employee(s).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including the rules and regulations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promulgated thereunder.</w:t>
      </w:r>
    </w:p>
    <w:p>
      <w:pPr>
        <w:spacing w:after="0" w:line="19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Date</w:t>
      </w:r>
      <w:r>
        <w:rPr>
          <w:rFonts w:ascii="Times New Roman" w:cs="Times New Roman" w:eastAsia="Times New Roman" w:hAnsi="Times New Roman"/>
          <w:sz w:val="20"/>
          <w:szCs w:val="20"/>
          <w:color w:val="auto"/>
        </w:rPr>
        <w:t>” means the last Trading Day on or before May 31 and November 30 of each Purchase Period.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as of any date and unless the Administrator determines otherwise, the value of Common Stock determined as follows:</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46"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 xml:space="preserve">system on the date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220" w:lineRule="exact"/>
        <w:rPr>
          <w:sz w:val="20"/>
          <w:szCs w:val="20"/>
          <w:color w:val="auto"/>
        </w:rPr>
      </w:pPr>
    </w:p>
    <w:p>
      <w:pPr>
        <w:jc w:val="both"/>
        <w:ind w:firstLine="2254"/>
        <w:spacing w:after="0" w:line="249" w:lineRule="auto"/>
        <w:tabs>
          <w:tab w:leader="none" w:pos="25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Street Journal </w:t>
      </w:r>
      <w:r>
        <w:rPr>
          <w:rFonts w:ascii="Times New Roman" w:cs="Times New Roman" w:eastAsia="Times New Roman" w:hAnsi="Times New Roman"/>
          <w:sz w:val="20"/>
          <w:szCs w:val="20"/>
          <w:color w:val="auto"/>
        </w:rPr>
        <w:t>or such other source as the Administrator deems reliable; or</w:t>
      </w:r>
    </w:p>
    <w:p>
      <w:pPr>
        <w:spacing w:after="0" w:line="180" w:lineRule="exact"/>
        <w:rPr>
          <w:sz w:val="20"/>
          <w:szCs w:val="20"/>
          <w:color w:val="auto"/>
        </w:rPr>
      </w:pPr>
    </w:p>
    <w:p>
      <w:pPr>
        <w:ind w:firstLine="2246"/>
        <w:spacing w:after="0" w:line="269" w:lineRule="auto"/>
        <w:rPr>
          <w:sz w:val="20"/>
          <w:szCs w:val="20"/>
          <w:color w:val="auto"/>
        </w:rPr>
      </w:pPr>
      <w:r>
        <w:rPr>
          <w:rFonts w:ascii="Times New Roman" w:cs="Times New Roman" w:eastAsia="Times New Roman" w:hAnsi="Times New Roman"/>
          <w:sz w:val="20"/>
          <w:szCs w:val="20"/>
          <w:color w:val="auto"/>
        </w:rPr>
        <w:t>(iii)In the absence of an established market for the Common Stock, the Fair Market Value thereof will be determined in good faith by the Administrator.</w:t>
      </w:r>
    </w:p>
    <w:p>
      <w:pPr>
        <w:spacing w:after="0" w:line="159" w:lineRule="exact"/>
        <w:rPr>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Exercise Date</w:t>
      </w:r>
      <w:r>
        <w:rPr>
          <w:rFonts w:ascii="Times New Roman" w:cs="Times New Roman" w:eastAsia="Times New Roman" w:hAnsi="Times New Roman"/>
          <w:sz w:val="20"/>
          <w:szCs w:val="20"/>
          <w:color w:val="auto"/>
        </w:rPr>
        <w:t>” means a new Exercise Date set by shortening any Offering Period then in progress.</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Non-423 Plan Component</w:t>
      </w:r>
      <w:r>
        <w:rPr>
          <w:rFonts w:ascii="Times New Roman" w:cs="Times New Roman" w:eastAsia="Times New Roman" w:hAnsi="Times New Roman"/>
          <w:sz w:val="20"/>
          <w:szCs w:val="20"/>
          <w:color w:val="auto"/>
        </w:rPr>
        <w:t>” means a component of this Plan that is not intended to meet the requirements set forth in Section 423(b) of the Code.</w:t>
      </w:r>
    </w:p>
    <w:p>
      <w:pPr>
        <w:spacing w:after="0" w:line="15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w:t>
      </w:r>
      <w:r>
        <w:rPr>
          <w:rFonts w:ascii="Times New Roman" w:cs="Times New Roman" w:eastAsia="Times New Roman" w:hAnsi="Times New Roman"/>
          <w:sz w:val="20"/>
          <w:szCs w:val="20"/>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 Date</w:t>
      </w:r>
      <w:r>
        <w:rPr>
          <w:rFonts w:ascii="Times New Roman" w:cs="Times New Roman" w:eastAsia="Times New Roman" w:hAnsi="Times New Roman"/>
          <w:sz w:val="20"/>
          <w:szCs w:val="20"/>
          <w:color w:val="auto"/>
        </w:rPr>
        <w:t>” means the first Trading Day of each Offering Period.</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 Periods</w:t>
      </w:r>
      <w:r>
        <w:rPr>
          <w:rFonts w:ascii="Times New Roman" w:cs="Times New Roman" w:eastAsia="Times New Roman" w:hAnsi="Times New Roman"/>
          <w:sz w:val="20"/>
          <w:szCs w:val="20"/>
          <w:color w:val="auto"/>
        </w:rPr>
        <w:t>” means the periods of approximately six (6) months during which an option granted pursuant to the Plan may be exercised, (i) commencing on the first Trading Day on or after May 31 and November 30 of each year and terminating on the first Trading Day on or after May 31 and November 30, approximately six (6) months later. The duration and timing of Offering Periods may be changed pursuant to Sections 4 and 20.</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a “parent corporation,” whether now or hereafter existing, as defined in Section 424(e) of the Code.</w:t>
      </w:r>
    </w:p>
    <w:p>
      <w:pPr>
        <w:spacing w:after="0" w:line="227"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 Eligible Employee who participates in the Plan.</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amended and restated Standard BioTools Inc. 2017 Employee Stock Purchase Plan.</w:t>
      </w:r>
    </w:p>
    <w:p>
      <w:pPr>
        <w:spacing w:after="0" w:line="216" w:lineRule="exact"/>
        <w:rPr>
          <w:sz w:val="20"/>
          <w:szCs w:val="20"/>
          <w:color w:val="auto"/>
        </w:rPr>
      </w:pPr>
    </w:p>
    <w:p>
      <w:pPr>
        <w:jc w:val="both"/>
        <w:ind w:firstLine="1505"/>
        <w:spacing w:after="0" w:line="254" w:lineRule="auto"/>
        <w:tabs>
          <w:tab w:leader="none" w:pos="203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Period</w:t>
      </w:r>
      <w:r>
        <w:rPr>
          <w:rFonts w:ascii="Times New Roman" w:cs="Times New Roman" w:eastAsia="Times New Roman" w:hAnsi="Times New Roman"/>
          <w:sz w:val="20"/>
          <w:szCs w:val="20"/>
          <w:color w:val="auto"/>
        </w:rPr>
        <w:t>” means the period(s) of an Offering Period during which shares of Common Stock may be purchased on a Participant’s behalf in accordance with the terms of the Plan. Unless the Administrator provides otherwise, the Purchase Period will have the same duration and coincide with the length of the Offering Period.</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means an amount equal to eighty-five percent (85%) of the Fair Market Value of a share of Common Stock on the Offering Date or on the Exercise Date, whichever is lower; provided however, that the Purchase Price may be determined for subsequent Offering Periods by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 w:name="page23"/>
    <w:bookmarkEnd w:id="22"/>
    <w:p>
      <w:pPr>
        <w:spacing w:after="0" w:line="269" w:lineRule="auto"/>
        <w:rPr>
          <w:sz w:val="20"/>
          <w:szCs w:val="20"/>
          <w:color w:val="auto"/>
        </w:rPr>
      </w:pPr>
      <w:r>
        <w:rPr>
          <w:rFonts w:ascii="Times New Roman" w:cs="Times New Roman" w:eastAsia="Times New Roman" w:hAnsi="Times New Roman"/>
          <w:sz w:val="20"/>
          <w:szCs w:val="20"/>
          <w:color w:val="auto"/>
        </w:rPr>
        <w:t>the Administrator subject to compliance with Section 423 of the Code (or any successor rule or provision or any other applicable law, regulation or stock exchange rule) or pursuant to Section 20.</w:t>
      </w:r>
    </w:p>
    <w:p>
      <w:pPr>
        <w:spacing w:after="0" w:line="159" w:lineRule="exact"/>
        <w:rPr>
          <w:sz w:val="20"/>
          <w:szCs w:val="20"/>
          <w:color w:val="auto"/>
        </w:rPr>
      </w:pPr>
    </w:p>
    <w:p>
      <w:pPr>
        <w:ind w:left="2040" w:hanging="535"/>
        <w:spacing w:after="0"/>
        <w:tabs>
          <w:tab w:leader="none" w:pos="2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 “subsidiary corporation,” whether now or hereafter existing, as defined in Section 424(f)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Code.</w:t>
      </w:r>
    </w:p>
    <w:p>
      <w:pPr>
        <w:spacing w:after="0" w:line="194" w:lineRule="exact"/>
        <w:rPr>
          <w:sz w:val="20"/>
          <w:szCs w:val="20"/>
          <w:color w:val="auto"/>
        </w:rPr>
      </w:pPr>
    </w:p>
    <w:p>
      <w:pPr>
        <w:ind w:left="2040" w:hanging="535"/>
        <w:spacing w:after="0"/>
        <w:tabs>
          <w:tab w:leader="none" w:pos="20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means a day on which the national stock exchange upon which the Common Stock is listed is open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trading.</w:t>
      </w:r>
    </w:p>
    <w:p>
      <w:pPr>
        <w:spacing w:after="0" w:line="194" w:lineRule="exact"/>
        <w:rPr>
          <w:sz w:val="20"/>
          <w:szCs w:val="20"/>
          <w:color w:val="auto"/>
        </w:rPr>
      </w:pPr>
    </w:p>
    <w:p>
      <w:pPr>
        <w:jc w:val="both"/>
        <w:ind w:firstLine="1505"/>
        <w:spacing w:after="0" w:line="254" w:lineRule="auto"/>
        <w:tabs>
          <w:tab w:leader="none" w:pos="203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Treasury Regulations</w:t>
      </w:r>
      <w:r>
        <w:rPr>
          <w:rFonts w:ascii="Times New Roman" w:cs="Times New Roman" w:eastAsia="Times New Roman" w:hAnsi="Times New Roman"/>
          <w:sz w:val="20"/>
          <w:szCs w:val="20"/>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Offering Periods</w:t>
      </w:r>
      <w:r>
        <w:rPr>
          <w:rFonts w:ascii="Times New Roman" w:cs="Times New Roman" w:eastAsia="Times New Roman" w:hAnsi="Times New Roman"/>
          <w:sz w:val="20"/>
          <w:szCs w:val="20"/>
          <w:color w:val="auto"/>
        </w:rPr>
        <w:t>. Any Eligible Employee on a given Offering Date will be eligible to participate in the Plan, subject to the requirements of Section 5.</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Non-U.S. Employees</w:t>
      </w:r>
      <w:r>
        <w:rPr>
          <w:rFonts w:ascii="Times New Roman" w:cs="Times New Roman" w:eastAsia="Times New Roman" w:hAnsi="Times New Roman"/>
          <w:sz w:val="20"/>
          <w:szCs w:val="20"/>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Offering Periods</w:t>
      </w:r>
      <w:r>
        <w:rPr>
          <w:rFonts w:ascii="Times New Roman" w:cs="Times New Roman" w:eastAsia="Times New Roman" w:hAnsi="Times New Roman"/>
          <w:sz w:val="20"/>
          <w:szCs w:val="20"/>
          <w:color w:val="auto"/>
        </w:rPr>
        <w:t>.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269" w:lineRule="auto"/>
        <w:rPr>
          <w:sz w:val="20"/>
          <w:szCs w:val="20"/>
          <w:color w:val="auto"/>
        </w:rPr>
      </w:pPr>
      <w:r>
        <w:rPr>
          <w:rFonts w:ascii="Times New Roman" w:cs="Times New Roman" w:eastAsia="Times New Roman" w:hAnsi="Times New Roman"/>
          <w:sz w:val="20"/>
          <w:szCs w:val="20"/>
          <w:color w:val="auto"/>
        </w:rPr>
        <w:t xml:space="preserve">similar to the form attached to this Plan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or (ii) following an electronic or other enrollment procedure determined by the Administrator.</w:t>
      </w:r>
    </w:p>
    <w:p>
      <w:pPr>
        <w:spacing w:after="0" w:line="159"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that he or she receives on each pay day during the Offering Period. A Participant’s subscription agreement will remain in effect for successive Offering Periods unless terminated as provided in Section 10 hereof.</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Contributions made for a Participant will be credited to his or her account under the Plan and payroll deductions will be made in whole percentages only. A Participant may not make any additional payments into such account, unless required by Applicable Law.</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necessary to comply with Section 423(b)(8) of the Code and 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for Offerings under the Code Section 423 Plan Component.</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On the Offering Date of each Offering Period, each Eligible Employee participating in such Offering Period will be granted an option to purchase on each Exercise Date during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43" w:lineRule="auto"/>
        <w:rPr>
          <w:sz w:val="20"/>
          <w:szCs w:val="20"/>
          <w:color w:val="auto"/>
        </w:rPr>
      </w:pPr>
      <w:r>
        <w:rPr>
          <w:rFonts w:ascii="Times New Roman" w:cs="Times New Roman" w:eastAsia="Times New Roman" w:hAnsi="Times New Roman"/>
          <w:sz w:val="20"/>
          <w:szCs w:val="20"/>
          <w:color w:val="auto"/>
        </w:rPr>
        <w:t>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 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w:t>
      </w:r>
    </w:p>
    <w:p>
      <w:pPr>
        <w:spacing w:after="0" w:line="186"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60" w:lineRule="auto"/>
        <w:tabs>
          <w:tab w:leader="none" w:pos="2036"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w:t>
      </w:r>
    </w:p>
    <w:p>
      <w:pPr>
        <w:spacing w:after="0" w:line="172"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w:t>
      </w:r>
      <w:r>
        <w:rPr>
          <w:rFonts w:ascii="Times New Roman" w:cs="Times New Roman" w:eastAsia="Times New Roman" w:hAnsi="Times New Roman"/>
          <w:sz w:val="20"/>
          <w:szCs w:val="20"/>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Withdrawal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ind w:firstLine="1505"/>
        <w:spacing w:after="0" w:line="242" w:lineRule="auto"/>
        <w:tabs>
          <w:tab w:leader="none" w:pos="203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to this Plan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or (ii) following an electronic or other withdrawal procedure determined by the Administrator, in each case, at least 10 days prior to the Exercise Date (the “Withdrawal Deadline”).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92"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No interest will accrue on Contributions of a Participant in the Plan, except as may be required by Applicable Law, as determined by the Company, for Participants in the Non-423 Plan Component (or the Code Section 423 Plan Component if permitted under Section 423 of the Code).</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adjustment upon changes in capitalization of the Company as provided in Section 19 hereof, the maximum number of shares of Common Stock that will be made available for sale under the Plan will be 1,200,000 shares of Common Stock plus 342,619 shares of Common Stock issuable under the Plan prior to the amendment and restatement on June 17, 2026.</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to be delivered to a Participant under the Plan will be registered in the name of the Participant or in the name of the Participant and his or her spouse.</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spacing w:after="0" w:line="241" w:lineRule="auto"/>
        <w:rPr>
          <w:sz w:val="20"/>
          <w:szCs w:val="20"/>
          <w:color w:val="auto"/>
        </w:rPr>
      </w:pPr>
      <w:r>
        <w:rPr>
          <w:rFonts w:ascii="Times New Roman" w:cs="Times New Roman" w:eastAsia="Times New Roman" w:hAnsi="Times New Roman"/>
          <w:sz w:val="20"/>
          <w:szCs w:val="20"/>
          <w:color w:val="auto"/>
        </w:rPr>
        <w:t>(including,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7" w:lineRule="exact"/>
        <w:rPr>
          <w:sz w:val="20"/>
          <w:szCs w:val="20"/>
          <w:color w:val="auto"/>
        </w:rPr>
      </w:pPr>
    </w:p>
    <w:p>
      <w:pPr>
        <w:ind w:left="1020" w:hanging="263"/>
        <w:spacing w:after="0"/>
        <w:tabs>
          <w:tab w:leader="none" w:pos="10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Beneficiary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1.423-2(f). All beneficiary designations will be in such form and manner as the Administrator may designate from time to time.</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757"/>
        <w:spacing w:after="0" w:line="249"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Funds</w:t>
      </w:r>
      <w:r>
        <w:rPr>
          <w:rFonts w:ascii="Times New Roman" w:cs="Times New Roman" w:eastAsia="Times New Roman" w:hAnsi="Times New Roman"/>
          <w:sz w:val="20"/>
          <w:szCs w:val="20"/>
          <w:color w:val="auto"/>
        </w:rPr>
        <w:t>.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Dissolution, Liquidation, Merger or Change in Control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w:t>
      </w:r>
      <w:r>
        <w:rPr>
          <w:rFonts w:ascii="Times New Roman" w:cs="Times New Roman" w:eastAsia="Times New Roman" w:hAnsi="Times New Roman"/>
          <w:sz w:val="20"/>
          <w:szCs w:val="20"/>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or Change in Control</w:t>
      </w:r>
      <w:r>
        <w:rPr>
          <w:rFonts w:ascii="Times New Roman" w:cs="Times New Roman" w:eastAsia="Times New Roman" w:hAnsi="Times New Roman"/>
          <w:sz w:val="20"/>
          <w:szCs w:val="20"/>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20"/>
          <w:szCs w:val="20"/>
          <w:color w:val="auto"/>
        </w:rPr>
        <w:t>Periods are terminated prior to expiration, all amounts then credited to Participants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accounts that have not been used to purchase shares of Common Stock will be returned to the Participants (without interest thereon, , except as otherwise required by Applicable Laws) as soon as administratively practicable.</w:t>
      </w:r>
    </w:p>
    <w:p>
      <w:pPr>
        <w:spacing w:after="0" w:line="173" w:lineRule="exact"/>
        <w:rPr>
          <w:sz w:val="20"/>
          <w:szCs w:val="20"/>
          <w:color w:val="auto"/>
        </w:rPr>
      </w:pPr>
    </w:p>
    <w:p>
      <w:pPr>
        <w:jc w:val="both"/>
        <w:ind w:firstLine="1505"/>
        <w:spacing w:after="0" w:line="259" w:lineRule="auto"/>
        <w:tabs>
          <w:tab w:leader="none" w:pos="203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72" w:lineRule="exact"/>
        <w:rPr>
          <w:rFonts w:ascii="Times New Roman" w:cs="Times New Roman" w:eastAsia="Times New Roman" w:hAnsi="Times New Roman"/>
          <w:sz w:val="19"/>
          <w:szCs w:val="19"/>
          <w:color w:val="auto"/>
        </w:rPr>
      </w:pPr>
    </w:p>
    <w:p>
      <w:pPr>
        <w:jc w:val="both"/>
        <w:ind w:firstLine="1505"/>
        <w:spacing w:after="0" w:line="254" w:lineRule="auto"/>
        <w:tabs>
          <w:tab w:leader="none" w:pos="20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4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4"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altering the Purchase Price for any Offering Period or Purchase Period including an Offering Period or Purchase Period underway at the time of the change in Purchase Price;</w:t>
      </w:r>
    </w:p>
    <w:p>
      <w:pPr>
        <w:spacing w:after="0" w:line="159" w:lineRule="exact"/>
        <w:rPr>
          <w:sz w:val="20"/>
          <w:szCs w:val="20"/>
          <w:color w:val="auto"/>
        </w:rPr>
      </w:pPr>
    </w:p>
    <w:p>
      <w:pPr>
        <w:ind w:right="20" w:firstLine="2246"/>
        <w:spacing w:after="0" w:line="269" w:lineRule="auto"/>
        <w:rPr>
          <w:sz w:val="20"/>
          <w:szCs w:val="20"/>
          <w:color w:val="auto"/>
        </w:rPr>
      </w:pPr>
      <w:r>
        <w:rPr>
          <w:rFonts w:ascii="Times New Roman" w:cs="Times New Roman" w:eastAsia="Times New Roman" w:hAnsi="Times New Roman"/>
          <w:sz w:val="20"/>
          <w:szCs w:val="20"/>
          <w:color w:val="auto"/>
        </w:rPr>
        <w:t>(iii)shortening any Offering Period or Purchase Period by setting a New Exercise Date, including an Offering Period or Purchase Period underway at the time of the Administrator action;</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(iv)reducing the maximum percentage of Compensation a Participant may elect to set aside as Contributions; and</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(v) reducing the maximum number of Shares a Participant may purchase during any Offering Period or Purchase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Such modifications or amendments will not require stockholder approval or the consent of any Plan Participants.</w:t>
      </w:r>
    </w:p>
    <w:p>
      <w:pPr>
        <w:spacing w:after="0" w:line="216" w:lineRule="exact"/>
        <w:rPr>
          <w:sz w:val="20"/>
          <w:szCs w:val="20"/>
          <w:color w:val="auto"/>
        </w:rPr>
      </w:pPr>
    </w:p>
    <w:p>
      <w:pPr>
        <w:jc w:val="both"/>
        <w:ind w:firstLine="757"/>
        <w:spacing w:after="0" w:line="254" w:lineRule="auto"/>
        <w:tabs>
          <w:tab w:leader="none" w:pos="10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Upon Issuance of Shares</w:t>
      </w:r>
      <w:r>
        <w:rPr>
          <w:rFonts w:ascii="Times New Roman" w:cs="Times New Roman" w:eastAsia="Times New Roman" w:hAnsi="Times New Roman"/>
          <w:sz w:val="20"/>
          <w:szCs w:val="20"/>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80" w:lineRule="exact"/>
        <w:rPr>
          <w:sz w:val="20"/>
          <w:szCs w:val="20"/>
          <w:color w:val="auto"/>
        </w:rPr>
      </w:pPr>
    </w:p>
    <w:p>
      <w:pPr>
        <w:jc w:val="both"/>
        <w:ind w:firstLine="757"/>
        <w:spacing w:after="0" w:line="242"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xml:space="preserve">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Plan</w:t>
      </w:r>
      <w:r>
        <w:rPr>
          <w:rFonts w:ascii="Times New Roman" w:cs="Times New Roman" w:eastAsia="Times New Roman" w:hAnsi="Times New Roman"/>
          <w:sz w:val="20"/>
          <w:szCs w:val="20"/>
          <w:color w:val="auto"/>
        </w:rPr>
        <w:t>. The Plan will become effective upon its adoption by the Board or its approval by the stockholders of the Company. It will continue in effect until terminated under Section 20.</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Approval</w:t>
      </w:r>
      <w:r>
        <w:rPr>
          <w:rFonts w:ascii="Times New Roman" w:cs="Times New Roman" w:eastAsia="Times New Roman" w:hAnsi="Times New Roman"/>
          <w:sz w:val="20"/>
          <w:szCs w:val="20"/>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Severability</w:t>
      </w:r>
      <w:r>
        <w:rPr>
          <w:rFonts w:ascii="Times New Roman" w:cs="Times New Roman" w:eastAsia="Times New Roman" w:hAnsi="Times New Roman"/>
          <w:sz w:val="20"/>
          <w:szCs w:val="20"/>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Services</w:t>
      </w:r>
      <w:r>
        <w:rPr>
          <w:rFonts w:ascii="Times New Roman" w:cs="Times New Roman" w:eastAsia="Times New Roman" w:hAnsi="Times New Roman"/>
          <w:sz w:val="20"/>
          <w:szCs w:val="20"/>
          <w:color w:val="auto"/>
        </w:rPr>
        <w:t>.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EMPLOYEE STOCK PURCHASE PLAN SUBSCRIPTION AGREEMENT</w:t>
      </w:r>
    </w:p>
    <w:p>
      <w:pPr>
        <w:ind w:left="400"/>
        <w:spacing w:after="0"/>
        <w:rPr>
          <w:sz w:val="20"/>
          <w:szCs w:val="20"/>
          <w:color w:val="auto"/>
        </w:rPr>
      </w:pPr>
      <w:r>
        <w:rPr>
          <w:rFonts w:ascii="Times New Roman" w:cs="Times New Roman" w:eastAsia="Times New Roman" w:hAnsi="Times New Roman"/>
          <w:sz w:val="20"/>
          <w:szCs w:val="20"/>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-24765</wp:posOffset>
            </wp:positionV>
            <wp:extent cx="502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74"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 I,</w:t>
      </w:r>
      <w:r>
        <w:rPr>
          <w:sz w:val="20"/>
          <w:szCs w:val="20"/>
          <w:color w:val="auto"/>
        </w:rPr>
        <w:tab/>
      </w:r>
      <w:r>
        <w:rPr>
          <w:rFonts w:ascii="Times New Roman" w:cs="Times New Roman" w:eastAsia="Times New Roman" w:hAnsi="Times New Roman"/>
          <w:sz w:val="20"/>
          <w:szCs w:val="20"/>
          <w:color w:val="auto"/>
        </w:rPr>
        <w:t>, hereby elect to participate in the Standard BioTools Inc. 2017 Employee Stock Purchase Plan, as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226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subscribe to purchase shares of the Company’s Common Stock in accordance with this Subscription Agreement and the Plan.</w:t>
      </w:r>
    </w:p>
    <w:p>
      <w:pPr>
        <w:spacing w:after="0" w:line="194" w:lineRule="exact"/>
        <w:rPr>
          <w:sz w:val="20"/>
          <w:szCs w:val="20"/>
          <w:color w:val="auto"/>
        </w:rPr>
      </w:pPr>
    </w:p>
    <w:p>
      <w:pPr>
        <w:ind w:right="140" w:firstLine="757"/>
        <w:spacing w:after="0" w:line="269"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authorize payroll deductions from each paycheck in the amount of % of my Compensation on each payday (from 0 to 10%) during the Offering Period in accordance with the Plan. (Please note that no fractional percentages are permitted.)</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received a copy of the complete Plan and its accompanying prospectus. I understand that my participation in the Plan is in all respects subject to the terms of the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 Shares of Common Stock purchased for me under the Plan should be issued in the name(s) of</w:t>
            </w:r>
          </w:p>
        </w:tc>
        <w:tc>
          <w:tcPr>
            <w:tcW w:w="1020" w:type="dxa"/>
            <w:vAlign w:val="bottom"/>
            <w:tcBorders>
              <w:bottom w:val="single" w:sz="8" w:color="auto"/>
            </w:tcBorders>
          </w:tcPr>
          <w:p>
            <w:pPr>
              <w:spacing w:after="0"/>
              <w:rPr>
                <w:sz w:val="19"/>
                <w:szCs w:val="19"/>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(Eligible Employee</w:t>
            </w:r>
          </w:p>
        </w:tc>
      </w:tr>
      <w:tr>
        <w:trPr>
          <w:trHeight w:val="256"/>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or Eligible Employee and Spouse only).</w:t>
            </w:r>
          </w:p>
        </w:tc>
        <w:tc>
          <w:tcPr>
            <w:tcW w:w="1020" w:type="dxa"/>
            <w:vAlign w:val="bottom"/>
          </w:tcPr>
          <w:p>
            <w:pPr>
              <w:spacing w:after="0"/>
              <w:rPr>
                <w:sz w:val="22"/>
                <w:szCs w:val="22"/>
                <w:color w:val="auto"/>
              </w:rPr>
            </w:pPr>
          </w:p>
        </w:tc>
        <w:tc>
          <w:tcPr>
            <w:tcW w:w="1620" w:type="dxa"/>
            <w:vAlign w:val="bottom"/>
          </w:tcPr>
          <w:p>
            <w:pPr>
              <w:spacing w:after="0"/>
              <w:rPr>
                <w:sz w:val="22"/>
                <w:szCs w:val="22"/>
                <w:color w:val="auto"/>
              </w:rPr>
            </w:pPr>
          </w:p>
        </w:tc>
      </w:tr>
    </w:tbl>
    <w:p>
      <w:pPr>
        <w:spacing w:after="0" w:line="187" w:lineRule="exact"/>
        <w:rPr>
          <w:sz w:val="20"/>
          <w:szCs w:val="20"/>
          <w:color w:val="auto"/>
        </w:rPr>
      </w:pPr>
    </w:p>
    <w:p>
      <w:pPr>
        <w:jc w:val="both"/>
        <w:ind w:firstLine="757"/>
        <w:spacing w:after="0" w:line="241"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20"/>
          <w:szCs w:val="20"/>
          <w:u w:val="single" w:color="auto"/>
          <w:color w:val="auto"/>
        </w:rPr>
        <w:t>I hereby agree to notify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Company in writing within thirty (30) days after 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20"/>
          <w:szCs w:val="20"/>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ind w:firstLine="757"/>
        <w:spacing w:after="0" w:line="269"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agree to be bound by the terms of the Plan. The effectiveness of this Subscription Agreement is dependent upon my eligibility to participate in the Plan.</w:t>
      </w:r>
    </w:p>
    <w:p>
      <w:pPr>
        <w:spacing w:after="0" w:line="159"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20"/>
          <w:szCs w:val="20"/>
          <w:color w:val="auto"/>
        </w:rPr>
        <w:t>Employee’s Social Security Number:</w:t>
      </w:r>
      <w:r>
        <w:rPr>
          <w:sz w:val="20"/>
          <w:szCs w:val="20"/>
          <w:color w:val="auto"/>
        </w:rPr>
        <w:tab/>
      </w:r>
      <w:r>
        <w:rPr>
          <w:rFonts w:ascii="Times New Roman" w:cs="Times New Roman" w:eastAsia="Times New Roman" w:hAnsi="Times New Roman"/>
          <w:sz w:val="19"/>
          <w:szCs w:val="19"/>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-10795</wp:posOffset>
            </wp:positionV>
            <wp:extent cx="251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-10795</wp:posOffset>
            </wp:positionV>
            <wp:extent cx="251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920"/>
        <w:spacing w:after="0" w:line="269" w:lineRule="auto"/>
        <w:rPr>
          <w:sz w:val="20"/>
          <w:szCs w:val="20"/>
          <w:color w:val="auto"/>
        </w:rPr>
      </w:pPr>
      <w:r>
        <w:rPr>
          <w:rFonts w:ascii="Times New Roman" w:cs="Times New Roman" w:eastAsia="Times New Roman" w:hAnsi="Times New Roman"/>
          <w:sz w:val="20"/>
          <w:szCs w:val="20"/>
          <w:color w:val="auto"/>
        </w:rPr>
        <w:t>I UNDERSTAND THAT THIS SUBSCRIPTION AGREEMENT WILL REMAIN IN EFFECT THROUGHOUT SUCCESSIVE OFFERING PERIODS UNLESS TERMINATED BY 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36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-10795</wp:posOffset>
            </wp:positionV>
            <wp:extent cx="251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left="508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ind w:left="2260"/>
        <w:spacing w:after="0"/>
        <w:rPr>
          <w:sz w:val="20"/>
          <w:szCs w:val="20"/>
          <w:color w:val="auto"/>
        </w:rPr>
      </w:pPr>
      <w:r>
        <w:rPr>
          <w:rFonts w:ascii="Times New Roman" w:cs="Times New Roman" w:eastAsia="Times New Roman" w:hAnsi="Times New Roman"/>
          <w:sz w:val="20"/>
          <w:szCs w:val="20"/>
          <w:b w:val="1"/>
          <w:bCs w:val="1"/>
          <w:color w:val="auto"/>
        </w:rPr>
        <w:t>2017 EMPLOYEE STOCK PURCHASE PLAN NOTICE OF WITHDRAWAL</w:t>
      </w:r>
    </w:p>
    <w:p>
      <w:pPr>
        <w:spacing w:after="0"/>
        <w:rPr>
          <w:sz w:val="20"/>
          <w:szCs w:val="20"/>
          <w:color w:val="auto"/>
        </w:rPr>
      </w:pPr>
      <w:r>
        <w:rPr>
          <w:rFonts w:ascii="Times New Roman" w:cs="Times New Roman" w:eastAsia="Times New Roman" w:hAnsi="Times New Roman"/>
          <w:sz w:val="20"/>
          <w:szCs w:val="20"/>
          <w:color w:val="auto"/>
        </w:rPr>
        <w:t>The undersigned participant in the Offering Period of the Standard BioTools Inc. 2017 Employee Stock Purchase Plan, as</w:t>
      </w:r>
    </w:p>
    <w:p>
      <w:pPr>
        <w:jc w:val="both"/>
        <w:ind w:right="19"/>
        <w:spacing w:after="0"/>
        <w:rPr>
          <w:sz w:val="20"/>
          <w:szCs w:val="20"/>
          <w:color w:val="auto"/>
        </w:rPr>
      </w:pPr>
      <w:r>
        <w:rPr>
          <w:rFonts w:ascii="Times New Roman" w:cs="Times New Roman" w:eastAsia="Times New Roman" w:hAnsi="Times New Roman"/>
          <w:sz w:val="20"/>
          <w:szCs w:val="20"/>
          <w:color w:val="auto"/>
        </w:rPr>
        <w:t>amended, that began on , (the “</w:t>
      </w:r>
      <w:r>
        <w:rPr>
          <w:rFonts w:ascii="Times New Roman" w:cs="Times New Roman" w:eastAsia="Times New Roman" w:hAnsi="Times New Roman"/>
          <w:sz w:val="20"/>
          <w:szCs w:val="20"/>
          <w:u w:val="single" w:color="auto"/>
          <w:color w:val="auto"/>
        </w:rPr>
        <w:t>Enrollment Date</w:t>
      </w:r>
      <w:r>
        <w:rPr>
          <w:rFonts w:ascii="Times New Roman" w:cs="Times New Roman" w:eastAsia="Times New Roman" w:hAnsi="Times New Roman"/>
          <w:sz w:val="20"/>
          <w:szCs w:val="20"/>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-755015</wp:posOffset>
            </wp:positionV>
            <wp:extent cx="188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and Address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tabs>
          <w:tab w:leader="none" w:pos="646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-10795</wp:posOffset>
            </wp:positionV>
            <wp:extent cx="205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4422140</wp:posOffset>
            </wp:positionH>
            <wp:positionV relativeFrom="paragraph">
              <wp:posOffset>-10795</wp:posOffset>
            </wp:positionV>
            <wp:extent cx="167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7640" cy="8890"/>
                    </a:xfrm>
                    <a:prstGeom prst="rect">
                      <a:avLst/>
                    </a:prstGeom>
                    <a:noFill/>
                  </pic:spPr>
                </pic:pic>
              </a:graphicData>
            </a:graphic>
          </wp:anchor>
        </w:drawing>
      </w:r>
    </w:p>
    <w:p>
      <w:pPr>
        <w:spacing w:after="0" w:line="3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3F2DBA31"/>
    <w:multiLevelType w:val="hybridMultilevel"/>
    <w:lvl w:ilvl="0">
      <w:lvlJc w:val="left"/>
      <w:lvlText w:val="(%1)"/>
      <w:numFmt w:val="lowerLetter"/>
      <w:start w:val="5"/>
    </w:lvl>
  </w:abstractNum>
  <w:abstractNum w:abstractNumId="8">
    <w:nsid w:val="7C83E458"/>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9">
    <w:nsid w:val="257130A3"/>
    <w:multiLevelType w:val="hybridMultilevel"/>
    <w:lvl w:ilvl="0">
      <w:lvlJc w:val="left"/>
      <w:lvlText w:val="(%1)"/>
      <w:numFmt w:val="decimal"/>
      <w:start w:val="3"/>
    </w:lvl>
    <w:lvl w:ilvl="1">
      <w:lvlJc w:val="left"/>
      <w:lvlText w:val="(%2)"/>
      <w:numFmt w:val="lowerLetter"/>
      <w:start w:val="15"/>
    </w:lvl>
    <w:lvl w:ilvl="2">
      <w:lvlJc w:val="left"/>
      <w:lvlText w:val="(%3)"/>
      <w:numFmt w:val="lowerLetter"/>
      <w:start w:val="9"/>
    </w:lvl>
  </w:abstractNum>
  <w:abstractNum w:abstractNumId="10">
    <w:nsid w:val="62BBD95A"/>
    <w:multiLevelType w:val="hybridMultilevel"/>
    <w:lvl w:ilvl="0">
      <w:lvlJc w:val="left"/>
      <w:lvlText w:val="(%1)"/>
      <w:numFmt w:val="lowerRoman"/>
      <w:start w:val="2"/>
    </w:lvl>
  </w:abstractNum>
  <w:abstractNum w:abstractNumId="11">
    <w:nsid w:val="436C6125"/>
    <w:multiLevelType w:val="hybridMultilevel"/>
    <w:lvl w:ilvl="0">
      <w:lvlJc w:val="left"/>
      <w:lvlText w:val="(%1)"/>
      <w:numFmt w:val="lowerLetter"/>
      <w:start w:val="19"/>
    </w:lvl>
  </w:abstractNum>
  <w:abstractNum w:abstractNumId="12">
    <w:nsid w:val="628C895D"/>
    <w:multiLevelType w:val="hybridMultilevel"/>
    <w:lvl w:ilvl="0">
      <w:lvlJc w:val="left"/>
      <w:lvlText w:val="(%1)"/>
      <w:numFmt w:val="lowerLetter"/>
      <w:start w:val="27"/>
    </w:lvl>
  </w:abstractNum>
  <w:abstractNum w:abstractNumId="13">
    <w:nsid w:val="333AB105"/>
    <w:multiLevelType w:val="hybridMultilevel"/>
    <w:lvl w:ilvl="0">
      <w:lvlJc w:val="left"/>
      <w:lvlText w:val="(%1)"/>
      <w:numFmt w:val="lowerLetter"/>
      <w:start w:val="29"/>
    </w:lvl>
  </w:abstractNum>
  <w:abstractNum w:abstractNumId="14">
    <w:nsid w:val="721DA317"/>
    <w:multiLevelType w:val="hybridMultilevel"/>
    <w:lvl w:ilvl="0">
      <w:lvlJc w:val="left"/>
      <w:lvlText w:val="(%1)"/>
      <w:numFmt w:val="lowerLetter"/>
      <w:start w:val="30"/>
    </w:lvl>
  </w:abstractNum>
  <w:abstractNum w:abstractNumId="15">
    <w:nsid w:val="2443A858"/>
    <w:multiLevelType w:val="hybridMultilevel"/>
    <w:lvl w:ilvl="0">
      <w:lvlJc w:val="left"/>
      <w:lvlText w:val="%1"/>
      <w:numFmt w:val="decimal"/>
      <w:start w:val="1"/>
    </w:lvl>
    <w:lvl w:ilvl="1">
      <w:lvlJc w:val="left"/>
      <w:lvlText w:val="(%2)"/>
      <w:numFmt w:val="lowerLetter"/>
      <w:start w:val="31"/>
    </w:lvl>
  </w:abstractNum>
  <w:abstractNum w:abstractNumId="16">
    <w:nsid w:val="2D1D5AE9"/>
    <w:multiLevelType w:val="hybridMultilevel"/>
    <w:lvl w:ilvl="0">
      <w:lvlJc w:val="left"/>
      <w:lvlText w:val="%1."/>
      <w:numFmt w:val="decimal"/>
      <w:start w:val="3"/>
    </w:lvl>
    <w:lvl w:ilvl="1">
      <w:lvlJc w:val="left"/>
      <w:lvlText w:val="(%2)"/>
      <w:numFmt w:val="lowerLetter"/>
      <w:start w:val="1"/>
    </w:lvl>
  </w:abstractNum>
  <w:abstractNum w:abstractNumId="17">
    <w:nsid w:val="6763845E"/>
    <w:multiLevelType w:val="hybridMultilevel"/>
    <w:lvl w:ilvl="0">
      <w:lvlJc w:val="left"/>
      <w:lvlText w:val="%1."/>
      <w:numFmt w:val="decimal"/>
      <w:start w:val="6"/>
    </w:lvl>
    <w:lvl w:ilvl="1">
      <w:lvlJc w:val="left"/>
      <w:lvlText w:val="(%2)"/>
      <w:numFmt w:val="lowerLetter"/>
      <w:start w:val="1"/>
    </w:lvl>
  </w:abstractNum>
  <w:abstractNum w:abstractNumId="18">
    <w:nsid w:val="75A2A8D4"/>
    <w:multiLevelType w:val="hybridMultilevel"/>
    <w:lvl w:ilvl="0">
      <w:lvlJc w:val="left"/>
      <w:lvlText w:val="%1."/>
      <w:numFmt w:val="decimal"/>
      <w:start w:val="8"/>
    </w:lvl>
    <w:lvl w:ilvl="1">
      <w:lvlJc w:val="left"/>
      <w:lvlText w:val="(%2)"/>
      <w:numFmt w:val="lowerLetter"/>
      <w:start w:val="1"/>
    </w:lvl>
  </w:abstractNum>
  <w:abstractNum w:abstractNumId="19">
    <w:nsid w:val="8EDBDAB"/>
    <w:multiLevelType w:val="hybridMultilevel"/>
    <w:lvl w:ilvl="0">
      <w:lvlJc w:val="left"/>
      <w:lvlText w:val="%1"/>
      <w:numFmt w:val="decimal"/>
      <w:start w:val="1"/>
    </w:lvl>
    <w:lvl w:ilvl="1">
      <w:lvlJc w:val="left"/>
      <w:lvlText w:val="(%2)"/>
      <w:numFmt w:val="lowerLetter"/>
      <w:start w:val="1"/>
    </w:lvl>
  </w:abstractNum>
  <w:abstractNum w:abstractNumId="20">
    <w:nsid w:val="79838CB2"/>
    <w:multiLevelType w:val="hybridMultilevel"/>
    <w:lvl w:ilvl="0">
      <w:lvlJc w:val="left"/>
      <w:lvlText w:val="%1."/>
      <w:numFmt w:val="decimal"/>
      <w:start w:val="11"/>
    </w:lvl>
    <w:lvl w:ilvl="1">
      <w:lvlJc w:val="left"/>
      <w:lvlText w:val="(%2)"/>
      <w:numFmt w:val="lowerLetter"/>
      <w:start w:val="1"/>
    </w:lvl>
  </w:abstractNum>
  <w:abstractNum w:abstractNumId="21">
    <w:nsid w:val="4353D0CD"/>
    <w:multiLevelType w:val="hybridMultilevel"/>
    <w:lvl w:ilvl="0">
      <w:lvlJc w:val="left"/>
      <w:lvlText w:val="%1."/>
      <w:numFmt w:val="decimal"/>
      <w:start w:val="15"/>
    </w:lvl>
    <w:lvl w:ilvl="1">
      <w:lvlJc w:val="left"/>
      <w:lvlText w:val="(%2)"/>
      <w:numFmt w:val="lowerLetter"/>
      <w:start w:val="1"/>
    </w:lvl>
  </w:abstractNum>
  <w:abstractNum w:abstractNumId="22">
    <w:nsid w:val="B03E0C6"/>
    <w:multiLevelType w:val="hybridMultilevel"/>
    <w:lvl w:ilvl="0">
      <w:lvlJc w:val="left"/>
      <w:lvlText w:val="%1."/>
      <w:numFmt w:val="decimal"/>
      <w:start w:val="17"/>
    </w:lvl>
    <w:lvl w:ilvl="1">
      <w:lvlJc w:val="left"/>
      <w:lvlText w:val="(%2)"/>
      <w:numFmt w:val="lowerLetter"/>
      <w:start w:val="1"/>
    </w:lvl>
  </w:abstractNum>
  <w:abstractNum w:abstractNumId="23">
    <w:nsid w:val="189A769B"/>
    <w:multiLevelType w:val="hybridMultilevel"/>
    <w:lvl w:ilvl="0">
      <w:lvlJc w:val="left"/>
      <w:lvlText w:val="(%1)"/>
      <w:numFmt w:val="lowerLetter"/>
      <w:start w:val="2"/>
    </w:lvl>
    <w:lvl w:ilvl="1">
      <w:lvlJc w:val="left"/>
      <w:lvlText w:val="(%2)"/>
      <w:numFmt w:val="lowerRoman"/>
      <w:start w:val="1"/>
    </w:lvl>
  </w:abstractNum>
  <w:abstractNum w:abstractNumId="24">
    <w:nsid w:val="54E49EB4"/>
    <w:multiLevelType w:val="hybridMultilevel"/>
    <w:lvl w:ilvl="0">
      <w:lvlJc w:val="left"/>
      <w:lvlText w:val="%1."/>
      <w:numFmt w:val="decimal"/>
      <w:start w:val="21"/>
    </w:lvl>
  </w:abstractNum>
  <w:abstractNum w:abstractNumId="25">
    <w:nsid w:val="71F32454"/>
    <w:multiLevelType w:val="hybridMultilevel"/>
    <w:lvl w:ilvl="0">
      <w:lvlJc w:val="left"/>
      <w:lvlText w:val="%1."/>
      <w:numFmt w:val="decimal"/>
      <w:start w:val="23"/>
    </w:lvl>
  </w:abstractNum>
  <w:abstractNum w:abstractNumId="26">
    <w:nsid w:val="2CA88611"/>
    <w:multiLevelType w:val="hybridMultilevel"/>
    <w:lvl w:ilvl="0">
      <w:lvlJc w:val="left"/>
      <w:lvlText w:val="%1."/>
      <w:numFmt w:val="decimal"/>
      <w:start w:val="2"/>
    </w:lvl>
  </w:abstractNum>
  <w:abstractNum w:abstractNumId="27">
    <w:nsid w:val="836C40E"/>
    <w:multiLevelType w:val="hybridMultilevel"/>
    <w:lvl w:ilvl="0">
      <w:lvlJc w:val="left"/>
      <w:lvlText w:val="%1."/>
      <w:numFmt w:val="decimal"/>
      <w:start w:val="6"/>
    </w:lvl>
  </w:abstractNum>
  <w:abstractNum w:abstractNumId="28">
    <w:nsid w:val="2901D8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2026-06-18T15:53:55Z</dcterms:created>
  <dcterms:modified xsi:type="dcterms:W3CDTF">2026-06-18T15:53:55Z</dcterms:modified>
</cp:coreProperties>
</file>