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0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ind w:left="4725"/>
        <w:spacing w:after="0"/>
        <w:rPr>
          <w:sz w:val="20"/>
          <w:szCs w:val="20"/>
          <w:color w:val="auto"/>
        </w:rPr>
      </w:pPr>
      <w:r>
        <w:rPr>
          <w:rFonts w:ascii="Times New Roman" w:cs="Times New Roman" w:eastAsia="Times New Roman" w:hAnsi="Times New Roman"/>
          <w:sz w:val="9"/>
          <w:szCs w:val="9"/>
          <w:color w:val="auto"/>
        </w:rPr>
        <w:t>______________________________________</w:t>
      </w:r>
    </w:p>
    <w:p>
      <w:pPr>
        <w:spacing w:after="0" w:line="1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405" w:right="3360" w:hanging="4404"/>
        <w:spacing w:after="0" w:line="248" w:lineRule="auto"/>
        <w:tabs>
          <w:tab w:leader="none" w:pos="18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jc w:val="center"/>
        <w:ind w:right="-4"/>
        <w:spacing w:after="0" w:line="232" w:lineRule="auto"/>
        <w:rPr>
          <w:sz w:val="20"/>
          <w:szCs w:val="20"/>
          <w:color w:val="auto"/>
        </w:rPr>
      </w:pPr>
      <w:r>
        <w:rPr>
          <w:rFonts w:ascii="Times New Roman" w:cs="Times New Roman" w:eastAsia="Times New Roman" w:hAnsi="Times New Roman"/>
          <w:sz w:val="19"/>
          <w:szCs w:val="19"/>
          <w:b w:val="1"/>
          <w:bCs w:val="1"/>
          <w:color w:val="auto"/>
        </w:rPr>
        <w:t>or</w:t>
      </w:r>
    </w:p>
    <w:p>
      <w:pPr>
        <w:spacing w:after="0" w:line="1" w:lineRule="exact"/>
        <w:rPr>
          <w:sz w:val="24"/>
          <w:szCs w:val="24"/>
          <w:color w:val="auto"/>
        </w:rPr>
      </w:pPr>
    </w:p>
    <w:p>
      <w:pPr>
        <w:ind w:left="185" w:hanging="185"/>
        <w:spacing w:after="0"/>
        <w:tabs>
          <w:tab w:leader="none" w:pos="185"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20" w:lineRule="exact"/>
        <w:rPr>
          <w:sz w:val="24"/>
          <w:szCs w:val="24"/>
          <w:color w:val="auto"/>
        </w:rPr>
      </w:pPr>
    </w:p>
    <w:p>
      <w:pPr>
        <w:ind w:left="4565"/>
        <w:spacing w:after="0"/>
        <w:rPr>
          <w:sz w:val="20"/>
          <w:szCs w:val="20"/>
          <w:color w:val="auto"/>
        </w:rPr>
      </w:pPr>
      <w:r>
        <w:rPr>
          <w:rFonts w:ascii="Times New Roman" w:cs="Times New Roman" w:eastAsia="Times New Roman" w:hAnsi="Times New Roman"/>
          <w:sz w:val="9"/>
          <w:szCs w:val="9"/>
          <w:color w:val="auto"/>
        </w:rPr>
        <w:t>_____________________________________________</w:t>
      </w:r>
    </w:p>
    <w:p>
      <w:pPr>
        <w:spacing w:after="0" w:line="1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82550</wp:posOffset>
            </wp:positionV>
            <wp:extent cx="130683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6830" cy="930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STANDARD BIOTOOLS INC.</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245"/>
          </w:cols>
          <w:pgMar w:left="315" w:top="968" w:right="339" w:bottom="1440" w:gutter="0" w:footer="0" w:header="0"/>
        </w:sectPr>
      </w:pPr>
    </w:p>
    <w:p>
      <w:pPr>
        <w:spacing w:after="0" w:line="63" w:lineRule="exact"/>
        <w:rPr>
          <w:sz w:val="24"/>
          <w:szCs w:val="24"/>
          <w:color w:val="auto"/>
        </w:rPr>
      </w:pPr>
    </w:p>
    <w:p>
      <w:pPr>
        <w:jc w:val="center"/>
        <w:ind w:right="715"/>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6" w:lineRule="exact"/>
        <w:rPr>
          <w:sz w:val="24"/>
          <w:szCs w:val="24"/>
          <w:color w:val="auto"/>
        </w:rPr>
      </w:pPr>
    </w:p>
    <w:p>
      <w:pPr>
        <w:jc w:val="center"/>
        <w:ind w:right="715"/>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1"/>
          <w:szCs w:val="11"/>
          <w:b w:val="1"/>
          <w:bCs w:val="1"/>
          <w:color w:val="auto"/>
        </w:rPr>
        <w:t>77-0513190</w:t>
      </w:r>
    </w:p>
    <w:p>
      <w:pPr>
        <w:spacing w:after="0" w:line="6"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0"/>
          <w:szCs w:val="10"/>
          <w:color w:val="auto"/>
        </w:rPr>
        <w:t>I.R.S. Employer Identification No.</w:t>
      </w:r>
    </w:p>
    <w:p>
      <w:pPr>
        <w:spacing w:after="0" w:line="95" w:lineRule="exact"/>
        <w:rPr>
          <w:sz w:val="24"/>
          <w:szCs w:val="24"/>
          <w:color w:val="auto"/>
        </w:rPr>
      </w:pPr>
    </w:p>
    <w:p>
      <w:pPr>
        <w:sectPr>
          <w:pgSz w:w="11900" w:h="16838" w:orient="portrait"/>
          <w:cols w:equalWidth="0" w:num="2">
            <w:col w:w="6825" w:space="720"/>
            <w:col w:w="3700"/>
          </w:cols>
          <w:pgMar w:left="315" w:top="968" w:right="339" w:bottom="1440" w:gutter="0" w:footer="0" w:header="0"/>
          <w:type w:val="continuous"/>
        </w:sectPr>
      </w:pPr>
    </w:p>
    <w:p>
      <w:pPr>
        <w:ind w:left="1165"/>
        <w:spacing w:after="0"/>
        <w:tabs>
          <w:tab w:leader="none" w:pos="3545" w:val="left"/>
        </w:tabs>
        <w:rPr>
          <w:sz w:val="20"/>
          <w:szCs w:val="20"/>
          <w:color w:val="auto"/>
        </w:rPr>
      </w:pPr>
      <w:r>
        <w:rPr>
          <w:rFonts w:ascii="Times New Roman" w:cs="Times New Roman" w:eastAsia="Times New Roman" w:hAnsi="Times New Roman"/>
          <w:sz w:val="11"/>
          <w:szCs w:val="11"/>
          <w:b w:val="1"/>
          <w:bCs w:val="1"/>
          <w:color w:val="auto"/>
        </w:rPr>
        <w:t>2 Tower Place, Suite 2000</w:t>
      </w:r>
      <w:r>
        <w:rPr>
          <w:sz w:val="20"/>
          <w:szCs w:val="20"/>
          <w:color w:val="auto"/>
        </w:rPr>
        <w:tab/>
      </w:r>
      <w:r>
        <w:rPr>
          <w:rFonts w:ascii="Times New Roman" w:cs="Times New Roman" w:eastAsia="Times New Roman" w:hAnsi="Times New Roman"/>
          <w:sz w:val="11"/>
          <w:szCs w:val="11"/>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CA</w:t>
      </w:r>
    </w:p>
    <w:p>
      <w:pPr>
        <w:spacing w:after="0" w:line="20" w:lineRule="exact"/>
        <w:rPr>
          <w:sz w:val="24"/>
          <w:szCs w:val="24"/>
          <w:color w:val="auto"/>
        </w:rPr>
      </w:pPr>
      <w:r>
        <w:rPr>
          <w:sz w:val="24"/>
          <w:szCs w:val="24"/>
          <w:color w:val="auto"/>
        </w:rPr>
        <w:br w:type="column"/>
      </w:r>
    </w:p>
    <w:p>
      <w:pPr>
        <w:jc w:val="center"/>
        <w:ind w:right="2800"/>
        <w:spacing w:after="0"/>
        <w:rPr>
          <w:sz w:val="20"/>
          <w:szCs w:val="20"/>
          <w:color w:val="auto"/>
        </w:rPr>
      </w:pPr>
      <w:r>
        <w:rPr>
          <w:rFonts w:ascii="Times New Roman" w:cs="Times New Roman" w:eastAsia="Times New Roman" w:hAnsi="Times New Roman"/>
          <w:sz w:val="11"/>
          <w:szCs w:val="11"/>
          <w:b w:val="1"/>
          <w:bCs w:val="1"/>
          <w:color w:val="auto"/>
        </w:rPr>
        <w:t>94080</w:t>
      </w:r>
    </w:p>
    <w:p>
      <w:pPr>
        <w:spacing w:after="0" w:line="29" w:lineRule="exact"/>
        <w:rPr>
          <w:sz w:val="24"/>
          <w:szCs w:val="24"/>
          <w:color w:val="auto"/>
        </w:rPr>
      </w:pPr>
    </w:p>
    <w:p>
      <w:pPr>
        <w:sectPr>
          <w:pgSz w:w="11900" w:h="16838" w:orient="portrait"/>
          <w:cols w:equalWidth="0" w:num="3">
            <w:col w:w="4565" w:space="560"/>
            <w:col w:w="2320" w:space="720"/>
            <w:col w:w="3080"/>
          </w:cols>
          <w:pgMar w:left="315" w:top="968" w:right="339" w:bottom="1440" w:gutter="0" w:footer="0" w:header="0"/>
          <w:type w:val="continuous"/>
        </w:sectPr>
      </w:pPr>
    </w:p>
    <w:p>
      <w:pPr>
        <w:ind w:left="222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color w:val="auto"/>
        </w:rPr>
        <w:t>Zip Code</w:t>
      </w:r>
    </w:p>
    <w:p>
      <w:pPr>
        <w:spacing w:after="0" w:line="12" w:lineRule="exact"/>
        <w:rPr>
          <w:sz w:val="24"/>
          <w:szCs w:val="24"/>
          <w:color w:val="auto"/>
        </w:rPr>
      </w:pPr>
    </w:p>
    <w:p>
      <w:pPr>
        <w:sectPr>
          <w:pgSz w:w="11900" w:h="16838" w:orient="portrait"/>
          <w:cols w:equalWidth="0" w:num="2">
            <w:col w:w="7385" w:space="720"/>
            <w:col w:w="3140"/>
          </w:cols>
          <w:pgMar w:left="315" w:top="968" w:right="339" w:bottom="1440" w:gutter="0" w:footer="0" w:header="0"/>
          <w:type w:val="continuous"/>
        </w:sectPr>
      </w:pPr>
    </w:p>
    <w:p>
      <w:pPr>
        <w:jc w:val="center"/>
        <w:ind w:right="15"/>
        <w:spacing w:after="0" w:line="236" w:lineRule="auto"/>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(650) 266-6000</w:t>
      </w:r>
    </w:p>
    <w:p>
      <w:pPr>
        <w:ind w:left="4565"/>
        <w:spacing w:after="0"/>
        <w:rPr>
          <w:sz w:val="20"/>
          <w:szCs w:val="20"/>
          <w:color w:val="auto"/>
        </w:rPr>
      </w:pPr>
      <w:r>
        <w:rPr>
          <w:rFonts w:ascii="Times New Roman" w:cs="Times New Roman" w:eastAsia="Times New Roman" w:hAnsi="Times New Roman"/>
          <w:sz w:val="9"/>
          <w:szCs w:val="9"/>
          <w:color w:val="auto"/>
        </w:rPr>
        <w:t>_____________________________________________</w:t>
      </w:r>
    </w:p>
    <w:p>
      <w:pPr>
        <w:spacing w:after="0" w:line="20" w:lineRule="exact"/>
        <w:rPr>
          <w:sz w:val="24"/>
          <w:szCs w:val="24"/>
          <w:color w:val="auto"/>
        </w:rPr>
      </w:pPr>
    </w:p>
    <w:p>
      <w:pPr>
        <w:jc w:val="center"/>
        <w:ind w:right="-24"/>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ectPr>
          <w:pgSz w:w="11900" w:h="16838" w:orient="portrait"/>
          <w:cols w:equalWidth="0" w:num="1">
            <w:col w:w="11245"/>
          </w:cols>
          <w:pgMar w:left="315" w:top="968" w:right="339" w:bottom="1440" w:gutter="0" w:footer="0" w:header="0"/>
          <w:type w:val="continuous"/>
        </w:sectPr>
      </w:pPr>
    </w:p>
    <w:p>
      <w:pPr>
        <w:spacing w:after="0" w:line="79" w:lineRule="exact"/>
        <w:rPr>
          <w:sz w:val="24"/>
          <w:szCs w:val="24"/>
          <w:color w:val="auto"/>
        </w:rPr>
      </w:pPr>
    </w:p>
    <w:p>
      <w:pPr>
        <w:jc w:val="center"/>
        <w:ind w:left="125"/>
        <w:spacing w:after="0"/>
        <w:rPr>
          <w:sz w:val="20"/>
          <w:szCs w:val="20"/>
          <w:color w:val="auto"/>
        </w:rPr>
      </w:pPr>
      <w:r>
        <w:rPr>
          <w:rFonts w:ascii="Times New Roman" w:cs="Times New Roman" w:eastAsia="Times New Roman" w:hAnsi="Times New Roman"/>
          <w:sz w:val="11"/>
          <w:szCs w:val="11"/>
          <w:color w:val="auto"/>
        </w:rPr>
        <w:t>Title of each class</w:t>
      </w:r>
    </w:p>
    <w:p>
      <w:pPr>
        <w:spacing w:after="0" w:line="4" w:lineRule="exact"/>
        <w:rPr>
          <w:sz w:val="24"/>
          <w:szCs w:val="24"/>
          <w:color w:val="auto"/>
        </w:rPr>
      </w:pPr>
    </w:p>
    <w:p>
      <w:pPr>
        <w:jc w:val="center"/>
        <w:ind w:left="125"/>
        <w:spacing w:after="0"/>
        <w:rPr>
          <w:sz w:val="20"/>
          <w:szCs w:val="20"/>
          <w:color w:val="auto"/>
        </w:rPr>
      </w:pPr>
      <w:r>
        <w:rPr>
          <w:rFonts w:ascii="Times New Roman" w:cs="Times New Roman" w:eastAsia="Times New Roman" w:hAnsi="Times New Roman"/>
          <w:sz w:val="11"/>
          <w:szCs w:val="11"/>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1"/>
          <w:szCs w:val="11"/>
          <w:color w:val="auto"/>
        </w:rPr>
        <w:t>Trading Symbol(s)</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1"/>
          <w:szCs w:val="11"/>
          <w:b w:val="1"/>
          <w:bCs w:val="1"/>
          <w:color w:val="auto"/>
        </w:rPr>
        <w:t>LAB</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4"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The Nasdaq Global Select Market</w:t>
      </w:r>
    </w:p>
    <w:p>
      <w:pPr>
        <w:spacing w:after="0" w:line="1" w:lineRule="exact"/>
        <w:rPr>
          <w:sz w:val="24"/>
          <w:szCs w:val="24"/>
          <w:color w:val="auto"/>
        </w:rPr>
      </w:pPr>
    </w:p>
    <w:p>
      <w:pPr>
        <w:sectPr>
          <w:pgSz w:w="11900" w:h="16838" w:orient="portrait"/>
          <w:cols w:equalWidth="0" w:num="3">
            <w:col w:w="4325" w:space="720"/>
            <w:col w:w="1940" w:space="720"/>
            <w:col w:w="3540"/>
          </w:cols>
          <w:pgMar w:left="315" w:top="968" w:right="339" w:bottom="1440" w:gutter="0" w:footer="0" w:header="0"/>
          <w:type w:val="continuous"/>
        </w:sectPr>
      </w:pPr>
    </w:p>
    <w:p>
      <w:pPr>
        <w:jc w:val="center"/>
        <w:ind w:right="-24"/>
        <w:spacing w:after="0" w:line="224" w:lineRule="auto"/>
        <w:rPr>
          <w:sz w:val="20"/>
          <w:szCs w:val="20"/>
          <w:color w:val="auto"/>
        </w:rPr>
      </w:pPr>
      <w:r>
        <w:rPr>
          <w:rFonts w:ascii="Times New Roman" w:cs="Times New Roman" w:eastAsia="Times New Roman" w:hAnsi="Times New Roman"/>
          <w:sz w:val="12"/>
          <w:szCs w:val="12"/>
          <w:color w:val="auto"/>
        </w:rPr>
        <w:t>Securities registered pursuant to Section 12(g) of the Act:</w:t>
      </w:r>
    </w:p>
    <w:p>
      <w:pPr>
        <w:jc w:val="center"/>
        <w:ind w:right="-24"/>
        <w:spacing w:after="0"/>
        <w:rPr>
          <w:sz w:val="20"/>
          <w:szCs w:val="20"/>
          <w:color w:val="auto"/>
        </w:rPr>
      </w:pPr>
      <w:r>
        <w:rPr>
          <w:rFonts w:ascii="Times New Roman" w:cs="Times New Roman" w:eastAsia="Times New Roman" w:hAnsi="Times New Roman"/>
          <w:sz w:val="14"/>
          <w:szCs w:val="14"/>
          <w:color w:val="auto"/>
        </w:rPr>
        <w:t>None</w:t>
      </w:r>
    </w:p>
    <w:p>
      <w:pPr>
        <w:spacing w:after="0" w:line="7" w:lineRule="exact"/>
        <w:rPr>
          <w:sz w:val="24"/>
          <w:szCs w:val="24"/>
          <w:color w:val="auto"/>
        </w:rPr>
      </w:pPr>
    </w:p>
    <w:p>
      <w:pPr>
        <w:ind w:left="4565"/>
        <w:spacing w:after="0"/>
        <w:rPr>
          <w:sz w:val="20"/>
          <w:szCs w:val="20"/>
          <w:color w:val="auto"/>
        </w:rPr>
      </w:pPr>
      <w:r>
        <w:rPr>
          <w:rFonts w:ascii="Times New Roman" w:cs="Times New Roman" w:eastAsia="Times New Roman" w:hAnsi="Times New Roman"/>
          <w:sz w:val="9"/>
          <w:szCs w:val="9"/>
          <w:color w:val="auto"/>
        </w:rPr>
        <w:t>_____________________________________________</w:t>
      </w:r>
    </w:p>
    <w:p>
      <w:pPr>
        <w:spacing w:after="0" w:line="13" w:lineRule="exact"/>
        <w:rPr>
          <w:sz w:val="24"/>
          <w:szCs w:val="24"/>
          <w:color w:val="auto"/>
        </w:rPr>
      </w:pPr>
    </w:p>
    <w:p>
      <w:pPr>
        <w:ind w:left="365"/>
        <w:spacing w:after="0" w:line="115" w:lineRule="exact"/>
        <w:tabs>
          <w:tab w:leader="none" w:pos="5625" w:val="left"/>
        </w:tabs>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10"/>
          <w:szCs w:val="10"/>
          <w:color w:val="auto"/>
        </w:rPr>
        <w:t>☒</w:t>
      </w:r>
    </w:p>
    <w:p>
      <w:pPr>
        <w:sectPr>
          <w:pgSz w:w="11900" w:h="16838" w:orient="portrait"/>
          <w:cols w:equalWidth="0" w:num="1">
            <w:col w:w="11245"/>
          </w:cols>
          <w:pgMar w:left="315" w:top="968" w:right="339" w:bottom="1440" w:gutter="0" w:footer="0" w:header="0"/>
          <w:type w:val="continuous"/>
        </w:sectPr>
      </w:pPr>
    </w:p>
    <w:p>
      <w:pPr>
        <w:spacing w:after="0" w:line="51"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15(d) of the Exchange Act. Yes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45" w:lineRule="exact"/>
        <w:rPr>
          <w:sz w:val="24"/>
          <w:szCs w:val="24"/>
          <w:color w:val="auto"/>
        </w:rPr>
      </w:pPr>
    </w:p>
    <w:p>
      <w:pPr>
        <w:sectPr>
          <w:pgSz w:w="11900" w:h="16838" w:orient="portrait"/>
          <w:cols w:equalWidth="0" w:num="3">
            <w:col w:w="5545" w:space="60"/>
            <w:col w:w="100" w:space="100"/>
            <w:col w:w="5440"/>
          </w:cols>
          <w:pgMar w:left="315" w:top="968" w:right="339" w:bottom="1440" w:gutter="0" w:footer="0" w:header="0"/>
          <w:type w:val="continuous"/>
        </w:sectPr>
      </w:pPr>
    </w:p>
    <w:p>
      <w:pPr>
        <w:ind w:left="5" w:right="80" w:firstLine="375"/>
        <w:spacing w:after="0" w:line="133"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5" w:right="160" w:firstLine="375"/>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 w:lineRule="exact"/>
        <w:rPr>
          <w:sz w:val="24"/>
          <w:szCs w:val="24"/>
          <w:color w:val="auto"/>
        </w:rPr>
      </w:pPr>
    </w:p>
    <w:p>
      <w:pPr>
        <w:ind w:left="5" w:right="380" w:firstLine="375"/>
        <w:spacing w:after="0" w:line="260"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705" w:type="dxa"/>
        <w:tblCellMar>
          <w:top w:w="0" w:type="dxa"/>
          <w:left w:w="0" w:type="dxa"/>
          <w:bottom w:w="0" w:type="dxa"/>
          <w:right w:w="0" w:type="dxa"/>
        </w:tblCellMar>
      </w:tblPr>
      <w:tr>
        <w:trPr>
          <w:trHeight w:val="152"/>
        </w:trPr>
        <w:tc>
          <w:tcPr>
            <w:tcW w:w="194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1900" w:type="dxa"/>
            <w:vAlign w:val="bottom"/>
          </w:tcPr>
          <w:p>
            <w:pPr>
              <w:ind w:left="1020"/>
              <w:spacing w:after="0" w:line="101" w:lineRule="exact"/>
              <w:rPr>
                <w:sz w:val="20"/>
                <w:szCs w:val="20"/>
                <w:color w:val="auto"/>
              </w:rPr>
            </w:pPr>
            <w:r>
              <w:rPr>
                <w:rFonts w:ascii="MS PGothic" w:cs="MS PGothic" w:eastAsia="MS PGothic" w:hAnsi="MS PGothic"/>
                <w:sz w:val="10"/>
                <w:szCs w:val="10"/>
                <w:color w:val="auto"/>
              </w:rPr>
              <w:t>☐</w:t>
            </w:r>
          </w:p>
        </w:tc>
        <w:tc>
          <w:tcPr>
            <w:tcW w:w="284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Accelerated filer</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4"/>
        </w:trPr>
        <w:tc>
          <w:tcPr>
            <w:tcW w:w="194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1900" w:type="dxa"/>
            <w:vAlign w:val="bottom"/>
          </w:tcPr>
          <w:p>
            <w:pPr>
              <w:ind w:left="1020"/>
              <w:spacing w:after="0" w:line="101" w:lineRule="exact"/>
              <w:rPr>
                <w:sz w:val="20"/>
                <w:szCs w:val="20"/>
                <w:color w:val="auto"/>
              </w:rPr>
            </w:pPr>
            <w:r>
              <w:rPr>
                <w:rFonts w:ascii="MS PGothic" w:cs="MS PGothic" w:eastAsia="MS PGothic" w:hAnsi="MS PGothic"/>
                <w:sz w:val="10"/>
                <w:szCs w:val="10"/>
                <w:color w:val="auto"/>
              </w:rPr>
              <w:t>☐</w:t>
            </w:r>
          </w:p>
        </w:tc>
        <w:tc>
          <w:tcPr>
            <w:tcW w:w="284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1"/>
        </w:trPr>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40" w:type="dxa"/>
            <w:vAlign w:val="bottom"/>
          </w:tcPr>
          <w:p>
            <w:pPr>
              <w:ind w:left="800"/>
              <w:spacing w:after="0"/>
              <w:rPr>
                <w:sz w:val="20"/>
                <w:szCs w:val="20"/>
                <w:color w:val="auto"/>
              </w:rPr>
            </w:pPr>
            <w:r>
              <w:rPr>
                <w:rFonts w:ascii="Times New Roman" w:cs="Times New Roman" w:eastAsia="Times New Roman" w:hAnsi="Times New Roman"/>
                <w:sz w:val="10"/>
                <w:szCs w:val="10"/>
                <w:color w:val="auto"/>
              </w:rPr>
              <w:t>Emerging growth company</w:t>
            </w:r>
          </w:p>
        </w:tc>
        <w:tc>
          <w:tcPr>
            <w:tcW w:w="1040" w:type="dxa"/>
            <w:vAlign w:val="bottom"/>
          </w:tcPr>
          <w:p>
            <w:pPr>
              <w:ind w:left="940"/>
              <w:spacing w:after="0" w:line="101" w:lineRule="exact"/>
              <w:rPr>
                <w:sz w:val="20"/>
                <w:szCs w:val="20"/>
                <w:color w:val="auto"/>
              </w:rPr>
            </w:pPr>
            <w:r>
              <w:rPr>
                <w:rFonts w:ascii="MS PGothic" w:cs="MS PGothic" w:eastAsia="MS PGothic" w:hAnsi="MS PGothic"/>
                <w:sz w:val="10"/>
                <w:szCs w:val="10"/>
                <w:color w:val="auto"/>
                <w:w w:val="79"/>
              </w:rPr>
              <w:t>☐</w:t>
            </w:r>
          </w:p>
        </w:tc>
      </w:tr>
    </w:tbl>
    <w:p>
      <w:pPr>
        <w:jc w:val="center"/>
        <w:ind w:right="35"/>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39" w:lineRule="exact"/>
        <w:rPr>
          <w:sz w:val="24"/>
          <w:szCs w:val="24"/>
          <w:color w:val="auto"/>
        </w:rPr>
      </w:pPr>
    </w:p>
    <w:p>
      <w:pPr>
        <w:ind w:left="5" w:right="360" w:firstLine="375"/>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ind w:left="365"/>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39" w:lineRule="exact"/>
        <w:rPr>
          <w:sz w:val="24"/>
          <w:szCs w:val="24"/>
          <w:color w:val="auto"/>
        </w:rPr>
      </w:pPr>
    </w:p>
    <w:p>
      <w:pPr>
        <w:ind w:left="365"/>
        <w:spacing w:after="0" w:line="148"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Indicate by check mark whether the registrant is a shell company (as defined in Rule 12b-2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 w:lineRule="exact"/>
        <w:rPr>
          <w:sz w:val="24"/>
          <w:szCs w:val="24"/>
          <w:color w:val="auto"/>
        </w:rPr>
      </w:pPr>
    </w:p>
    <w:p>
      <w:pPr>
        <w:jc w:val="both"/>
        <w:ind w:left="5" w:right="120" w:firstLine="375"/>
        <w:spacing w:after="0" w:line="263" w:lineRule="auto"/>
        <w:rPr>
          <w:sz w:val="20"/>
          <w:szCs w:val="20"/>
          <w:color w:val="auto"/>
        </w:rPr>
      </w:pPr>
      <w:r>
        <w:rPr>
          <w:rFonts w:ascii="Times New Roman" w:cs="Times New Roman" w:eastAsia="Times New Roman" w:hAnsi="Times New Roman"/>
          <w:sz w:val="10"/>
          <w:szCs w:val="10"/>
          <w:color w:val="auto"/>
        </w:rPr>
        <w:t>As of June 28, 2024, the last business day of the registrant's most recently completed second fiscal quarter, the aggregate market value of the voting and non-voting common equity held by non-affiliates of the registrant was approximately $433.1 million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2"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0"/>
          <w:szCs w:val="10"/>
          <w:color w:val="auto"/>
        </w:rPr>
        <w:t>As of March 2, 2025, there were 378,986,362 shares of the registrant’s common stock outstanding.</w:t>
      </w:r>
    </w:p>
    <w:p>
      <w:pPr>
        <w:spacing w:after="0" w:line="1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0" w:lineRule="exact"/>
        <w:rPr>
          <w:sz w:val="24"/>
          <w:szCs w:val="24"/>
          <w:color w:val="auto"/>
        </w:rPr>
      </w:pPr>
    </w:p>
    <w:p>
      <w:pPr>
        <w:ind w:left="5" w:right="260" w:firstLine="375"/>
        <w:spacing w:after="0" w:line="280" w:lineRule="auto"/>
        <w:rPr>
          <w:sz w:val="20"/>
          <w:szCs w:val="20"/>
          <w:color w:val="auto"/>
        </w:rPr>
      </w:pPr>
      <w:r>
        <w:rPr>
          <w:rFonts w:ascii="Times New Roman" w:cs="Times New Roman" w:eastAsia="Times New Roman" w:hAnsi="Times New Roman"/>
          <w:sz w:val="10"/>
          <w:szCs w:val="10"/>
          <w:color w:val="auto"/>
        </w:rPr>
        <w:t>Portions of the registrant’s proxy statement in connection with the registrant’s annual meeting of stockholders, scheduled to be held in June 2025, are incorporated by reference in Part III of this report. Except as expressly incorporated by reference, such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511810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968"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08"/>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gridSpan w:val="10"/>
          </w:tcPr>
          <w:p>
            <w:pPr>
              <w:jc w:val="center"/>
              <w:ind w:right="3480"/>
              <w:spacing w:after="0"/>
              <w:rPr>
                <w:sz w:val="20"/>
                <w:szCs w:val="20"/>
                <w:color w:val="auto"/>
              </w:rPr>
            </w:pPr>
            <w:r>
              <w:rPr>
                <w:rFonts w:ascii="Times New Roman" w:cs="Times New Roman" w:eastAsia="Times New Roman" w:hAnsi="Times New Roman"/>
                <w:sz w:val="16"/>
                <w:szCs w:val="16"/>
                <w:b w:val="1"/>
                <w:bCs w:val="1"/>
                <w:color w:val="auto"/>
                <w:w w:val="98"/>
              </w:rPr>
              <w:t>STANDARD BIOTOOLS INC.</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10"/>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8"/>
              </w:rPr>
              <w:t>FISCAL YEAR 2024</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20" w:type="dxa"/>
            <w:vAlign w:val="bottom"/>
            <w:gridSpan w:val="9"/>
          </w:tcPr>
          <w:p>
            <w:pPr>
              <w:jc w:val="center"/>
              <w:ind w:right="4120"/>
              <w:spacing w:after="0"/>
              <w:rPr>
                <w:sz w:val="20"/>
                <w:szCs w:val="20"/>
                <w:color w:val="auto"/>
              </w:rPr>
            </w:pPr>
            <w:r>
              <w:rPr>
                <w:rFonts w:ascii="Times New Roman" w:cs="Times New Roman" w:eastAsia="Times New Roman" w:hAnsi="Times New Roman"/>
                <w:sz w:val="16"/>
                <w:szCs w:val="16"/>
                <w:b w:val="1"/>
                <w:bCs w:val="1"/>
                <w:color w:val="auto"/>
                <w:w w:val="99"/>
              </w:rPr>
              <w:t>FORM 10-K</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80" w:type="dxa"/>
            <w:vAlign w:val="bottom"/>
            <w:gridSpan w:val="10"/>
          </w:tcPr>
          <w:p>
            <w:pPr>
              <w:jc w:val="center"/>
              <w:ind w:right="3480"/>
              <w:spacing w:after="0"/>
              <w:rPr>
                <w:sz w:val="20"/>
                <w:szCs w:val="20"/>
                <w:color w:val="auto"/>
              </w:rPr>
            </w:pPr>
            <w:r>
              <w:rPr>
                <w:rFonts w:ascii="Times New Roman" w:cs="Times New Roman" w:eastAsia="Times New Roman" w:hAnsi="Times New Roman"/>
                <w:sz w:val="16"/>
                <w:szCs w:val="16"/>
                <w:b w:val="1"/>
                <w:bCs w:val="1"/>
                <w:color w:val="auto"/>
                <w:w w:val="97"/>
              </w:rPr>
              <w:t>ANNUAL REPORT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80" w:type="dxa"/>
            <w:vAlign w:val="bottom"/>
            <w:gridSpan w:val="10"/>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PART I</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65"/>
        </w:trPr>
        <w:tc>
          <w:tcPr>
            <w:tcW w:w="15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gridSpan w:val="2"/>
          </w:tcPr>
          <w:p>
            <w:pPr>
              <w:ind w:left="300"/>
              <w:spacing w:after="0" w:line="171" w:lineRule="exact"/>
              <w:rPr>
                <w:sz w:val="20"/>
                <w:szCs w:val="20"/>
                <w:color w:val="auto"/>
              </w:rPr>
            </w:pPr>
            <w:r>
              <w:rPr>
                <w:rFonts w:ascii="Times New Roman" w:cs="Times New Roman" w:eastAsia="Times New Roman" w:hAnsi="Times New Roman"/>
                <w:sz w:val="16"/>
                <w:szCs w:val="16"/>
                <w:color w:val="auto"/>
              </w:rPr>
              <w:t>ITEM 1.</w:t>
            </w:r>
          </w:p>
        </w:tc>
        <w:tc>
          <w:tcPr>
            <w:tcW w:w="8800" w:type="dxa"/>
            <w:vAlign w:val="bottom"/>
            <w:gridSpan w:val="29"/>
          </w:tcPr>
          <w:p>
            <w:pPr>
              <w:spacing w:after="0" w:line="171" w:lineRule="exact"/>
              <w:rPr>
                <w:sz w:val="20"/>
                <w:szCs w:val="20"/>
                <w:color w:val="auto"/>
              </w:rPr>
            </w:pPr>
            <w:r>
              <w:rPr>
                <w:rFonts w:ascii="Times New Roman" w:cs="Times New Roman" w:eastAsia="Times New Roman" w:hAnsi="Times New Roman"/>
                <w:sz w:val="16"/>
                <w:szCs w:val="16"/>
                <w:color w:val="0000FF"/>
              </w:rPr>
              <w:t>Business</w:t>
            </w:r>
          </w:p>
        </w:tc>
        <w:tc>
          <w:tcPr>
            <w:tcW w:w="9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6"/>
                <w:szCs w:val="16"/>
                <w:color w:val="0000FF"/>
                <w:w w:val="94"/>
              </w:rPr>
              <w:t>Risk Factors</w:t>
            </w:r>
          </w:p>
        </w:tc>
        <w:tc>
          <w:tcPr>
            <w:tcW w:w="20" w:type="dxa"/>
            <w:vAlign w:val="bottom"/>
            <w:tcBorders>
              <w:bottom w:val="single" w:sz="8" w:color="0000EE"/>
            </w:tcBorders>
          </w:tcPr>
          <w:p>
            <w:pPr>
              <w:spacing w:after="0"/>
              <w:rPr>
                <w:sz w:val="14"/>
                <w:szCs w:val="14"/>
                <w:color w:val="auto"/>
              </w:rPr>
            </w:pPr>
          </w:p>
        </w:tc>
        <w:tc>
          <w:tcPr>
            <w:tcW w:w="8000" w:type="dxa"/>
            <w:vAlign w:val="bottom"/>
            <w:gridSpan w:val="23"/>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1B.</w:t>
            </w:r>
          </w:p>
        </w:tc>
        <w:tc>
          <w:tcPr>
            <w:tcW w:w="1780" w:type="dxa"/>
            <w:vAlign w:val="bottom"/>
            <w:tcBorders>
              <w:bottom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6"/>
                <w:szCs w:val="16"/>
                <w:color w:val="0000FF"/>
                <w:w w:val="96"/>
              </w:rPr>
              <w:t>Unresolved Staff Comments</w:t>
            </w:r>
          </w:p>
        </w:tc>
        <w:tc>
          <w:tcPr>
            <w:tcW w:w="7020" w:type="dxa"/>
            <w:vAlign w:val="bottom"/>
            <w:gridSpan w:val="15"/>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1C.</w:t>
            </w:r>
          </w:p>
        </w:tc>
        <w:tc>
          <w:tcPr>
            <w:tcW w:w="880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Cybersecurity</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2.</w:t>
            </w:r>
          </w:p>
        </w:tc>
        <w:tc>
          <w:tcPr>
            <w:tcW w:w="8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rPr>
              <w:t>Properties</w:t>
            </w:r>
          </w:p>
        </w:tc>
        <w:tc>
          <w:tcPr>
            <w:tcW w:w="7940" w:type="dxa"/>
            <w:vAlign w:val="bottom"/>
            <w:gridSpan w:val="22"/>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3.</w:t>
            </w:r>
          </w:p>
        </w:tc>
        <w:tc>
          <w:tcPr>
            <w:tcW w:w="116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6"/>
                <w:szCs w:val="16"/>
                <w:color w:val="0000FF"/>
                <w:w w:val="96"/>
              </w:rPr>
              <w:t>Legal Proceedings</w:t>
            </w:r>
          </w:p>
        </w:tc>
        <w:tc>
          <w:tcPr>
            <w:tcW w:w="20" w:type="dxa"/>
            <w:vAlign w:val="bottom"/>
            <w:tcBorders>
              <w:bottom w:val="single" w:sz="8" w:color="0000EE"/>
            </w:tcBorders>
          </w:tcPr>
          <w:p>
            <w:pPr>
              <w:spacing w:after="0"/>
              <w:rPr>
                <w:sz w:val="14"/>
                <w:szCs w:val="14"/>
                <w:color w:val="auto"/>
              </w:rPr>
            </w:pPr>
          </w:p>
        </w:tc>
        <w:tc>
          <w:tcPr>
            <w:tcW w:w="7620" w:type="dxa"/>
            <w:vAlign w:val="bottom"/>
            <w:gridSpan w:val="19"/>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4.</w:t>
            </w:r>
          </w:p>
        </w:tc>
        <w:tc>
          <w:tcPr>
            <w:tcW w:w="880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Mine Safety Disclosures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39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w:t>
            </w: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ITEM 5.</w:t>
            </w:r>
          </w:p>
        </w:tc>
        <w:tc>
          <w:tcPr>
            <w:tcW w:w="70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6"/>
                <w:szCs w:val="16"/>
                <w:color w:val="0000FF"/>
                <w:w w:val="98"/>
              </w:rPr>
              <w:t>Market for Registrant's Common Equity, Related Stockholder Matters and Issuer Purchases of Equity Securities</w:t>
            </w:r>
          </w:p>
        </w:tc>
        <w:tc>
          <w:tcPr>
            <w:tcW w:w="1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6.</w:t>
            </w:r>
          </w:p>
        </w:tc>
        <w:tc>
          <w:tcPr>
            <w:tcW w:w="68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w w:val="93"/>
              </w:rPr>
              <w:t>[Reserved]</w:t>
            </w:r>
          </w:p>
        </w:tc>
        <w:tc>
          <w:tcPr>
            <w:tcW w:w="20" w:type="dxa"/>
            <w:vAlign w:val="bottom"/>
            <w:tcBorders>
              <w:bottom w:val="single" w:sz="8" w:color="0000EE"/>
            </w:tcBorders>
          </w:tcPr>
          <w:p>
            <w:pPr>
              <w:spacing w:after="0"/>
              <w:rPr>
                <w:sz w:val="14"/>
                <w:szCs w:val="14"/>
                <w:color w:val="auto"/>
              </w:rPr>
            </w:pPr>
          </w:p>
        </w:tc>
        <w:tc>
          <w:tcPr>
            <w:tcW w:w="8100" w:type="dxa"/>
            <w:vAlign w:val="bottom"/>
            <w:gridSpan w:val="25"/>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7.</w:t>
            </w:r>
          </w:p>
        </w:tc>
        <w:tc>
          <w:tcPr>
            <w:tcW w:w="880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7A.</w:t>
            </w:r>
          </w:p>
        </w:tc>
        <w:tc>
          <w:tcPr>
            <w:tcW w:w="3760" w:type="dxa"/>
            <w:vAlign w:val="bottom"/>
            <w:tcBorders>
              <w:top w:val="single" w:sz="8" w:color="0000FF"/>
              <w:bottom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1860" w:type="dxa"/>
            <w:vAlign w:val="bottom"/>
            <w:tcBorders>
              <w:top w:val="single" w:sz="8" w:color="0000FF"/>
            </w:tcBorders>
            <w:gridSpan w:val="3"/>
          </w:tcPr>
          <w:p>
            <w:pPr>
              <w:spacing w:after="0"/>
              <w:rPr>
                <w:sz w:val="14"/>
                <w:szCs w:val="14"/>
                <w:color w:val="auto"/>
              </w:rPr>
            </w:pPr>
          </w:p>
        </w:tc>
        <w:tc>
          <w:tcPr>
            <w:tcW w:w="3180" w:type="dxa"/>
            <w:vAlign w:val="bottom"/>
            <w:gridSpan w:val="5"/>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8.</w:t>
            </w:r>
          </w:p>
        </w:tc>
        <w:tc>
          <w:tcPr>
            <w:tcW w:w="2900" w:type="dxa"/>
            <w:vAlign w:val="bottom"/>
            <w:tcBorders>
              <w:bottom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6"/>
                <w:szCs w:val="16"/>
                <w:color w:val="0000FF"/>
                <w:w w:val="97"/>
              </w:rPr>
              <w:t>Financial Statements and Supplementary Data</w:t>
            </w:r>
          </w:p>
        </w:tc>
        <w:tc>
          <w:tcPr>
            <w:tcW w:w="20" w:type="dxa"/>
            <w:vAlign w:val="bottom"/>
            <w:tcBorders>
              <w:bottom w:val="single" w:sz="8" w:color="0000EE"/>
            </w:tcBorders>
          </w:tcPr>
          <w:p>
            <w:pPr>
              <w:spacing w:after="0"/>
              <w:rPr>
                <w:sz w:val="14"/>
                <w:szCs w:val="14"/>
                <w:color w:val="auto"/>
              </w:rPr>
            </w:pPr>
          </w:p>
        </w:tc>
        <w:tc>
          <w:tcPr>
            <w:tcW w:w="5880" w:type="dxa"/>
            <w:vAlign w:val="bottom"/>
            <w:gridSpan w:val="10"/>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9.</w:t>
            </w:r>
          </w:p>
        </w:tc>
        <w:tc>
          <w:tcPr>
            <w:tcW w:w="5720" w:type="dxa"/>
            <w:vAlign w:val="bottom"/>
            <w:tcBorders>
              <w:bottom w:val="single" w:sz="8" w:color="0000FF"/>
            </w:tcBorders>
            <w:gridSpan w:val="25"/>
          </w:tcPr>
          <w:p>
            <w:pPr>
              <w:spacing w:after="0" w:line="169" w:lineRule="exact"/>
              <w:rPr>
                <w:sz w:val="20"/>
                <w:szCs w:val="20"/>
                <w:color w:val="auto"/>
              </w:rPr>
            </w:pPr>
            <w:r>
              <w:rPr>
                <w:rFonts w:ascii="Times New Roman" w:cs="Times New Roman" w:eastAsia="Times New Roman" w:hAnsi="Times New Roman"/>
                <w:sz w:val="16"/>
                <w:szCs w:val="16"/>
                <w:color w:val="0000FF"/>
                <w:w w:val="97"/>
              </w:rPr>
              <w:t>Changes in and Disagreements with Accountants on Accounting and Financial Disclosures</w:t>
            </w:r>
          </w:p>
        </w:tc>
        <w:tc>
          <w:tcPr>
            <w:tcW w:w="3080" w:type="dxa"/>
            <w:vAlign w:val="bottom"/>
            <w:gridSpan w:val="4"/>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9A.</w:t>
            </w:r>
          </w:p>
        </w:tc>
        <w:tc>
          <w:tcPr>
            <w:tcW w:w="1540" w:type="dxa"/>
            <w:vAlign w:val="bottom"/>
            <w:tcBorders>
              <w:bottom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6"/>
                <w:szCs w:val="16"/>
                <w:color w:val="0000FF"/>
                <w:w w:val="96"/>
              </w:rPr>
              <w:t>Controls and Procedures</w:t>
            </w:r>
          </w:p>
        </w:tc>
        <w:tc>
          <w:tcPr>
            <w:tcW w:w="7260" w:type="dxa"/>
            <w:vAlign w:val="bottom"/>
            <w:gridSpan w:val="17"/>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9B.</w:t>
            </w:r>
          </w:p>
        </w:tc>
        <w:tc>
          <w:tcPr>
            <w:tcW w:w="114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w w:val="95"/>
              </w:rPr>
              <w:t>Other Information</w:t>
            </w:r>
          </w:p>
        </w:tc>
        <w:tc>
          <w:tcPr>
            <w:tcW w:w="20" w:type="dxa"/>
            <w:vAlign w:val="bottom"/>
            <w:tcBorders>
              <w:bottom w:val="single" w:sz="8" w:color="0000EE"/>
            </w:tcBorders>
          </w:tcPr>
          <w:p>
            <w:pPr>
              <w:spacing w:after="0"/>
              <w:rPr>
                <w:sz w:val="14"/>
                <w:szCs w:val="14"/>
                <w:color w:val="auto"/>
              </w:rPr>
            </w:pPr>
          </w:p>
        </w:tc>
        <w:tc>
          <w:tcPr>
            <w:tcW w:w="7640" w:type="dxa"/>
            <w:vAlign w:val="bottom"/>
            <w:gridSpan w:val="20"/>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9C</w:t>
            </w:r>
          </w:p>
        </w:tc>
        <w:tc>
          <w:tcPr>
            <w:tcW w:w="880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Disclosures Regarding Foreign Jurisdictions that Prevent Inspections</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39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III</w:t>
            </w: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ITEM 10.</w:t>
            </w:r>
          </w:p>
        </w:tc>
        <w:tc>
          <w:tcPr>
            <w:tcW w:w="35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7"/>
              </w:rPr>
              <w:t>Directors, Executive Officers and Corporate Governance</w:t>
            </w:r>
          </w:p>
        </w:tc>
        <w:tc>
          <w:tcPr>
            <w:tcW w:w="522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11.</w:t>
            </w:r>
          </w:p>
        </w:tc>
        <w:tc>
          <w:tcPr>
            <w:tcW w:w="880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Executive Compensation</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12.</w:t>
            </w:r>
          </w:p>
        </w:tc>
        <w:tc>
          <w:tcPr>
            <w:tcW w:w="6380" w:type="dxa"/>
            <w:vAlign w:val="bottom"/>
            <w:tcBorders>
              <w:bottom w:val="single" w:sz="8" w:color="0000FF"/>
            </w:tcBorders>
            <w:gridSpan w:val="27"/>
          </w:tcPr>
          <w:p>
            <w:pPr>
              <w:spacing w:after="0" w:line="169" w:lineRule="exact"/>
              <w:rPr>
                <w:sz w:val="20"/>
                <w:szCs w:val="20"/>
                <w:color w:val="auto"/>
              </w:rPr>
            </w:pPr>
            <w:r>
              <w:rPr>
                <w:rFonts w:ascii="Times New Roman" w:cs="Times New Roman" w:eastAsia="Times New Roman" w:hAnsi="Times New Roman"/>
                <w:sz w:val="16"/>
                <w:szCs w:val="16"/>
                <w:color w:val="0000FF"/>
                <w:w w:val="98"/>
              </w:rPr>
              <w:t>Security Ownership of Certain Beneficial Owners and Management and Related Stockholder Matters</w:t>
            </w:r>
          </w:p>
        </w:tc>
        <w:tc>
          <w:tcPr>
            <w:tcW w:w="2420" w:type="dxa"/>
            <w:vAlign w:val="bottom"/>
            <w:gridSpan w:val="2"/>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13.</w:t>
            </w:r>
          </w:p>
        </w:tc>
        <w:tc>
          <w:tcPr>
            <w:tcW w:w="8800" w:type="dxa"/>
            <w:vAlign w:val="bottom"/>
            <w:gridSpan w:val="29"/>
          </w:tcPr>
          <w:p>
            <w:pPr>
              <w:spacing w:after="0" w:line="169"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14.</w:t>
            </w:r>
          </w:p>
        </w:tc>
        <w:tc>
          <w:tcPr>
            <w:tcW w:w="476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6"/>
                <w:szCs w:val="16"/>
                <w:color w:val="0000FF"/>
              </w:rPr>
              <w:t>Principal Accounting Fees and Services</w:t>
            </w:r>
          </w:p>
        </w:tc>
        <w:tc>
          <w:tcPr>
            <w:tcW w:w="4040" w:type="dxa"/>
            <w:vAlign w:val="bottom"/>
            <w:gridSpan w:val="6"/>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39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IV</w:t>
            </w: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ITEM 15.</w:t>
            </w:r>
          </w:p>
        </w:tc>
        <w:tc>
          <w:tcPr>
            <w:tcW w:w="88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69"/>
        </w:trPr>
        <w:tc>
          <w:tcPr>
            <w:tcW w:w="1500" w:type="dxa"/>
            <w:vAlign w:val="bottom"/>
            <w:gridSpan w:val="2"/>
          </w:tcPr>
          <w:p>
            <w:pPr>
              <w:ind w:left="300"/>
              <w:spacing w:after="0" w:line="169" w:lineRule="exact"/>
              <w:rPr>
                <w:sz w:val="20"/>
                <w:szCs w:val="20"/>
                <w:color w:val="auto"/>
              </w:rPr>
            </w:pPr>
            <w:r>
              <w:rPr>
                <w:rFonts w:ascii="Times New Roman" w:cs="Times New Roman" w:eastAsia="Times New Roman" w:hAnsi="Times New Roman"/>
                <w:sz w:val="16"/>
                <w:szCs w:val="16"/>
                <w:color w:val="auto"/>
              </w:rPr>
              <w:t>ITEM 16.</w:t>
            </w:r>
          </w:p>
        </w:tc>
        <w:tc>
          <w:tcPr>
            <w:tcW w:w="252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6"/>
                <w:szCs w:val="16"/>
                <w:color w:val="0000FF"/>
              </w:rPr>
              <w:t>Form 10-K Summary</w:t>
            </w:r>
          </w:p>
        </w:tc>
        <w:tc>
          <w:tcPr>
            <w:tcW w:w="6280" w:type="dxa"/>
            <w:vAlign w:val="bottom"/>
            <w:gridSpan w:val="12"/>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340" w:type="dxa"/>
            <w:vAlign w:val="bottom"/>
            <w:gridSpan w:val="11"/>
            <w:shd w:val="clear" w:color="auto" w:fill="0000FF"/>
          </w:tcPr>
          <w:p>
            <w:pPr>
              <w:spacing w:after="0" w:line="20" w:lineRule="exact"/>
              <w:rPr>
                <w:sz w:val="1"/>
                <w:szCs w:val="1"/>
                <w:color w:val="auto"/>
              </w:rPr>
            </w:pPr>
          </w:p>
        </w:tc>
        <w:tc>
          <w:tcPr>
            <w:tcW w:w="7460" w:type="dxa"/>
            <w:vAlign w:val="bottom"/>
            <w:gridSpan w:val="1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00" w:type="dxa"/>
            <w:vAlign w:val="bottom"/>
            <w:gridSpan w:val="31"/>
          </w:tcPr>
          <w:p>
            <w:pPr>
              <w:spacing w:after="0"/>
              <w:rPr>
                <w:sz w:val="20"/>
                <w:szCs w:val="20"/>
                <w:color w:val="auto"/>
              </w:rPr>
            </w:pPr>
            <w:r>
              <w:rPr>
                <w:rFonts w:ascii="Times New Roman" w:cs="Times New Roman" w:eastAsia="Times New Roman" w:hAnsi="Times New Roman"/>
                <w:sz w:val="16"/>
                <w:szCs w:val="16"/>
                <w:color w:val="0000FF"/>
              </w:rPr>
              <w:t>INDEX TO EXHIBITS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10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SIGNATURES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
        </w:trPr>
        <w:tc>
          <w:tcPr>
            <w:tcW w:w="10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 and Industry Data</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This Annual Report on Form 10-K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anticipated National Institutes of Health funding pressures, the expected effect from U.S. export controls and tariffs, potential growth opportunities, market growth expectations, the effects of competition, cost structure optimization, acceleration of growth, potential merger and acquisition (M&amp;A) activity and restructuring plans (including expense reduction activities, modifications to the scope of our proteomic and genomics businesses and discontinuing of certain product lines) and our expectations regarding the benefits and integration of acquired businesses and/or products.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Annual Report on Form 10-K. Given these uncertainties, you should not place undue reliance on these forward-looking statements.</w:t>
      </w:r>
    </w:p>
    <w:p>
      <w:pPr>
        <w:spacing w:after="0" w:line="14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Forward-looking statements represent our management’s beliefs and assumptions only as of the date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on Form 10-K completely and with the understanding that our actual future results may be materially different from what we expect.</w:t>
      </w:r>
    </w:p>
    <w:p>
      <w:pPr>
        <w:spacing w:after="0" w:line="16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This Annual Report on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KREX™, i-Ome™, OncoREX™, and CardioDM™ are trademarks or registered trademarks of Standard BioTools Inc. or its affiliates in the United States and/or other countries. Other service marks, trademarks and trade names referred to in this Annual Report on Form 10-K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16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Unless the context requires otherwise, references in this Annual Report on Form 10-K to “Standard BioTools,” the “Company,” “we,” “us,” and “our” refer to Standard BioTools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509905</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At Standard BioTools, Inc. ("Standard BioTools" or the "Company"),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Merger with SomaLogic, Inc.</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January 5, 2024, we completed our merger with SomaLogic, Inc. ("SomaLogic"), making it our wholly owned subsidiary. Under the terms of the Agreement and Plan of Merger dated October 4, 2023 (the "Merger Agreement"), each share of SomaLogic common stock (the "SomaLogic Common Stock") converted into 1.11 shares of our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SomaLogic specializes in proprietary affinity-based proteomics, and we believe the merger with SomaLogic (the "Merger") broadens our portfolio while strengthening our ability to drive innovation in proteomics research. By leveraging our combined expertise and complementary technologies, we aim to improve operational efficiency, realize cost synergies, and capitalize on expanded revenue opportunities in this growing market. We believe this combination will deliver enhanced benefits to our customers and create long-term value for our stockholders.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 of Sengenics Corporation</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November 21, 2024, we completed the acquisition of Sengenics Corporation Pte Ltd ("Sengenics"). As part of this acquisition, Sengenics’ KREX™ precision antibody profiling services and kits were integrated into the SomaScan™ suite of solutions, expanding our capabilities in autoantibody biomarker detection and protein interaction analysis for discovery, translational, and clinical research.</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believe this addition strengthens our proteomics portfolio, particularly in biopharma and translational research, by combining proprietary immunoproteomic technology with our market-leading SomaScan™ platform. Available as both a lab service and a kit, KREX™ technology enables pharmaceutical companies and research institutions to advance disease understanding and accelerate biomarker discovery.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Platforms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SomaScan™,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intricate biological networks. Together, these technologies accelerate discovery, offering a comprehensive approach to understanding the complexities of health and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133985</wp:posOffset>
            </wp:positionV>
            <wp:extent cx="5407025" cy="341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341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SomaScan</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Our SomaScan platform enables researchers to measure thousands of proteins simultaneously with exceptional specificity and sensitivity, providing deep insights into biological processes and disease mechanisms. Our SomaScan platform uses proprietary SOMAmer® reagents – engineered protein-binding molecules that recognize specific protein targets with high affinity. These reagents facilitate precise quantification of proteins across a wide dynamic range, allowing researchers to uncover subtle biological changes that might otherwise be missed. Similar to transcriptomic and genomic approaches, high-throughput proteomics with our SomaScan platform unlocks powerful biomarker discovery, disease profiling, and drug development opportunities. The SomaScan platform includes our industry-leading assay, which profiles 11,000 protein measurements, covering 10,000 unique human proteins, from minimal sample volumes, and our data analytics solutions that translate complex protein data into actionable insights.</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 w:name="page6"/>
    <w:bookmarkEnd w:id="5"/>
    <w:p>
      <w:pPr>
        <w:jc w:val="both"/>
        <w:spacing w:after="0" w:line="276" w:lineRule="auto"/>
        <w:rPr>
          <w:sz w:val="20"/>
          <w:szCs w:val="20"/>
          <w:color w:val="auto"/>
        </w:rPr>
      </w:pPr>
      <w:r>
        <w:rPr>
          <w:rFonts w:ascii="Times New Roman" w:cs="Times New Roman" w:eastAsia="Times New Roman" w:hAnsi="Times New Roman"/>
          <w:sz w:val="16"/>
          <w:szCs w:val="16"/>
          <w:color w:val="auto"/>
        </w:rPr>
        <w:t>Proteomics research demands both breadth and precision, but many high-plex antibody assays struggle to maintain accuracy as they scale. The SomaScan Assay defies this limitation—expanding from 5,000 to 7,000 to 10,000 proteins while preserving measurement precision.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102235</wp:posOffset>
            </wp:positionV>
            <wp:extent cx="4107815" cy="256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07815" cy="256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*Source: Rooney, M.R. et al., 2024. Plasma proteomic comparison change as coverage expands for SomaLogic and Olink. medRXiv.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Building on the scalability and precision of the SomaScan Assay, we offer a suite of high-performance proteomics solutions tailored for diverse research and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128905</wp:posOffset>
            </wp:positionV>
            <wp:extent cx="7174865" cy="160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60655"/>
                    </a:xfrm>
                    <a:prstGeom prst="rect">
                      <a:avLst/>
                    </a:prstGeom>
                    <a:noFill/>
                  </pic:spPr>
                </pic:pic>
              </a:graphicData>
            </a:graphic>
          </wp:anchor>
        </w:drawing>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600" w:type="dxa"/>
            <w:vAlign w:val="bottom"/>
            <w:tcBorders>
              <w:left w:val="single" w:sz="8" w:color="142840"/>
              <w:bottom w:val="single" w:sz="8" w:color="E5E5E5"/>
              <w:right w:val="single" w:sz="8" w:color="142840"/>
            </w:tcBorders>
            <w:shd w:val="clear" w:color="auto" w:fill="142840"/>
          </w:tcPr>
          <w:p>
            <w:pPr>
              <w:ind w:left="120"/>
              <w:spacing w:after="0"/>
              <w:rPr>
                <w:sz w:val="20"/>
                <w:szCs w:val="20"/>
                <w:color w:val="auto"/>
              </w:rPr>
            </w:pPr>
            <w:r>
              <w:rPr>
                <w:rFonts w:ascii="Times New Roman" w:cs="Times New Roman" w:eastAsia="Times New Roman" w:hAnsi="Times New Roman"/>
                <w:sz w:val="16"/>
                <w:szCs w:val="16"/>
                <w:b w:val="1"/>
                <w:bCs w:val="1"/>
                <w:color w:val="FFFFFF"/>
              </w:rPr>
              <w:t>Offering</w:t>
            </w:r>
          </w:p>
        </w:tc>
        <w:tc>
          <w:tcPr>
            <w:tcW w:w="8660" w:type="dxa"/>
            <w:vAlign w:val="bottom"/>
            <w:tcBorders>
              <w:bottom w:val="single" w:sz="8" w:color="E5E5E5"/>
              <w:right w:val="single" w:sz="8" w:color="142840"/>
            </w:tcBorders>
            <w:shd w:val="clear" w:color="auto" w:fill="142840"/>
          </w:tcPr>
          <w:p>
            <w:pPr>
              <w:ind w:left="100"/>
              <w:spacing w:after="0"/>
              <w:rPr>
                <w:sz w:val="20"/>
                <w:szCs w:val="20"/>
                <w:color w:val="auto"/>
              </w:rPr>
            </w:pPr>
            <w:r>
              <w:rPr>
                <w:rFonts w:ascii="Times New Roman" w:cs="Times New Roman" w:eastAsia="Times New Roman" w:hAnsi="Times New Roman"/>
                <w:sz w:val="16"/>
                <w:szCs w:val="16"/>
                <w:b w:val="1"/>
                <w:bCs w:val="1"/>
                <w:color w:val="FFFFFF"/>
              </w:rPr>
              <w:t>Description</w:t>
            </w:r>
          </w:p>
        </w:tc>
      </w:tr>
      <w:tr>
        <w:trPr>
          <w:trHeight w:val="145"/>
        </w:trPr>
        <w:tc>
          <w:tcPr>
            <w:tcW w:w="2600" w:type="dxa"/>
            <w:vAlign w:val="bottom"/>
            <w:tcBorders>
              <w:top w:val="single" w:sz="8" w:color="142840"/>
              <w:left w:val="single" w:sz="8" w:color="E5E5E5"/>
              <w:right w:val="single" w:sz="8" w:color="E5E5E5"/>
            </w:tcBorders>
          </w:tcPr>
          <w:p>
            <w:pPr>
              <w:ind w:left="120"/>
              <w:spacing w:after="0" w:line="145" w:lineRule="exact"/>
              <w:rPr>
                <w:sz w:val="20"/>
                <w:szCs w:val="20"/>
                <w:color w:val="auto"/>
              </w:rPr>
            </w:pPr>
            <w:r>
              <w:rPr>
                <w:rFonts w:ascii="Times New Roman" w:cs="Times New Roman" w:eastAsia="Times New Roman" w:hAnsi="Times New Roman"/>
                <w:sz w:val="16"/>
                <w:szCs w:val="16"/>
                <w:color w:val="auto"/>
              </w:rPr>
              <w:t>SomaScan Assay</w:t>
            </w:r>
          </w:p>
        </w:tc>
        <w:tc>
          <w:tcPr>
            <w:tcW w:w="8660" w:type="dxa"/>
            <w:vAlign w:val="bottom"/>
            <w:tcBorders>
              <w:top w:val="single" w:sz="8" w:color="142840"/>
              <w:right w:val="single" w:sz="8" w:color="E5E5E5"/>
            </w:tcBorders>
          </w:tcPr>
          <w:p>
            <w:pPr>
              <w:ind w:left="100"/>
              <w:spacing w:after="0" w:line="145" w:lineRule="exact"/>
              <w:rPr>
                <w:sz w:val="20"/>
                <w:szCs w:val="20"/>
                <w:color w:val="auto"/>
              </w:rPr>
            </w:pPr>
            <w:r>
              <w:rPr>
                <w:rFonts w:ascii="Times New Roman" w:cs="Times New Roman" w:eastAsia="Times New Roman" w:hAnsi="Times New Roman"/>
                <w:sz w:val="16"/>
                <w:szCs w:val="16"/>
                <w:color w:val="auto"/>
                <w:w w:val="99"/>
              </w:rPr>
              <w:t>Measures ~10,000 proteins in a single sample with industry-leading precision, specificity, and dynamic range. The largest proteomics</w:t>
            </w:r>
          </w:p>
        </w:tc>
      </w:tr>
      <w:tr>
        <w:trPr>
          <w:trHeight w:val="206"/>
        </w:trPr>
        <w:tc>
          <w:tcPr>
            <w:tcW w:w="2600" w:type="dxa"/>
            <w:vAlign w:val="bottom"/>
            <w:tcBorders>
              <w:left w:val="single" w:sz="8" w:color="E5E5E5"/>
              <w:right w:val="single" w:sz="8" w:color="E5E5E5"/>
            </w:tcBorders>
          </w:tcPr>
          <w:p>
            <w:pPr>
              <w:spacing w:after="0"/>
              <w:rPr>
                <w:sz w:val="17"/>
                <w:szCs w:val="17"/>
                <w:color w:val="auto"/>
              </w:rPr>
            </w:pPr>
          </w:p>
        </w:tc>
        <w:tc>
          <w:tcPr>
            <w:tcW w:w="8660" w:type="dxa"/>
            <w:vAlign w:val="bottom"/>
            <w:tcBorders>
              <w:right w:val="single" w:sz="8" w:color="E5E5E5"/>
            </w:tcBorders>
          </w:tcPr>
          <w:p>
            <w:pPr>
              <w:ind w:left="100"/>
              <w:spacing w:after="0"/>
              <w:rPr>
                <w:sz w:val="20"/>
                <w:szCs w:val="20"/>
                <w:color w:val="auto"/>
              </w:rPr>
            </w:pPr>
            <w:r>
              <w:rPr>
                <w:rFonts w:ascii="Times New Roman" w:cs="Times New Roman" w:eastAsia="Times New Roman" w:hAnsi="Times New Roman"/>
                <w:sz w:val="16"/>
                <w:szCs w:val="16"/>
                <w:color w:val="auto"/>
              </w:rPr>
              <w:t>platform available.</w:t>
            </w:r>
          </w:p>
        </w:tc>
      </w:tr>
      <w:tr>
        <w:trPr>
          <w:trHeight w:val="106"/>
        </w:trPr>
        <w:tc>
          <w:tcPr>
            <w:tcW w:w="2600" w:type="dxa"/>
            <w:vAlign w:val="bottom"/>
            <w:tcBorders>
              <w:left w:val="single" w:sz="8" w:color="E5E5E5"/>
              <w:bottom w:val="single" w:sz="8" w:color="E5E5E5"/>
              <w:right w:val="single" w:sz="8" w:color="E5E5E5"/>
            </w:tcBorders>
          </w:tcPr>
          <w:p>
            <w:pPr>
              <w:spacing w:after="0"/>
              <w:rPr>
                <w:sz w:val="9"/>
                <w:szCs w:val="9"/>
                <w:color w:val="auto"/>
              </w:rPr>
            </w:pPr>
          </w:p>
        </w:tc>
        <w:tc>
          <w:tcPr>
            <w:tcW w:w="8660" w:type="dxa"/>
            <w:vAlign w:val="bottom"/>
            <w:tcBorders>
              <w:bottom w:val="single" w:sz="8" w:color="E5E5E5"/>
              <w:right w:val="single" w:sz="8" w:color="E5E5E5"/>
            </w:tcBorders>
          </w:tcPr>
          <w:p>
            <w:pPr>
              <w:spacing w:after="0"/>
              <w:rPr>
                <w:sz w:val="9"/>
                <w:szCs w:val="9"/>
                <w:color w:val="auto"/>
              </w:rPr>
            </w:pPr>
          </w:p>
        </w:tc>
      </w:tr>
      <w:tr>
        <w:trPr>
          <w:trHeight w:val="198"/>
        </w:trPr>
        <w:tc>
          <w:tcPr>
            <w:tcW w:w="2600" w:type="dxa"/>
            <w:vAlign w:val="bottom"/>
            <w:tcBorders>
              <w:left w:val="single" w:sz="8" w:color="E5E5E5"/>
              <w:right w:val="single" w:sz="8" w:color="E5E5E5"/>
            </w:tcBorders>
          </w:tcPr>
          <w:p>
            <w:pPr>
              <w:ind w:left="120"/>
              <w:spacing w:after="0"/>
              <w:rPr>
                <w:sz w:val="20"/>
                <w:szCs w:val="20"/>
                <w:color w:val="auto"/>
              </w:rPr>
            </w:pPr>
            <w:r>
              <w:rPr>
                <w:rFonts w:ascii="Times New Roman" w:cs="Times New Roman" w:eastAsia="Times New Roman" w:hAnsi="Times New Roman"/>
                <w:sz w:val="16"/>
                <w:szCs w:val="16"/>
                <w:color w:val="auto"/>
              </w:rPr>
              <w:t>SomaScan Assay panels</w:t>
            </w:r>
          </w:p>
        </w:tc>
        <w:tc>
          <w:tcPr>
            <w:tcW w:w="8660" w:type="dxa"/>
            <w:vAlign w:val="bottom"/>
            <w:tcBorders>
              <w:right w:val="single" w:sz="8" w:color="E5E5E5"/>
            </w:tcBorders>
          </w:tcPr>
          <w:p>
            <w:pPr>
              <w:ind w:left="100"/>
              <w:spacing w:after="0"/>
              <w:rPr>
                <w:sz w:val="20"/>
                <w:szCs w:val="20"/>
                <w:color w:val="auto"/>
              </w:rPr>
            </w:pPr>
            <w:r>
              <w:rPr>
                <w:rFonts w:ascii="Times New Roman" w:cs="Times New Roman" w:eastAsia="Times New Roman" w:hAnsi="Times New Roman"/>
                <w:sz w:val="16"/>
                <w:szCs w:val="16"/>
                <w:color w:val="auto"/>
              </w:rPr>
              <w:t>Targeted panels (100 - 3,000 analytes) for disease-specific and custom studies, maintain high precision and throughput.</w:t>
            </w:r>
          </w:p>
        </w:tc>
      </w:tr>
      <w:tr>
        <w:trPr>
          <w:trHeight w:val="89"/>
        </w:trPr>
        <w:tc>
          <w:tcPr>
            <w:tcW w:w="2600" w:type="dxa"/>
            <w:vAlign w:val="bottom"/>
            <w:tcBorders>
              <w:left w:val="single" w:sz="8" w:color="E5E5E5"/>
              <w:bottom w:val="single" w:sz="8" w:color="E5E5E5"/>
              <w:right w:val="single" w:sz="8" w:color="E5E5E5"/>
            </w:tcBorders>
          </w:tcPr>
          <w:p>
            <w:pPr>
              <w:spacing w:after="0"/>
              <w:rPr>
                <w:sz w:val="7"/>
                <w:szCs w:val="7"/>
                <w:color w:val="auto"/>
              </w:rPr>
            </w:pPr>
          </w:p>
        </w:tc>
        <w:tc>
          <w:tcPr>
            <w:tcW w:w="8660" w:type="dxa"/>
            <w:vAlign w:val="bottom"/>
            <w:tcBorders>
              <w:bottom w:val="single" w:sz="8" w:color="E5E5E5"/>
              <w:right w:val="single" w:sz="8" w:color="E5E5E5"/>
            </w:tcBorders>
          </w:tcPr>
          <w:p>
            <w:pPr>
              <w:spacing w:after="0"/>
              <w:rPr>
                <w:sz w:val="7"/>
                <w:szCs w:val="7"/>
                <w:color w:val="auto"/>
              </w:rPr>
            </w:pPr>
          </w:p>
        </w:tc>
      </w:tr>
      <w:tr>
        <w:trPr>
          <w:trHeight w:val="198"/>
        </w:trPr>
        <w:tc>
          <w:tcPr>
            <w:tcW w:w="2600" w:type="dxa"/>
            <w:vAlign w:val="bottom"/>
            <w:tcBorders>
              <w:left w:val="single" w:sz="8" w:color="E5E5E5"/>
              <w:right w:val="single" w:sz="8" w:color="E5E5E5"/>
            </w:tcBorders>
          </w:tcPr>
          <w:p>
            <w:pPr>
              <w:ind w:left="120"/>
              <w:spacing w:after="0"/>
              <w:rPr>
                <w:sz w:val="20"/>
                <w:szCs w:val="20"/>
                <w:color w:val="auto"/>
              </w:rPr>
            </w:pPr>
            <w:r>
              <w:rPr>
                <w:rFonts w:ascii="Times New Roman" w:cs="Times New Roman" w:eastAsia="Times New Roman" w:hAnsi="Times New Roman"/>
                <w:sz w:val="16"/>
                <w:szCs w:val="16"/>
                <w:color w:val="auto"/>
              </w:rPr>
              <w:t>KREX Assay</w:t>
            </w:r>
          </w:p>
        </w:tc>
        <w:tc>
          <w:tcPr>
            <w:tcW w:w="8660" w:type="dxa"/>
            <w:vAlign w:val="bottom"/>
            <w:tcBorders>
              <w:right w:val="single" w:sz="8" w:color="E5E5E5"/>
            </w:tcBorders>
          </w:tcPr>
          <w:p>
            <w:pPr>
              <w:ind w:left="100"/>
              <w:spacing w:after="0"/>
              <w:rPr>
                <w:sz w:val="20"/>
                <w:szCs w:val="20"/>
                <w:color w:val="auto"/>
              </w:rPr>
            </w:pPr>
            <w:r>
              <w:rPr>
                <w:rFonts w:ascii="Times New Roman" w:cs="Times New Roman" w:eastAsia="Times New Roman" w:hAnsi="Times New Roman"/>
                <w:sz w:val="16"/>
                <w:szCs w:val="16"/>
                <w:color w:val="auto"/>
              </w:rPr>
              <w:t>Protein arrays for autoantibody profiling, including cancer, autoimmune, and citrullination assays, covering 100 - 1,800+ antigens.</w:t>
            </w:r>
          </w:p>
        </w:tc>
      </w:tr>
      <w:tr>
        <w:trPr>
          <w:trHeight w:val="89"/>
        </w:trPr>
        <w:tc>
          <w:tcPr>
            <w:tcW w:w="2600" w:type="dxa"/>
            <w:vAlign w:val="bottom"/>
            <w:tcBorders>
              <w:left w:val="single" w:sz="8" w:color="E5E5E5"/>
              <w:bottom w:val="single" w:sz="8" w:color="E5E5E5"/>
              <w:right w:val="single" w:sz="8" w:color="E5E5E5"/>
            </w:tcBorders>
          </w:tcPr>
          <w:p>
            <w:pPr>
              <w:spacing w:after="0"/>
              <w:rPr>
                <w:sz w:val="7"/>
                <w:szCs w:val="7"/>
                <w:color w:val="auto"/>
              </w:rPr>
            </w:pPr>
          </w:p>
        </w:tc>
        <w:tc>
          <w:tcPr>
            <w:tcW w:w="8660" w:type="dxa"/>
            <w:vAlign w:val="bottom"/>
            <w:tcBorders>
              <w:bottom w:val="single" w:sz="8" w:color="E5E5E5"/>
              <w:right w:val="single" w:sz="8" w:color="E5E5E5"/>
            </w:tcBorders>
          </w:tcPr>
          <w:p>
            <w:pPr>
              <w:spacing w:after="0"/>
              <w:rPr>
                <w:sz w:val="7"/>
                <w:szCs w:val="7"/>
                <w:color w:val="auto"/>
              </w:rPr>
            </w:pPr>
          </w:p>
        </w:tc>
      </w:tr>
      <w:tr>
        <w:trPr>
          <w:trHeight w:val="165"/>
        </w:trPr>
        <w:tc>
          <w:tcPr>
            <w:tcW w:w="2600" w:type="dxa"/>
            <w:vAlign w:val="bottom"/>
            <w:tcBorders>
              <w:left w:val="single" w:sz="8" w:color="E5E5E5"/>
              <w:right w:val="single" w:sz="8" w:color="E5E5E5"/>
            </w:tcBorders>
          </w:tcPr>
          <w:p>
            <w:pPr>
              <w:ind w:left="120"/>
              <w:spacing w:after="0" w:line="165" w:lineRule="exact"/>
              <w:rPr>
                <w:sz w:val="20"/>
                <w:szCs w:val="20"/>
                <w:color w:val="auto"/>
              </w:rPr>
            </w:pPr>
            <w:r>
              <w:rPr>
                <w:rFonts w:ascii="Times New Roman" w:cs="Times New Roman" w:eastAsia="Times New Roman" w:hAnsi="Times New Roman"/>
                <w:sz w:val="16"/>
                <w:szCs w:val="16"/>
                <w:color w:val="auto"/>
              </w:rPr>
              <w:t>SomaSignal Tests</w:t>
            </w:r>
          </w:p>
        </w:tc>
        <w:tc>
          <w:tcPr>
            <w:tcW w:w="8660" w:type="dxa"/>
            <w:vAlign w:val="bottom"/>
            <w:tcBorders>
              <w:right w:val="single" w:sz="8" w:color="E5E5E5"/>
            </w:tcBorders>
          </w:tcPr>
          <w:p>
            <w:pPr>
              <w:ind w:left="100"/>
              <w:spacing w:after="0" w:line="165" w:lineRule="exact"/>
              <w:rPr>
                <w:sz w:val="20"/>
                <w:szCs w:val="20"/>
                <w:color w:val="auto"/>
              </w:rPr>
            </w:pPr>
            <w:r>
              <w:rPr>
                <w:rFonts w:ascii="Times New Roman" w:cs="Times New Roman" w:eastAsia="Times New Roman" w:hAnsi="Times New Roman"/>
                <w:sz w:val="16"/>
                <w:szCs w:val="16"/>
                <w:color w:val="auto"/>
              </w:rPr>
              <w:t>15 CLIA-certified tests for clinical applications and 29 research use only ("RUO") tests for clinical trials, enabling risk stratification</w:t>
            </w:r>
          </w:p>
        </w:tc>
      </w:tr>
      <w:tr>
        <w:trPr>
          <w:trHeight w:val="206"/>
        </w:trPr>
        <w:tc>
          <w:tcPr>
            <w:tcW w:w="2600" w:type="dxa"/>
            <w:vAlign w:val="bottom"/>
            <w:tcBorders>
              <w:left w:val="single" w:sz="8" w:color="E5E5E5"/>
              <w:right w:val="single" w:sz="8" w:color="E5E5E5"/>
            </w:tcBorders>
          </w:tcPr>
          <w:p>
            <w:pPr>
              <w:spacing w:after="0"/>
              <w:rPr>
                <w:sz w:val="17"/>
                <w:szCs w:val="17"/>
                <w:color w:val="auto"/>
              </w:rPr>
            </w:pPr>
          </w:p>
        </w:tc>
        <w:tc>
          <w:tcPr>
            <w:tcW w:w="8660" w:type="dxa"/>
            <w:vAlign w:val="bottom"/>
            <w:tcBorders>
              <w:right w:val="single" w:sz="8" w:color="E5E5E5"/>
            </w:tcBorders>
          </w:tcPr>
          <w:p>
            <w:pPr>
              <w:ind w:left="100"/>
              <w:spacing w:after="0"/>
              <w:rPr>
                <w:sz w:val="20"/>
                <w:szCs w:val="20"/>
                <w:color w:val="auto"/>
              </w:rPr>
            </w:pPr>
            <w:r>
              <w:rPr>
                <w:rFonts w:ascii="Times New Roman" w:cs="Times New Roman" w:eastAsia="Times New Roman" w:hAnsi="Times New Roman"/>
                <w:sz w:val="16"/>
                <w:szCs w:val="16"/>
                <w:color w:val="auto"/>
              </w:rPr>
              <w:t>and personalized medicine.</w:t>
            </w:r>
          </w:p>
        </w:tc>
      </w:tr>
      <w:tr>
        <w:trPr>
          <w:trHeight w:val="106"/>
        </w:trPr>
        <w:tc>
          <w:tcPr>
            <w:tcW w:w="2600" w:type="dxa"/>
            <w:vAlign w:val="bottom"/>
            <w:tcBorders>
              <w:left w:val="single" w:sz="8" w:color="E5E5E5"/>
              <w:bottom w:val="single" w:sz="8" w:color="E5E5E5"/>
              <w:right w:val="single" w:sz="8" w:color="E5E5E5"/>
            </w:tcBorders>
          </w:tcPr>
          <w:p>
            <w:pPr>
              <w:spacing w:after="0"/>
              <w:rPr>
                <w:sz w:val="9"/>
                <w:szCs w:val="9"/>
                <w:color w:val="auto"/>
              </w:rPr>
            </w:pPr>
          </w:p>
        </w:tc>
        <w:tc>
          <w:tcPr>
            <w:tcW w:w="8660" w:type="dxa"/>
            <w:vAlign w:val="bottom"/>
            <w:tcBorders>
              <w:bottom w:val="single" w:sz="8" w:color="E5E5E5"/>
              <w:right w:val="single" w:sz="8" w:color="E5E5E5"/>
            </w:tcBorders>
          </w:tcPr>
          <w:p>
            <w:pPr>
              <w:spacing w:after="0"/>
              <w:rPr>
                <w:sz w:val="9"/>
                <w:szCs w:val="9"/>
                <w:color w:val="auto"/>
              </w:rPr>
            </w:pPr>
          </w:p>
        </w:tc>
      </w:tr>
      <w:tr>
        <w:trPr>
          <w:trHeight w:val="198"/>
        </w:trPr>
        <w:tc>
          <w:tcPr>
            <w:tcW w:w="2600" w:type="dxa"/>
            <w:vAlign w:val="bottom"/>
            <w:tcBorders>
              <w:left w:val="single" w:sz="8" w:color="E5E5E5"/>
              <w:right w:val="single" w:sz="8" w:color="E5E5E5"/>
            </w:tcBorders>
          </w:tcPr>
          <w:p>
            <w:pPr>
              <w:ind w:left="120"/>
              <w:spacing w:after="0"/>
              <w:rPr>
                <w:sz w:val="20"/>
                <w:szCs w:val="20"/>
                <w:color w:val="auto"/>
              </w:rPr>
            </w:pPr>
            <w:r>
              <w:rPr>
                <w:rFonts w:ascii="Times New Roman" w:cs="Times New Roman" w:eastAsia="Times New Roman" w:hAnsi="Times New Roman"/>
                <w:sz w:val="16"/>
                <w:szCs w:val="16"/>
                <w:color w:val="auto"/>
              </w:rPr>
              <w:t>SOMAmer Reagents</w:t>
            </w:r>
          </w:p>
        </w:tc>
        <w:tc>
          <w:tcPr>
            <w:tcW w:w="8660" w:type="dxa"/>
            <w:vAlign w:val="bottom"/>
            <w:tcBorders>
              <w:right w:val="single" w:sz="8" w:color="E5E5E5"/>
            </w:tcBorders>
          </w:tcPr>
          <w:p>
            <w:pPr>
              <w:ind w:left="100"/>
              <w:spacing w:after="0"/>
              <w:rPr>
                <w:sz w:val="20"/>
                <w:szCs w:val="20"/>
                <w:color w:val="auto"/>
              </w:rPr>
            </w:pPr>
            <w:r>
              <w:rPr>
                <w:rFonts w:ascii="Times New Roman" w:cs="Times New Roman" w:eastAsia="Times New Roman" w:hAnsi="Times New Roman"/>
                <w:sz w:val="16"/>
                <w:szCs w:val="16"/>
                <w:color w:val="auto"/>
              </w:rPr>
              <w:t>Proprietary reagents available via licensing for research and commercial use.</w:t>
            </w:r>
          </w:p>
        </w:tc>
      </w:tr>
      <w:tr>
        <w:trPr>
          <w:trHeight w:val="89"/>
        </w:trPr>
        <w:tc>
          <w:tcPr>
            <w:tcW w:w="2600" w:type="dxa"/>
            <w:vAlign w:val="bottom"/>
            <w:tcBorders>
              <w:left w:val="single" w:sz="8" w:color="E5E5E5"/>
              <w:bottom w:val="single" w:sz="8" w:color="E5E5E5"/>
              <w:right w:val="single" w:sz="8" w:color="E5E5E5"/>
            </w:tcBorders>
          </w:tcPr>
          <w:p>
            <w:pPr>
              <w:spacing w:after="0"/>
              <w:rPr>
                <w:sz w:val="7"/>
                <w:szCs w:val="7"/>
                <w:color w:val="auto"/>
              </w:rPr>
            </w:pPr>
          </w:p>
        </w:tc>
        <w:tc>
          <w:tcPr>
            <w:tcW w:w="8660" w:type="dxa"/>
            <w:vAlign w:val="bottom"/>
            <w:tcBorders>
              <w:bottom w:val="single" w:sz="8" w:color="E5E5E5"/>
              <w:right w:val="single" w:sz="8" w:color="E5E5E5"/>
            </w:tcBorders>
          </w:tcPr>
          <w:p>
            <w:pPr>
              <w:spacing w:after="0"/>
              <w:rPr>
                <w:sz w:val="7"/>
                <w:szCs w:val="7"/>
                <w:color w:val="auto"/>
              </w:rPr>
            </w:pPr>
          </w:p>
        </w:tc>
      </w:tr>
      <w:tr>
        <w:trPr>
          <w:trHeight w:val="165"/>
        </w:trPr>
        <w:tc>
          <w:tcPr>
            <w:tcW w:w="2600" w:type="dxa"/>
            <w:vAlign w:val="bottom"/>
            <w:tcBorders>
              <w:left w:val="single" w:sz="8" w:color="E5E5E5"/>
              <w:right w:val="single" w:sz="8" w:color="E5E5E5"/>
            </w:tcBorders>
          </w:tcPr>
          <w:p>
            <w:pPr>
              <w:ind w:left="120"/>
              <w:spacing w:after="0" w:line="165" w:lineRule="exact"/>
              <w:rPr>
                <w:sz w:val="20"/>
                <w:szCs w:val="20"/>
                <w:color w:val="auto"/>
              </w:rPr>
            </w:pPr>
            <w:r>
              <w:rPr>
                <w:rFonts w:ascii="Times New Roman" w:cs="Times New Roman" w:eastAsia="Times New Roman" w:hAnsi="Times New Roman"/>
                <w:sz w:val="16"/>
                <w:szCs w:val="16"/>
                <w:color w:val="auto"/>
              </w:rPr>
              <w:t>SomaScan Authorized Sites Program</w:t>
            </w:r>
          </w:p>
        </w:tc>
        <w:tc>
          <w:tcPr>
            <w:tcW w:w="8660" w:type="dxa"/>
            <w:vAlign w:val="bottom"/>
            <w:tcBorders>
              <w:right w:val="single" w:sz="8" w:color="E5E5E5"/>
            </w:tcBorders>
          </w:tcPr>
          <w:p>
            <w:pPr>
              <w:ind w:left="100"/>
              <w:spacing w:after="0" w:line="165" w:lineRule="exact"/>
              <w:rPr>
                <w:sz w:val="20"/>
                <w:szCs w:val="20"/>
                <w:color w:val="auto"/>
              </w:rPr>
            </w:pPr>
            <w:r>
              <w:rPr>
                <w:rFonts w:ascii="Times New Roman" w:cs="Times New Roman" w:eastAsia="Times New Roman" w:hAnsi="Times New Roman"/>
                <w:sz w:val="16"/>
                <w:szCs w:val="16"/>
                <w:color w:val="auto"/>
              </w:rPr>
              <w:t>Program that enables pharma, biotech, and academic institutions to run the SomaScan assay in-house with the same precision as our</w:t>
            </w:r>
          </w:p>
        </w:tc>
      </w:tr>
      <w:tr>
        <w:trPr>
          <w:trHeight w:val="206"/>
        </w:trPr>
        <w:tc>
          <w:tcPr>
            <w:tcW w:w="2600" w:type="dxa"/>
            <w:vAlign w:val="bottom"/>
            <w:tcBorders>
              <w:left w:val="single" w:sz="8" w:color="E5E5E5"/>
              <w:right w:val="single" w:sz="8" w:color="E5E5E5"/>
            </w:tcBorders>
          </w:tcPr>
          <w:p>
            <w:pPr>
              <w:spacing w:after="0"/>
              <w:rPr>
                <w:sz w:val="17"/>
                <w:szCs w:val="17"/>
                <w:color w:val="auto"/>
              </w:rPr>
            </w:pPr>
          </w:p>
        </w:tc>
        <w:tc>
          <w:tcPr>
            <w:tcW w:w="8660" w:type="dxa"/>
            <w:vAlign w:val="bottom"/>
            <w:tcBorders>
              <w:right w:val="single" w:sz="8" w:color="E5E5E5"/>
            </w:tcBorders>
          </w:tcPr>
          <w:p>
            <w:pPr>
              <w:ind w:left="100"/>
              <w:spacing w:after="0"/>
              <w:rPr>
                <w:sz w:val="20"/>
                <w:szCs w:val="20"/>
                <w:color w:val="auto"/>
              </w:rPr>
            </w:pPr>
            <w:r>
              <w:rPr>
                <w:rFonts w:ascii="Times New Roman" w:cs="Times New Roman" w:eastAsia="Times New Roman" w:hAnsi="Times New Roman"/>
                <w:sz w:val="16"/>
                <w:szCs w:val="16"/>
                <w:color w:val="auto"/>
              </w:rPr>
              <w:t>service labs.</w:t>
            </w:r>
          </w:p>
        </w:tc>
      </w:tr>
      <w:tr>
        <w:trPr>
          <w:trHeight w:val="106"/>
        </w:trPr>
        <w:tc>
          <w:tcPr>
            <w:tcW w:w="2600" w:type="dxa"/>
            <w:vAlign w:val="bottom"/>
            <w:tcBorders>
              <w:left w:val="single" w:sz="8" w:color="E5E5E5"/>
              <w:bottom w:val="single" w:sz="8" w:color="E5E5E5"/>
              <w:right w:val="single" w:sz="8" w:color="E5E5E5"/>
            </w:tcBorders>
          </w:tcPr>
          <w:p>
            <w:pPr>
              <w:spacing w:after="0"/>
              <w:rPr>
                <w:sz w:val="9"/>
                <w:szCs w:val="9"/>
                <w:color w:val="auto"/>
              </w:rPr>
            </w:pPr>
          </w:p>
        </w:tc>
        <w:tc>
          <w:tcPr>
            <w:tcW w:w="8660" w:type="dxa"/>
            <w:vAlign w:val="bottom"/>
            <w:tcBorders>
              <w:bottom w:val="single" w:sz="8" w:color="E5E5E5"/>
              <w:right w:val="single" w:sz="8" w:color="E5E5E5"/>
            </w:tcBorders>
          </w:tcPr>
          <w:p>
            <w:pPr>
              <w:spacing w:after="0"/>
              <w:rPr>
                <w:sz w:val="9"/>
                <w:szCs w:val="9"/>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CyTOF</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CyTOF technology platform transforms single-cell analysis by leveraging mass cytometry to detect and quantify over 50 intracellular and extracellular markers simultaneously, providing researchers with a deeper and more precise view of cellular function. Unlike fluorescence-based flow cytometry, which is limited by spectral overlap, CyTOF uses metal-tagged antibodies and time-of-flight mass spectrometry to eliminate signal interference and expand multiplexing capabilities. This breakthrough technology enables high-dimensional immune profiling, biomarker discovery, and functional cell analysis with unparalleled accuracy. The CyTOF platform</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includes state-of-the-art instrumentation, optimized reagents, and powerful data analysis tools to accelerate discoveries in immunology, oncology, and beyond.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Hyperion</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Hyperion spatial biology platform unlocks deeper insights into tissue organization by preserving spatial context while enabling high-dimensional molecular and proteomic analysis. Unlike traditional bulk or single-cell methods, our platform utilizes Imaging Mass Cytometry with to simultaneously map multiple protein markers (up to 40+) across complex tissue landscapes. This approach allows researchers to explore cellular interactions, tissue architecture, and disease progression at unprecedented resolution. Our Hyperion platform includes state-of-the-art instrumentation, multiplexed imaging capabilities, and powerful bioinformatics tools to drive discoveries in oncology, immunology, and neuroscience.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Biomark</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Biomark X9 system redefines high-throughput genomics by delivering exceptional efficiency, precision, and scalability for qPCR applications. Designed for researchers who require robust multiplexing capabilities, the Biomark X9 system enables the simultaneous analysis of thousands of reactions in a single run. By leveraging advanced microfluidics technology, it significantly reduces reagent consumption while increasing throughput, making it an ideal solution for large-scale genomic studies, clinical research, and biomarker discovery. The Biomark X9 system integrates seamlessly with powerful data analysis tools, accelerating workflows and providing comprehensive insights with unmatched accuracy.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Based on industry estimates, the annual worldwide life sciences research tools total addressable market ("TAM") totals more than $70 billion. We currently participate in emerging segments of the life sciences research and biopharmaceutical tools market focused on proteomics and genomics.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Proteomics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believe proteomics represents one of the largest untapped opportunities in the life sciences industry today, given its extensive existing applications and broad potential. Currently, most of the drugs approved by the U.S. Food and Drug Administration (the "FDA") target a protein, and most other drugs interact with, or are influenced by, protein-mediated signal transduction cascades. Our technologies aim to address a large opportunity across multiple proteomics-based markets and are uniquely designed to attract, capture, and retain customers representing a substantial share of each of these markets:</w:t>
      </w:r>
    </w:p>
    <w:p>
      <w:pPr>
        <w:spacing w:after="0" w:line="64" w:lineRule="exact"/>
        <w:rPr>
          <w:sz w:val="20"/>
          <w:szCs w:val="20"/>
          <w:color w:val="auto"/>
        </w:rPr>
      </w:pPr>
    </w:p>
    <w:p>
      <w:pPr>
        <w:ind w:left="1020" w:hanging="516"/>
        <w:spacing w:after="0" w:line="27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Flow Cytometry</w:t>
      </w:r>
      <w:r>
        <w:rPr>
          <w:rFonts w:ascii="Times New Roman" w:cs="Times New Roman" w:eastAsia="Times New Roman" w:hAnsi="Times New Roman"/>
          <w:sz w:val="16"/>
          <w:szCs w:val="16"/>
          <w:color w:val="auto"/>
        </w:rPr>
        <w:t>: A critical tool for single-cell analysis, enabling high-parameter protein characterization. The demand for multiplexed, high-resolution immune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profiling is increasing, particularly in oncology and immunotherapy research.</w:t>
      </w:r>
    </w:p>
    <w:p>
      <w:pPr>
        <w:spacing w:after="0" w:line="46" w:lineRule="exact"/>
        <w:rPr>
          <w:rFonts w:ascii="Times New Roman" w:cs="Times New Roman" w:eastAsia="Times New Roman" w:hAnsi="Times New Roman"/>
          <w:sz w:val="16"/>
          <w:szCs w:val="16"/>
          <w:color w:val="auto"/>
        </w:rPr>
      </w:pPr>
    </w:p>
    <w:p>
      <w:pPr>
        <w:ind w:left="1020" w:right="20" w:hanging="516"/>
        <w:spacing w:after="0" w:line="27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Spatial Biology</w:t>
      </w:r>
      <w:r>
        <w:rPr>
          <w:rFonts w:ascii="Times New Roman" w:cs="Times New Roman" w:eastAsia="Times New Roman" w:hAnsi="Times New Roman"/>
          <w:sz w:val="16"/>
          <w:szCs w:val="16"/>
          <w:color w:val="auto"/>
        </w:rPr>
        <w:t>: Growing rapidly within tissue imaging and tumor microenvironment research, as researchers seek to map cellular interactions and disease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progression at a deeper level. This market is expanding in both academic and clinical research applications.</w:t>
      </w:r>
    </w:p>
    <w:p>
      <w:pPr>
        <w:spacing w:after="0" w:line="46" w:lineRule="exact"/>
        <w:rPr>
          <w:rFonts w:ascii="Times New Roman" w:cs="Times New Roman" w:eastAsia="Times New Roman" w:hAnsi="Times New Roman"/>
          <w:sz w:val="16"/>
          <w:szCs w:val="16"/>
          <w:color w:val="auto"/>
        </w:rPr>
      </w:pPr>
    </w:p>
    <w:p>
      <w:pPr>
        <w:ind w:left="1020" w:right="20" w:hanging="516"/>
        <w:spacing w:after="0" w:line="27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Affinity Proteomics</w:t>
      </w:r>
      <w:r>
        <w:rPr>
          <w:rFonts w:ascii="Times New Roman" w:cs="Times New Roman" w:eastAsia="Times New Roman" w:hAnsi="Times New Roman"/>
          <w:sz w:val="16"/>
          <w:szCs w:val="16"/>
          <w:color w:val="auto"/>
        </w:rPr>
        <w:t>: A key sector in biomarker discovery, translational research, and clinical diagnostics, driven by increasing demand for high-throughput,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cost-effective protein quantification in plasma and tissue samples.</w:t>
      </w:r>
    </w:p>
    <w:p>
      <w:pPr>
        <w:spacing w:after="0" w:line="46" w:lineRule="exact"/>
        <w:rPr>
          <w:rFonts w:ascii="Times New Roman" w:cs="Times New Roman" w:eastAsia="Times New Roman" w:hAnsi="Times New Roman"/>
          <w:sz w:val="16"/>
          <w:szCs w:val="16"/>
          <w:color w:val="auto"/>
        </w:rPr>
      </w:pPr>
    </w:p>
    <w:p>
      <w:pPr>
        <w:ind w:left="1020" w:right="20" w:hanging="516"/>
        <w:spacing w:after="0" w:line="27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Antibody Profiling: </w:t>
      </w:r>
      <w:r>
        <w:rPr>
          <w:rFonts w:ascii="Times New Roman" w:cs="Times New Roman" w:eastAsia="Times New Roman" w:hAnsi="Times New Roman"/>
          <w:sz w:val="16"/>
          <w:szCs w:val="16"/>
          <w:color w:val="auto"/>
        </w:rPr>
        <w:t>Critical for vaccine development, autoimmune research, and oncology, as researchers seek tools to characterize immune responses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identify therapeutic targets.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Genomics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genomics market is well-established but continues to grow as advancements in gene expression analysis, Next-Generation Sequencing ("NGS"), and Quantitative Polymerase Chain Reaction ("qPCR") drive innovation:</w:t>
      </w:r>
    </w:p>
    <w:p>
      <w:pPr>
        <w:spacing w:after="0" w:line="50" w:lineRule="exact"/>
        <w:rPr>
          <w:sz w:val="20"/>
          <w:szCs w:val="20"/>
          <w:color w:val="auto"/>
        </w:rPr>
      </w:pPr>
    </w:p>
    <w:p>
      <w:pPr>
        <w:ind w:left="1020" w:hanging="516"/>
        <w:spacing w:after="0" w:line="276"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Genotyping &amp; Gene Expression Analysis: Expanding applications in disease research, pharmacogenomics, and personalized medicine are fueling demand for rapid, scalable genomic solutions.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NGS Sample Preparation: Widely used in biomarker discovery, translational research, and clinical diagnostics, as sequencing costs decrease and clinical applications increase.</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7" w:name="page8"/>
    <w:bookmarkEnd w:id="7"/>
    <w:p>
      <w:pPr>
        <w:jc w:val="both"/>
        <w:spacing w:after="0" w:line="276" w:lineRule="auto"/>
        <w:rPr>
          <w:sz w:val="20"/>
          <w:szCs w:val="20"/>
          <w:color w:val="auto"/>
        </w:rPr>
      </w:pPr>
      <w:r>
        <w:rPr>
          <w:rFonts w:ascii="Times New Roman" w:cs="Times New Roman" w:eastAsia="Times New Roman" w:hAnsi="Times New Roman"/>
          <w:sz w:val="16"/>
          <w:szCs w:val="16"/>
          <w:color w:val="auto"/>
        </w:rPr>
        <w:t>With the continued convergence of proteomics and genomics, the life sciences market is positioned for accelerated growth, presenting substantial opportunities for companies that provide high-throughput, precise, and scalable analytical solutions.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OEM Markets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also utilize our proprietary microfluidics technology to collaborate with original equipment manufacturer ("OEM") providers to pursue market opportunities outside our core markets. These OEM markets are highly varied, and we believe represent significant expansion opportunities for our technology.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sell our instruments and consumables for RUO to leading academic research institutions, translational research and medicine centers, cancer centers, clinical research laboratories, and biopharmaceutical, biotechnology, and plant and animal research companies.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Sales, Service and Support</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distribute our systems through our direct sales force and support organizations located in North America, Europe, and Asia-Pacific, and through distributors or sales agents in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Collaborations</w:t>
      </w:r>
    </w:p>
    <w:p>
      <w:pPr>
        <w:spacing w:after="0" w:line="23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Illumina Cambridge, Ltd. </w:t>
      </w:r>
      <w:r>
        <w:rPr>
          <w:rFonts w:ascii="Times New Roman" w:cs="Times New Roman" w:eastAsia="Times New Roman" w:hAnsi="Times New Roman"/>
          <w:sz w:val="16"/>
          <w:szCs w:val="16"/>
          <w:color w:val="auto"/>
        </w:rPr>
        <w:t>In connection with the Merger, we assumed a multi-year Collaboration Agreement with Illumina Cambridge, Ltd. ("Illumina"), originally entered into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SomaLogic and Illumina in December 2021 (the "Illumina Agreement"), to jointly develop and commercialize co-branded kits to combine Illumina's Next Generation Sequencing ("NGS") technology with SomaScan® technology (the "Co-Branded Kits"), in exchange for, among other things, an upfront payment and certain royalty payments. Unless earlier terminated in accordance with its terms, the Illumina Agreement will remain in effect until the expiration of the last-to-expire royalty period for the Licensed Products.</w:t>
      </w:r>
    </w:p>
    <w:p>
      <w:pPr>
        <w:spacing w:after="0" w:line="2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NEC Corporation. </w:t>
      </w:r>
      <w:r>
        <w:rPr>
          <w:rFonts w:ascii="Times New Roman" w:cs="Times New Roman" w:eastAsia="Times New Roman" w:hAnsi="Times New Roman"/>
          <w:sz w:val="16"/>
          <w:szCs w:val="16"/>
          <w:color w:val="auto"/>
        </w:rPr>
        <w:t>Additionally, in connection with the Merger, we assumed a joint development and commercialization agreement with NEC Solution Innovators, Ltd. ("NEC"),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originally entered into by SomaLogic and NEC in March 2020, to develop and commercialize SomaScan® services in Japan.</w:t>
      </w:r>
    </w:p>
    <w:p>
      <w:pPr>
        <w:spacing w:after="0" w:line="23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New England Biolabs, Inc. </w:t>
      </w:r>
      <w:r>
        <w:rPr>
          <w:rFonts w:ascii="Times New Roman" w:cs="Times New Roman" w:eastAsia="Times New Roman" w:hAnsi="Times New Roman"/>
          <w:sz w:val="16"/>
          <w:szCs w:val="16"/>
          <w:color w:val="auto"/>
        </w:rPr>
        <w:t>Also in connection with the Merger, we assumed a non-exclusive licensing agreement with New England Biolabs, Inc. ("NEB"), originally entered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into by SomaLogic and NEB in September 2022, whereby we provide a license to use certain proprietary information and know-how relating to SomaLogic's aptamer technology.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Our manufacturing operations are located in Singapore, Canada, Malaysia, and the United States (Boulder, Colorado). Our facility in Singapore manufactures Integrated Fluidic Circuits ("IFCs") and assemblies of microfluidics instruments.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Markham, Canada. Genomics reagents are manufactured at our facility in Markham, Canada.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facility in Boulder, Colorado manufactures reagents, SomaScan® assay kits, and other consumables used to run SomaScan® assays.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 w:name="page9"/>
    <w:bookmarkEnd w:id="8"/>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connection with the acquisition of Sengenics. we acquired additional manufacturing operations in Kuala Lumpur, Malaysia. Our facility in Kuala Lumpur manufactures lysates for KREX™ microarrays.</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rely on a limited number of suppliers for certain components and materials used in our products. Key components in our legacy products and acquired products are supplied by sole or limited source suppliers. The loss of a single or sole source supplier would require significant time and effort to locate and qualify an alternative source of supply, if at all, and could adversely impact our business. For additional information, please refer to “Item 1A. Risk Factors.”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Laboratory Operations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perform all of our SomaScan Services and SomaSignal™ tests in our laboratory facility located in Boulder, Colorado.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the CLIA and is licensed by certain other states requiring out-of-state licensure including California, Maryland, Pennsylvania and Rhode Island.</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perform all of our KREX™ microarray assay services in our laboratory facility located in Kuala Lumpur, Malaysia, and we perform CyTOF and Hyperion lab services in our Markham, Canada facility.</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believe that our existing laboratory facilities are adequate to meet our business needs for at least the next 12 months and that additional laboratory space will be available on commercially reasonable terms, if required.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Quality Assurance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quality assurance function oversees the quality of our laboratory and manufacturing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product development strategy combines internal innovation with targeted acquisitions, allowing us to expand our capabilities and accelerate the introduction of new technologies. With a strong track record of delivering impactful solutions, we maintain a disciplined focus on execution, ensuring that our advancements translate into meaningful improvements for researchers.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development process is deeply multidisciplinary, integrating expertise across chemistry, molecular biology, microfluidics, mass spectrometry, computational biology, and software engineering. Scientific expertise is embedded throughout our organization—from research and development ("R&amp;D") to leadership and across cross-functional teams— fostering an environment where technological innovation thrives.</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Moving forward, we are committed to enhancing the performance and scalability of our existing platforms, developing next-generation solutions, and integrating advanced software and workflows to support complex research needs. By continuously evolving our technologies, we aim to provide researchers with the most reliable and insightful tools to accelerate discoveries and improve human health.</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life sciences market is highly competitive and continues to evolve as research advances. Key competitive factors include product quality, cost, innovation, ease of use, accuracy, reproducibility, reputation, and compatibility with existing lab workflows. Competition also extends to attracting top scientific and technical talent.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compete with both established and emerging life science companies that develop instruments for gene expression analysis, genotyping, nucleic acid detection, protein analysis, imaging, and other applications. Additionally, academic groups and new market entrants are advancing novel technologies. Many competitors have advantages such as strong brand recognition, greater financial and human resources, broader product portfolios, larger sales forces, and extensive intellectual property holdings. They also benefit from well-established customer relationships, global support networks, and large-scale manufacturing capabilities.</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9" w:name="page10"/>
    <w:bookmarkEnd w:id="9"/>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To differentiate ourselves, we must clearly demonstrate that our technology, solutions, and customer support deliver superior performance and value compared to competing products and emerging innovations.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Patents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have developed a portfolio of issued patents and patent applications directed towards commercial products and technologies in development. As of December 31, 2024, we owned or licensed approximately 1,020 patents and had over 520 pending patent applications worldwide, including patents and pending patent applications acquired from SomaLogic and Sengenics. Our utility patents have expiration dates ranging up to year 2044, and our design patents have expiration dates ranging up to year 2047.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entered into licenses for technologies from various companies and academic institutions.</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Genomics Technologies. </w:t>
      </w:r>
      <w:r>
        <w:rPr>
          <w:rFonts w:ascii="Times New Roman" w:cs="Times New Roman" w:eastAsia="Times New Roman" w:hAnsi="Times New Roman"/>
          <w:sz w:val="16"/>
          <w:szCs w:val="16"/>
          <w:color w:val="auto"/>
        </w:rPr>
        <w:t>Our core genomics technology originated at the California Institute of Technology (Caltech) in the laboratory of Professor Stephen Quake, who is a co-founder of Fluidigm (now Standard BioTools Inc.). We license genomics technology from Caltech, Harvard University, and Caliper Life Sciences, Inc., now a PerkinElmer Health Sciences, Inc. ("PerkinElmer") company.</w:t>
      </w:r>
    </w:p>
    <w:p>
      <w:pPr>
        <w:spacing w:after="0" w:line="62" w:lineRule="exact"/>
        <w:rPr>
          <w:sz w:val="20"/>
          <w:szCs w:val="20"/>
          <w:color w:val="auto"/>
        </w:rPr>
      </w:pPr>
    </w:p>
    <w:p>
      <w:pPr>
        <w:jc w:val="both"/>
        <w:ind w:left="1020" w:right="20" w:hanging="516"/>
        <w:spacing w:after="0" w:line="261"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December 2025.</w:t>
      </w:r>
    </w:p>
    <w:p>
      <w:pPr>
        <w:spacing w:after="0" w:line="62"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entered into a co-exclusive license agreement with Harvard University for the license of relevant patent filings relating to genomics technology. The license agreement will terminate with the last-to-expire of the licensed patents. The U.S. issued patents we have licensed from Harvard University expire between now and year 2027.</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Proteomics. </w:t>
      </w:r>
      <w:r>
        <w:rPr>
          <w:rFonts w:ascii="Times New Roman" w:cs="Times New Roman" w:eastAsia="Times New Roman" w:hAnsi="Times New Roman"/>
          <w:sz w:val="16"/>
          <w:szCs w:val="16"/>
          <w:color w:val="auto"/>
        </w:rPr>
        <w:t>Some of the intellectual property rights covering our mass cytometry products were subject to a license agreement (the "Original License Agreement") between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Standard BioTools Inc. (formerly Fluidigm Corporation) and PerkinElmer. Under the Original License Agreement, we received an exclusive, royalty bearing, worldwide license to certain patents owned by PerkinElmer in the field of inductively coupled plasma (ICP)-based proteomics,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agreement will terminate on the last expiration date of the Patents, currently expected to be in November 2026, unless earlier terminated pursuant to the terms of the license agreement.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InstruNor AS</w:t>
      </w:r>
      <w:r>
        <w:rPr>
          <w:rFonts w:ascii="Times New Roman" w:cs="Times New Roman" w:eastAsia="Times New Roman" w:hAnsi="Times New Roman"/>
          <w:sz w:val="16"/>
          <w:szCs w:val="16"/>
          <w:color w:val="auto"/>
        </w:rPr>
        <w:t>. In January 2020, we completed the acquisition of InstruNor AS ("InstruNor") for $7.2 million, including $5.2 million in cash and $2.0 million in stock. InstruNor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automated sample preparation solutions for proteomics and flow cytometry instrument markets and became part of Standard BioTools Inc.’s proteomics business. Included in this acquisition were certain intellectual property portfolio assets comprised of patents and/or patent applications directed to various aspects of automated cell pretreatment instruments. The expiration dates for the issued patents in this patent portfolio extended to March 2033.</w:t>
      </w:r>
    </w:p>
    <w:p>
      <w:pPr>
        <w:spacing w:after="0" w:line="16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Any loss, termination, or adverse modification of our licensed intellectual property rights could have a material adverse effect on our business, operating results, and financial condition. For additional information, please refer to “Item 1A. Risk Factors.”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OEM counterparties and collaborators and, when needed, our advisers.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subject to a variety of laws and regulations in the United States, the European Union and other countries. The level and scope of the regulation varies depending on the country or defined economic region, but may include, among other things, the research, development, testing, clinical trials, manufacture, storage, recordkeeping, marketing authorization, labeling, safety, efficacy, packaging, advertising, promotion and commercial sales and distribution, of many of our products.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Laboratory Improvement Amendments of 1988</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required to hold certain federal, state and local licenses, certifications and permits to operate our clinical laboratory facility in Boulder, Colorado, including the performance of certain diagnostic assays.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Boulder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State Laboratory Licensing</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Boulder facility also holds a state license issued by the Colorado Department of Public Health and Environment. Colorado law and regulations establish standards for the day-to-day operation of a clinical laboratory, including the training and skills required of laboratory personnel and quality control.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Oversight of Laboratory Developed Tests and Certain Devices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laws and regulations governing the marketing of diagnostic products are evolving, extremely complex, and in many instances, there are no significant regulatory or judicial interpretations of these laws and regulations. We perform our diagnostic tests like the SomaSignal™ assays in our Boulder, Colorado CLIA-certified and CAP-accredited clinical laboratory, and although the performance of such tests is primarily regulated under CLIA, as administered by CMS, as well as by applicable state laws, as described above, the FDA has asserted its authority over the safety and efficacy of such LDTs, including through premarket review, and the controls necessary to maintain assay quality in recently promulgated regulations.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w:t>
      </w:r>
    </w:p>
    <w:p>
      <w:pPr>
        <w:spacing w:after="0" w:line="16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 Many of the instruments, reagents, kits or other consumable products used within our laboratory facility are regulated as</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1" w:name="page12"/>
    <w:bookmarkEnd w:id="11"/>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However, some low-risk class II devices are exempted from this requirement. When a 510(k) premarket notification 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III devices, are subject to general controls, such as registration and listing, quality system, labeling, and reporting requirements.</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including facility inspections and market surveillance.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Although the FDA has statutory authority to assure that medical devices, including IVDs, are safe and effective for their intended uses, the FDA had historically exercised its enforcement discretion and not enforced applicable device regulations with respect to IVDs that are designed, manufactured and used within a single high-complexity CLIA-certified laboratory. We believe that the SomaSignal</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5"/>
          <w:szCs w:val="15"/>
          <w:color w:val="auto"/>
        </w:rPr>
        <w:t xml:space="preserve"> assays we offer for clinical diagnostic use are LDTs, as are our near-term pipeline candidate tests intended for clinical diagnostic use. However, in May 2024, the FDA issued a final rule aimed at regulating LDTs under the current medical device framework and phasing out its existing enforcement discretion policy for this category of diagnostic tests; the final rule became effective on July 25, 2025. The LDT enforcement policy phase-out process will occur in gradual stages over a total period of four years, with pre-market approval applications for high-risk tests to be submitted by the 3.5-year mark. Moderate-risk and low-risk tests are expected to be in compliance at the 4-year mark, although FDA has stated it will continue to exercise enforcement discretion with respect to tests that are the subject of premarket submissions that are pending review.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healthcare providers. We have begun the process of evaluating the final rule’s potential impact on our SomaSignal</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5"/>
          <w:szCs w:val="15"/>
          <w:color w:val="auto"/>
        </w:rPr>
        <w:t xml:space="preserve"> assays, our operations, and our business more generally. Publication of the LDT final rule prompted the American Clinical Laboratory Association (“ACLA”) and one of its members, on May 29, 2024, as well as the Association for Molecular Pathology (“AMP”) and one of its members, on August 19, 2024, to file complaints against the FDA in the Eastern District of Texas and the Southern District of Texas, respectively. Both complaints allege that the agency does not have authority to promulgate the LDT final rule and seek to vacate the FDA’s action; the two cases were subsequently consolidated into a single action pending in the Eastern District of Texas. Briefing is ongoing in the consolidated case and the outcome is uncertain. The ongoing litigation could potentially affect the FDA’s plans to implement these new LDT requirements, making the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 Following the transition to the new Trump administration, it is unclear whether the Executive Branch of the U.S. government will continue to defend the FDA’s rulemaking action in the consolidated litigation in Texas or if it will take steps to rescind or modify the LDT final rule. 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w:t>
      </w:r>
    </w:p>
    <w:p>
      <w:pPr>
        <w:spacing w:after="0" w:line="3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2" w:name="page13"/>
    <w:bookmarkEnd w:id="12"/>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forward. The outcome of the November 2024 elections on the composition of the 2025-2026 Congress, with both the Senate and House transitions to Republican control, also creates uncertainties for the diagnostic industry.</w:t>
      </w:r>
    </w:p>
    <w:p>
      <w:pPr>
        <w:spacing w:after="0" w:line="1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Even though we presently commercialize some of our SomaSignal</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as LDTs, the FDA may disagree that such tests are within the scope of its current enforcement discretion criteria for LDTs, or our SomaSignal</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may in the future become subject to more onerous regulation by the FDA. If and when the FDA begins to actively enforce its premarket submission regulations with respect to LDTs generally or to our SomaSignal</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in particular, whether as a result of new legislative authority or under the May 2024 LDT final rule, depending upon the risk classification of each individual test, we may be required to obtain premarket clearance for our diagnostic assays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tests and testing services pending clearance or approval and conduct clinical testing prior to making submissions to FDA to obtain premarket clearance or approval. The FDA could also require that we label our SomaSignal</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as investigational or limit the labeling claims we are permitted to make.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of Clinical Trials</w:t>
      </w:r>
    </w:p>
    <w:p>
      <w:pPr>
        <w:spacing w:after="0" w:line="10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We may in the future conduct research studies for our SomaSignal</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intended for clinical diagnostic use and our other assays in development that involve clinical investigators and human subjects (or stored specimens from human subjects) at sites in the United States. We may need to conduct additional clinical trials for the SomaSignal</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for clinical use,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trials involving human subjects often require significant time and cash resources to complete and are subject to a high degree of risk, including risks of experiencing delays, failing to complete the trial or obtaining unexpected or negative results.</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If the investigational device presents a “significant risk,” as defined by the FDA, the agency requires the device sponsor to submit an investigational device exemption application ("IDE") to the FDA. The exemption must become effective prior to commencing human clinical studies.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patient. An IDE must be supported by appropriate non-clinical data, such as animal and laboratory test results, showing that the device has a safety profile appropriate for human testing and that the trial protocol is scientifically sound. The IDE will automatically become effective 30 days after receipt by the FDA, unless the FDA expressly approves or denies the application in writing or notifies the sponsor that the investigation is on hold and may not begin until the sponsor provides supplemental information about the investigation that satisfies the agency’s concerns. If the FDA determines that there are deficiencies or other concerns with an IDE that require modification of the trial, the FDA may permit a clinical trial to proceed under a conditional approval or the sponsor and the FDA must resolve any outstanding concerns before the clinical trial can begin. If the device presents a non-significant risk to the patient according to criteria established by FDA as part of the IDE regulations, a sponsor may begin the clinical trial after obtaining approval for the trial by one or more IRBs without separate authorization from the FDA, but must still comply with abbreviated IDE requirements, such as monitoring the investigation, ensuring that the investigators obtain informed consent, and labeling and record-keeping requirements.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the Consolidated Appropriations Act for 2023, Congress amended the FDCA to require the sponsor of any pivotal clinical trial that will be used to demonstrate the safety and effectiveness of a medical device marketing authorization submission to develop a diversity action plan for such trial, and if submission of an IDE application is required, to submit such diversity action plan to the FDA. The action plan must include the sponsor’s diversity goals for enrollment, as well as a rationale for the goals and a description of how the</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3" w:name="page14"/>
    <w:bookmarkEnd w:id="13"/>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sponsor will meet them. The FDA may grant a waiver for some or all of the requirements for a diversity action plan. It is unknown at this time how the diversity action plan may affect device pivotal clinical trial planning and timing, but if FDA objects to a sponsor’s diversity action plan and requires the sponsor to amend the plan or take other actions, it may delay trial initiation.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Laboratory Technology for Research Use Only</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proteomics, genomics, and analytical instruments, reagents, and other consumables are currently intended for, labeled and sold for RUO applications, and we sell them to academic institutions, life sciences and clinical research laboratories that conduct research, and biopharmaceutical and biotechnology companies for non-clinical and non-diagnostic purposes. In addition, the SomaLogic offerings, other than the SomaSignalTM assays intended for clinical diagnostic use, are intended and offered for RUO applications. Such products are not intended or promoted for use in clinical practice in the diagnosis of disease or other conditions. Accordingly, they are not subject to pre- and post-market controls for medical devices by the FDA, with the exception that we must comply with the agency’s regulations relating to the labeling of IVDs intended for RUO applications. In accordance with such regulations, our RUO products are labeled, “For Research Use Only. Not for use in diagnostic procedures.”</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FDA’s final guidance document “Distribution of In Vitro Diagnostic Products Labeled for Research Use Only or Investigational Use Only” (the "RUO/IUO Guidance"), provides the FDA’s thinking on when IVDs are properly labeled for RUO or for IUO. The RUO/IUO Guidance explains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clinical diagnostic uses or that the manufacturer intends such uses. These circumstances may include, among other things, written or verbal marketing claims regarding a product’s performance in clinical diagnostic applications, a manufacturer’s provision of technical support for clinical validation or clinical applications of the product, or solicitation of business from clinical laboratories, all of which FDA may consider evidence of intended uses that conflict with RUO/IUO labeling. If we are required to obtain marketing authorization from FDA for our products that we label and sell as RUO, we may be required to delay marketing and commercialization while we obtain pre-market clearance or approval from the FDA. There would be no assurance that we could ever obtain such clearance or approval.</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some cases, our customers may, on their own initiative and without consulting us, use our RUO-labeled products in their own LDTs or in other FDA-regulated products for clinical diagnostic use.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of Laboratory Technologies and Services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Whether our proteomics or genomics technologies or our laboratory assays are not regulated by FDA, regulated as class I or class II devices, or subject to enforcement discretion with respect to FDA’s device requirements, advertising for such services and products is subject to federal truth-in-advertising laws enforced by the Federal Trade Commission (the "FTC"), as well as comparable state consumer protection laws. Under the Federal Trade Commission Act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and State Anti-Kickback Laws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w:t>
      </w:r>
    </w:p>
    <w:p>
      <w:pPr>
        <w:spacing w:after="0" w:line="1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4" w:name="page15"/>
    <w:bookmarkEnd w:id="14"/>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Failure to meet the requirements of an exception or a safe harbor does not render an arrangement illegal. Rather, the government may evaluate such arrangements on a case-by-case basis, taking into account all facts and circumstances.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Federal and State Healthcare Laws</w:t>
      </w:r>
    </w:p>
    <w:p>
      <w:pPr>
        <w:spacing w:after="0" w:line="10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 addition to the requirements discussed above, several other healthcare fraud and abuse laws could have an effect on our business. For example, federal law permits the Office of Inspector General for the Department of Health and Human Services ("HHS-OIG")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provisions. Because the complaint in a </w:t>
      </w:r>
      <w:r>
        <w:rPr>
          <w:rFonts w:ascii="Times New Roman" w:cs="Times New Roman" w:eastAsia="Times New Roman" w:hAnsi="Times New Roman"/>
          <w:sz w:val="16"/>
          <w:szCs w:val="16"/>
          <w:i w:val="1"/>
          <w:iCs w:val="1"/>
          <w:color w:val="auto"/>
        </w:rPr>
        <w:t>qui tam</w:t>
      </w:r>
      <w:r>
        <w:rPr>
          <w:rFonts w:ascii="Times New Roman" w:cs="Times New Roman" w:eastAsia="Times New Roman" w:hAnsi="Times New Roman"/>
          <w:sz w:val="16"/>
          <w:szCs w:val="16"/>
          <w:color w:val="auto"/>
        </w:rPr>
        <w:t xml:space="preserve"> action is initially filed under seal, the action may be pending for some time before the defendant is even aware of the action. Regardless of whether the government intervenes in the action, the relator, if successful, is entitled to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 significant per-claim civil penalties, as well as mandatory exclusion from government healthcare programs. Several states, including California, have enacted comparable false claims laws that may apply regardless of payor.</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pacing w:after="0" w:line="16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Federal criminal statutes prohibit, among other actions, knowingly and willfully executing, or attempting to execute, a scheme to defraud any healthcare benefit program, including those administered by commercial payors, and knowingly and willfully falsifying, concealing</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5" w:name="page16"/>
    <w:bookmarkEnd w:id="15"/>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advanced non-physician healthcare practitioners (such as nurse practitioners), and teaching hospitals, as well as ownership and investment interests held by physicians and their immediate family members. It applies to manufacturers when their products become eligible for reimbursement under a federal healthcare program such as Medicare or Medicaid. Any failure to comply with these reporting requirements could result in significant fines and penalties. Because we manufacture our own IVD products solely for use by or within our Boulder laboratory facility, we believe that we are exempt from these reporting requirements. We may become subject to such reporting requirements under the terms of current CMS regulations, however, if the FDA requires us to obtain marketing authorizations for our diagnostic tests as medical devices (whether because the agency determines that one or more of such tests do not fall within the scope of the agency’s existing LDT definition or because of its recently issued final rule to exercise authority over LDTs as medical devices) or Congress enacts legislative reforms to the federal oversight of LDTs to subject them to FDA regulation and/or the reporting requirements of the Sunshine Act. It is presently unknown how CMS will respond to the recently finalized FDA policy change to effectively render all LDTs medical device products under federal law, and whether or when it will assert that the Sunshine Act’s reporting requirements will begin to apply to the manufacturers of such LDTs. Given that litigation is ongoing between members of the clinical laboratory industry and FDA/HHS in relation to the May 2024 LDT final rule, it may be many months or even years before we have clarity on the applicability of state and federal Sunshine Act laws to our business. Certain states also require medical device manufacturers to maintain compliance programs and/or be licensed as manufacturers or distributors by a state professional board or health department. Because the FDA’s now-in-effect final rule renders a clinical laboratory like ours a “medical device manufacturer,” we have begun the process of evaluating whether and to what extent those kinds of medical device-specific state requirements may be applicable to our operations.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Data Privacy and Security Laws</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Health Insurance Portability and Accountability Act of 1996 ("HIPAA") established comprehensive federal standards for the privacy and security of health information. In 2009, Congress enacted Subtitle D of the Health Information Technology for Economic and Clinical Health Act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Under HIPAA, as amended by the HITECH Act, the U.S. Department of Health and Human Services ("HHS") has issued regulations to protect the privacy and security of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6" w:name="page17"/>
    <w:bookmarkEnd w:id="16"/>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HIPAA security standards require the adoption of administrative, physical and technical safeguards and the adoption of written security policies and procedures to maintain the security of protected health information.</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The HIPAA breach notification regulations impose certain reporting requirements on Covered Entities and their Business Associates in the event of a breach of PHI.</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Covered Entities must report breaches of PHI that has not been encrypted or otherwise secured in accordance with guidance from the Secretary of HHS (the "Secretary"). Breaches must be reported as soon as reasonably practicable, but no later than 60 days following discovery of the breach. Reports must be made to affected individuals, the HHS Secretary, and depending on the size of the breach, the local and national media. Covered Entities are also subject to the HHS HIPAA audit program and may be investigated in connection with a privacy or data security complaint.</w:t>
      </w:r>
    </w:p>
    <w:p>
      <w:pPr>
        <w:spacing w:after="0" w:line="16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Significant civil and criminal fines and other penalties may be imposed for violating HIPAA directly, and in connection with acts or omissions of any agents, including downstream business associates, as determined according to the federal common law of agency. Civil penalties are adjusted for inflation on an annual basis and can exceed $1.0 million per year for failure to comply with a HIPAA requirement. A single breach incident can violate multiple requirements. Additionally, a person who knowingly obtains or discloses PHI in violation of HIPAA may face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spacing w:after="0" w:line="1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4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Even when HIPAA does not apply, according to the FTC, failing to take appropriate steps to keep consumers’ personal information secure constitutes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 Attorneys General have also brought enforcement actions and prosecuted some data breach cases as unfair and/or deceptive acts or practices under the FTC Act and comparable state laws.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amending and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have enacted their own privacy laws similar to the CCPA, and other states are considering proposals for such laws, all of which increases the complexity of compliance and the risk of failures to comply.</w:t>
      </w:r>
    </w:p>
    <w:p>
      <w:pPr>
        <w:spacing w:after="0" w:line="1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6"/>
          <w:szCs w:val="16"/>
          <w:color w:val="auto"/>
        </w:rPr>
        <w:t>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6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Blocking Rules</w:t>
      </w:r>
    </w:p>
    <w:p>
      <w:pPr>
        <w:spacing w:after="0" w:line="1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to civil monetary penalties for violations of the Information Blocking Rule once the penalty regulations are finalized. The amount of such penalties is unknown, but the regulations for health industry networks ("HINs"), health information exchanges ("HIEs"), and certified developers of health information technology allow for up to $1.0 million in penalties per violation.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Laws and Regulations</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 also constitute a violation of the U.S. Foreign Corrupt Practices Act (FCPA), and/or other applicable anti-corruption laws.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When marketing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8" w:name="page19"/>
    <w:bookmarkEnd w:id="18"/>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European Union IVD Laws and Regulations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Whether or not we are required to comply with requirements for marketing clinical diagnostic products in the United States, we may be required to obtain marketing authorizations from regulatory authorities in non-United States countries prior to the marketing of any product for clinical diagnostic use in such countries. The laws and regulations relating to laboratory equipment, reagents and assays in other jurisdictions vary from those in the United States and may be easier or more difficult to satisfy and are subject to change. For example, in the European Union ("EU"), IVDs had been regulated under EU-Directive 98/79/EC ("IVD Directive") and corresponding national provisions prior to May 2022. The IVD Directive required that medical devices, including IVDs, meet the essential requirements, including those relating to device safety and efficacy, set out in an annex of the Directive. According to the IVD Directive, EU Member States have presumed compliance with these essential requirements for devices that are in conformity with the relevant national standards transposing the harmonized standards, such as ISO 13485:2016, the quality system standard for medical device manufacturers.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IVDs, other than devices for performance evaluation, must bear the CE marking of conformity when they are placed on the European market. The CE mark is a declaration by the manufacturer that the product meets all the appropriate provisions of the applicable legislation implementing the relevant European Directive. As a general rule, the manufacturer must follow the EU declaration of conformity procedure to obtain or apply a CE mark.</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May 2022, the Directive was replaced by the In Vitro Diagnostic Medical Devices Regulation ("IVDR") (Regulation (EU) 2017/746) that was published in May 2017 and given a five-year transition period until its implementation on May 26, 2022. Unlike the IVD Directive, the IVDR has binding legal force throughout every Member State. The major goal of the IVDR was to standardize diagnostic procedures within the EU, increase reliability of diagnostic analysis and enhance patient safety. Under the IVDR as enacted by the European Commission (EC), IVDs are subject to additional legal regulatory requirements. Among other things, the IVDR introduces a new risk-based classification system and requirements for conformity assessments. Under the IVDR and subsequent amendments, IVDs already certified under the IVD Directive by a Notified Body may remain on the market until December 31, 2027, and IVDs certified under the IVD Directive without the involvement of a Notified Body may be placed on, or remain in, the market for up to two additional years (until December 21, 2029) depending on the classification of the IVD. The manufacturers of such devices remaining on the market must comply with specific requirements in the IVDR, but ultimately, such products, as with all new IVDs, will have to undergo the IVDR’s conformity assessment procedures. In addition, the IVDR imposes additional requirements relating to post-market surveillance and submission of post-market performance follow-up reports.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EC has designated 12 Notified Bodies to perform conformity assessments under the IVDR. MedTech Europe has issued guidance relating to the IVDR in several areas, e.g., clinical benefit, technical documentation, state of art, accessories, and EUDAMED. On December 5, 2023, the European Commission adopted Implementing Regulation (EU) 2023/2713 designating five EU Reference Laboratories covering the following types of high risk, class D IVDs: hepatitis and retroviruses; herpesviruses; bacterial agents; respiratory viruses that cause life-threatening diseases. The designated EU Reference Laboratories are responsible for verifying performance of IVDs in accordance with common specifications, batch testing of class D IVDs, collaborating with Notified Bodies to develop best practices for IVD conformity assessments, and providing scientific and technical assistance on the implementation of the IVDR.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Kingdom Regulation of IVDs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U.K.’s withdrawal from the EU has major ramifications for IVD manufacturers. Among other things, companies now have to follow new procedures that apply in the U.K., including appointment of a U.K. Responsible Person rather than relying on European Authorized Representatives, to manage their compliance efforts in the U.K.</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U.K. Medicine and Healthcare Products Regulatory Agency (“MHRA”) issued guidance on how the country will regulate IVDs after January 1, 2021. According to MHRA, IVDs will require certification in the U.K., which is defined as England, Scotland and Wales, while companies will still be able to sell tests in Northern Ireland under existing EU IVD regulations. Under subsequent amendments to MHRA guidance, MHRA will continue to recognize CE marks for IVDs certified under the IVD Directive until the earlier of June 30, 2030 or the expiration of the certificate and, for IVDs certified under the IVDR, until June 30, 2030. Companies must register with the MHRA before placing IVDs on the U.K. market. To continue marketing CE-marked IVDs in the U.K. once the MHRA-designated recognition period has lapsed, companies selling in the U.K. will have to obtain a new marking authorization, called a U.K. Conformity Assessed mark (“UKCA”), for each IVD product.</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International Data Privacy and Security Laws</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collection and use of personal health data in the EU is governed by the General Data Protection Regulation, or GDPR. The GDPR applies to any company established in the European Economic Area, or EEA, (which includes the EU Member States plus Iceland, Liechtenstein, and Norway) and to companies established outside the EEA that process personal data in connection with the offering of goods or services to data subjects in the EEA or the monitoring of the behavior of data subjects in the EEA. The GDPR establishes stringent requirements applicable to the processing of personal data, including strict requirements relating to the validity of consent of data subjects, expanded disclosures about how personal data is used, requirements to conduct data protection impact assessments for “high risk” processing, limitations on retention of personal data, special provisions affording greater protection to and requiring additional compliance measures for “special categories of personal data” including health and genetic information of data subjects, mandatory data breach notification (in certain circumstances), “privacy by design” requirements, and direct obligations on service providers acting as processors. The GDPR also prohibits the international transfer of personal data from the EEA to countries outside of the EEA unless made to a country deemed to have adequate data privacy laws by the European Commission or a data transfer mechanism has been put in place. Failure to comply with the GDPR requirements may subject an entity to litigation, regulatory investigations, enforcement notices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 xml:space="preserve">Among other requirements, the GDPR also regulates transfers of personal data subject to the GDPR to third countries that have not been found to provide adequate protection to such personal data. For example, in 2016, the EU and the United States agreed to a transfer framework for data transferred from the EU to the United States, called the Privacy Shield, but the Court of Justice of the EU invalidated the Privacy Shield when it decided the case </w:t>
      </w:r>
      <w:r>
        <w:rPr>
          <w:rFonts w:ascii="Times New Roman" w:cs="Times New Roman" w:eastAsia="Times New Roman" w:hAnsi="Times New Roman"/>
          <w:sz w:val="16"/>
          <w:szCs w:val="16"/>
          <w:i w:val="1"/>
          <w:iCs w:val="1"/>
          <w:color w:val="auto"/>
        </w:rPr>
        <w:t>Maximilian Schrems vs. Facebook</w:t>
      </w:r>
      <w:r>
        <w:rPr>
          <w:rFonts w:ascii="Times New Roman" w:cs="Times New Roman" w:eastAsia="Times New Roman" w:hAnsi="Times New Roman"/>
          <w:sz w:val="16"/>
          <w:szCs w:val="16"/>
          <w:color w:val="auto"/>
        </w:rPr>
        <w:t xml:space="preserve"> (Case C-311-18), known as </w:t>
      </w:r>
      <w:r>
        <w:rPr>
          <w:rFonts w:ascii="Times New Roman" w:cs="Times New Roman" w:eastAsia="Times New Roman" w:hAnsi="Times New Roman"/>
          <w:sz w:val="16"/>
          <w:szCs w:val="16"/>
          <w:i w:val="1"/>
          <w:iCs w:val="1"/>
          <w:color w:val="auto"/>
        </w:rPr>
        <w:t>Schrems II</w:t>
      </w:r>
      <w:r>
        <w:rPr>
          <w:rFonts w:ascii="Times New Roman" w:cs="Times New Roman" w:eastAsia="Times New Roman" w:hAnsi="Times New Roman"/>
          <w:sz w:val="16"/>
          <w:szCs w:val="16"/>
          <w:color w:val="auto"/>
        </w:rPr>
        <w:t xml:space="preserve">. However, 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Times New Roman" w:cs="Times New Roman" w:eastAsia="Times New Roman" w:hAnsi="Times New Roman"/>
          <w:sz w:val="16"/>
          <w:szCs w:val="16"/>
          <w:i w:val="1"/>
          <w:iCs w:val="1"/>
          <w:color w:val="auto"/>
        </w:rPr>
        <w:t>Schrems II</w:t>
      </w:r>
      <w:r>
        <w:rPr>
          <w:rFonts w:ascii="Times New Roman" w:cs="Times New Roman" w:eastAsia="Times New Roman" w:hAnsi="Times New Roman"/>
          <w:sz w:val="16"/>
          <w:szCs w:val="16"/>
          <w:color w:val="auto"/>
        </w:rPr>
        <w:t xml:space="preserve">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Relatedly, following the United Kingdom’s withdrawal from the EU, the GDPR was implemented in the United Kingdom as the U.K. GDPR. which sits alongside the amended U.K. Data Protection Act 2018, which implements certain derogations in the EU GDPR into UK law. Under the U.K. GDPR, companies not established in the United Kingdom but who process personal data in relation to the offering of goods or services to individuals in the United Kingdom, or to monitor their behavior will be subject to the U.K. GDPR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 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 China, rules relating to personal data protection and data security are part of a complex framework and are found across various laws and regulations. The three main pillars of the personal data protection framework in China are the Personal Information Protection Law ("PIPL"), the Cybersecurity Law ("CSL") and the Data Security Law ("DSL"). The CSL, which became effective on June 1, 2017, and the Cybersecurity Review Measures promulgated by the Cyberspace Administration of China ("CAC"),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The DSL came into force on September 1, 2021, and requires that data (not limited to personal data) shall not be collected by theft or other illegal means, and it also provides for a data classification and hierarchical protection system, which protects data according to its importance in economic and social development and the potential damage to national security, public interests, or the legitimate rights and interests of individuals and organizations if the data is falsified, damaged, disclosed, illegally obtained or illegally used. Most significantly, the PIPL came into effect on November 1, 2021. The PIPL is the first comprehensive, national–level personal data protection law in China. The PIPL mirrors certain provisions found under the GDPR such as the purpose limitation principle, the concept of a data protection officer, data subject rights, the requirement to conduct data protection</w:t>
      </w:r>
    </w:p>
    <w:p>
      <w:pPr>
        <w:spacing w:after="0" w:line="1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20" w:name="page21"/>
    <w:bookmarkEnd w:id="20"/>
    <w:p>
      <w:pPr>
        <w:jc w:val="both"/>
        <w:spacing w:after="0" w:line="276" w:lineRule="auto"/>
        <w:rPr>
          <w:sz w:val="20"/>
          <w:szCs w:val="20"/>
          <w:color w:val="auto"/>
        </w:rPr>
      </w:pPr>
      <w:r>
        <w:rPr>
          <w:rFonts w:ascii="Times New Roman" w:cs="Times New Roman" w:eastAsia="Times New Roman" w:hAnsi="Times New Roman"/>
          <w:sz w:val="16"/>
          <w:szCs w:val="16"/>
          <w:color w:val="auto"/>
        </w:rPr>
        <w:t>impact assessments, and restrictions on data exports. With respect to data exports, China has adopted its own standard contractual clauses which qualifying businesses can use to legitimize their data exports.</w:t>
      </w:r>
    </w:p>
    <w:p>
      <w:pPr>
        <w:spacing w:after="0" w:line="14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Other countries, such as Brazil and Japan, have enacted or amended omnibus laws, and others, such as Russia, have also passed laws that require personal data relating to their citizens to be maintained in the country under certain circumstances and impose additional data transfer restrictions. In addition, India enacted new privacy legislation, the Digital Personal Data Protection Act, 2023, which applies to the processing of personally identifiable digital data about an individual whether the data is processed in India or outside of the country in connection with the offering of goods or services to data subjects who are residents of India. Complying with these numerous, complex and often changing regulations is expensive and difficult, and failure to comply with any privacy laws or data security laws or any security incident or breach involving the misappropriation, loss or other unauthorized use or disclosure of personal data (including sensitive or confidential patient or consumer information), whether by us or a third-party, could have a material adverse effect on our business, reputation, financial condition and results of operations, including but not limited to: material fines and penalties; damages; litigation; consent orders; extensive audits and inspections; bans on all or some processing of personal data carried out by noncompliant actors; and injunctive relief.</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Matters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are subject to many federal, state, local, and foreign environmental regulations. To comply with applicable regulations, we have and will continue to incur significant expenses and allocate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products sold in these countries are subject to RoHS, REACH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refer to “Item 1A. Risk Factors.”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research and development and manufacturing processes also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Geographic Area Information</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last three years, a significant portion of our revenue was generated outside of the United States. Total revenue received from customers outside the United States was $84.5 million, or 48% of our total revenue, in 2024, compared to $62.2 million, or 59% of our total revenue in 2023, and $56.9 million, or 58% of our total revenue in 2022. The majority of our long-lived assets are located within the United States, Singapore and Canada. Refer to Note 4 to our consolidated financial statements for additional information regarding geographic areas.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fourth quarter revenues are often the highest, primarily due to seasonality since many of our customers tend to spend budgeted money before the end of their calendar fiscal year-end. Our revenue in the first quarter is generally sequentially lower than the prior year’s revenue in the fourth quarter.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Raw Materials</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Resource Capital</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team members share our commitment to improving the human condition and, in turn, we strive to create an environment where our people can do their best work. We know that our employees, who supply the ideas, energy, and innovation that powers our business, are amongst some of our most valued assets.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are a values-driven organization. We believe strong shared values are essential for us to evolve and grow and to be successful for the long-term. Our values form our relationships with customers, suppliers, investors and each other. They help us to model respect and inclusiveness in our words and actions. Our core values conceived and developed by our employees are:</w:t>
      </w:r>
    </w:p>
    <w:p>
      <w:pPr>
        <w:spacing w:after="0" w:line="62" w:lineRule="exact"/>
        <w:rPr>
          <w:sz w:val="20"/>
          <w:szCs w:val="20"/>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commitment;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Integrity;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Respect;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 improvement.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Diverse Global Workforce</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As of December 31, 2024, we had a total of 818 employees worldwide of which 814 were full-time employees and 374 were located in the United States. Additionally, as of December 31, 2024, 46% of our employees worldwide were female and 45% of our employees in the United States were female. To our knowledge, none of our employees are represented by a labor union nor are they subject to a collective bargaining agreement.</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Information About Our Executive Officers and Directors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persons were our executive officers and directors as of February 21, 2025:</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55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55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80"/>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w:t>
            </w:r>
          </w:p>
        </w:tc>
        <w:tc>
          <w:tcPr>
            <w:tcW w:w="5580" w:type="dxa"/>
            <w:vAlign w:val="bottom"/>
            <w:tcBorders>
              <w:bottom w:val="single" w:sz="8" w:color="auto"/>
              <w:right w:val="single" w:sz="8" w:color="auto"/>
            </w:tcBorders>
          </w:tcPr>
          <w:p>
            <w:pPr>
              <w:spacing w:after="0"/>
              <w:rPr>
                <w:sz w:val="24"/>
                <w:szCs w:val="24"/>
                <w:color w:val="auto"/>
              </w:rPr>
            </w:pP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Michael Egholm, Ph.D.</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Alex Kim</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Sean Mackay</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Chief Business Officer</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Non-Employee Directors</w:t>
            </w:r>
          </w:p>
        </w:tc>
        <w:tc>
          <w:tcPr>
            <w:tcW w:w="5580" w:type="dxa"/>
            <w:vAlign w:val="bottom"/>
            <w:tcBorders>
              <w:bottom w:val="single" w:sz="8" w:color="auto"/>
              <w:right w:val="single" w:sz="8" w:color="auto"/>
            </w:tcBorders>
          </w:tcPr>
          <w:p>
            <w:pPr>
              <w:spacing w:after="0"/>
              <w:rPr>
                <w:sz w:val="23"/>
                <w:szCs w:val="23"/>
                <w:color w:val="auto"/>
              </w:rPr>
            </w:pP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Tom Carey</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Chairperson of the Board of Directors</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Fenel M. Eloi</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Managing Partner of P&amp;M Capital Partners, LLC</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Eli Casdin</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Founder and Chief Investment Officer of Casdin Capital, LLC and its affiliates</w:t>
            </w:r>
          </w:p>
        </w:tc>
      </w:tr>
      <w:tr>
        <w:trPr>
          <w:trHeight w:val="259"/>
        </w:trPr>
        <w:tc>
          <w:tcPr>
            <w:tcW w:w="5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Troy Cox</w:t>
            </w:r>
          </w:p>
        </w:tc>
        <w:tc>
          <w:tcPr>
            <w:tcW w:w="5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 and Chairperson of the Board of Directors of SOPHiA GENETICS SA,</w:t>
            </w:r>
          </w:p>
        </w:tc>
      </w:tr>
      <w:tr>
        <w:trPr>
          <w:trHeight w:val="189"/>
        </w:trPr>
        <w:tc>
          <w:tcPr>
            <w:tcW w:w="5560" w:type="dxa"/>
            <w:vAlign w:val="bottom"/>
            <w:tcBorders>
              <w:left w:val="single" w:sz="8" w:color="auto"/>
              <w:right w:val="single" w:sz="8" w:color="auto"/>
            </w:tcBorders>
          </w:tcPr>
          <w:p>
            <w:pPr>
              <w:spacing w:after="0"/>
              <w:rPr>
                <w:sz w:val="16"/>
                <w:szCs w:val="16"/>
                <w:color w:val="auto"/>
              </w:rPr>
            </w:pPr>
          </w:p>
        </w:tc>
        <w:tc>
          <w:tcPr>
            <w:tcW w:w="5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 and Vice Chairperson of the Board of Directors of LetsGetChecked Inc.,</w:t>
            </w:r>
          </w:p>
        </w:tc>
      </w:tr>
      <w:tr>
        <w:trPr>
          <w:trHeight w:val="206"/>
        </w:trPr>
        <w:tc>
          <w:tcPr>
            <w:tcW w:w="5560" w:type="dxa"/>
            <w:vAlign w:val="bottom"/>
            <w:tcBorders>
              <w:left w:val="single" w:sz="8" w:color="auto"/>
              <w:bottom w:val="single" w:sz="8" w:color="auto"/>
              <w:right w:val="single" w:sz="8" w:color="auto"/>
            </w:tcBorders>
          </w:tcPr>
          <w:p>
            <w:pPr>
              <w:spacing w:after="0"/>
              <w:rPr>
                <w:sz w:val="17"/>
                <w:szCs w:val="17"/>
                <w:color w:val="auto"/>
              </w:rPr>
            </w:pP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and Director at Zymeworks Inc.</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Kathy Hibbs</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Director of SOPHiA GENETICS SA</w:t>
            </w:r>
          </w:p>
        </w:tc>
      </w:tr>
      <w:tr>
        <w:trPr>
          <w:trHeight w:val="276"/>
        </w:trPr>
        <w:tc>
          <w:tcPr>
            <w:tcW w:w="55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Frank Witney, Ph.D.</w:t>
            </w:r>
          </w:p>
        </w:tc>
        <w:tc>
          <w:tcPr>
            <w:tcW w:w="55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Operating Partner at Ampersand Capital Partners</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and Benefits</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primary goal of our compensation program is to ensure that we attract, hire, and retain talented and highly skilled team members who are motivated to achieve or exceed our corporate goals.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intention is to align our compensation practices with the changing marketplace. By doing so, we strive to provide incentives to our team members to achieve short-term and long-term business goals, ensuring they feel rewarded for their performance and contributions.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Professional Development</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6"/>
          <w:szCs w:val="16"/>
          <w:color w:val="231F20"/>
        </w:rPr>
        <w:t>addition to providing attractive and competitive total rewards packages, we believe in fostering individual and organizational effectiveness by offering our team members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variety of professional development programs. These programs are designed to:</w:t>
      </w:r>
    </w:p>
    <w:p>
      <w:pPr>
        <w:spacing w:after="0" w:line="50" w:lineRule="exact"/>
        <w:rPr>
          <w:sz w:val="20"/>
          <w:szCs w:val="20"/>
          <w:color w:val="auto"/>
        </w:rPr>
      </w:pPr>
    </w:p>
    <w:p>
      <w:pPr>
        <w:ind w:left="1020" w:hanging="516"/>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 educate, and inspire our people to reach their professional goals;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individuals and the organization with the knowledge and skills to respond effectively to customer needs as well as current and future business demands;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ongoing support to the organization’s development efforts.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Diversity and Inclusion</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At Standard BioTools,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endeavor to apply this commitment to diversity to every aspect of the employee experience, from recruitment to development, training and advancement.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and Available Information</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were incorporated in California in May 1999 as Mycometrix Corporation, changed our name to Fluidigm Corporation in April 2001, and reincorporated in Delaware in July 2007. On April 1, 2022, the Company changed its name from Fluidigm Corporation to Standard BioTools Inc.</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principal executive offices are located at Two Tower Place, South San Francisco, California 94080. Our telephone number is (650) 266-6000. Our website address is www.standardbio.com. We make available on our website, free of charge, our Annual Reports on Form 10-K, Quarterly Reports on Form 10-Q, Current Reports on Form 8-K, and any amendments to those reports, as soon as reasonably practicable after we electronically file such material with, or furnish it to, the Securities and Exchange Commission (the "SEC"). Our SEC reports can be accessed through the investor relations page of our website located at http://investors.standardbio.com. The SEC also maintains an internet site at www.sec.gov that contains reports, proxy and information statements, and other information regarding issuers that file electronically with the SEC.</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contents of our website are not a part of, and are not incorporated by reference into, this Annual Report or any other report or document we file with the SEC. Any reference to our website is intended to be an inactive textual reference only.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intend to use our website, www.standardbio.com as a means of disclosing material non-public information and for complying with our disclosure obligations under SEC Regulation FD. Such disclosures will be included on our website under “About &gt; Investors.” Accordingly, investors should monitor the “Investors” section of our website, in addition to following our press releases, SEC filings, and public conference calls and webcasts.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0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5"/>
          <w:szCs w:val="15"/>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Industry, and Strategy</w:t>
      </w:r>
    </w:p>
    <w:p>
      <w:pPr>
        <w:spacing w:after="0" w:line="102" w:lineRule="exact"/>
        <w:rPr>
          <w:sz w:val="20"/>
          <w:szCs w:val="20"/>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results and revenue growth rates have varied significantly from quarter-to-quarter and year-to-year, and may not be consistent with expectations.</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losses since inception, and we may continue to incur substantial losses for the foreseeable future.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associated with natural disasters and global events.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opportunities may not develop as we expect.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life science markets are highly competitive and subject to rapid technological change.</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research and product development efforts do not result in commercially viable products within anticipated timelines, if at all, our business and results of operations will be adversely affected.</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4" w:name="page25"/>
    <w:bookmarkEnd w:id="24"/>
    <w:p>
      <w:pPr>
        <w:ind w:left="1020" w:hanging="516"/>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is dependent upon our ability to expand our customer base and introduce new applications.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fail to achieve and sustain sufficient market acceptance, our revenue will be adversely affected.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achieve the expected financial and operational benefits of our previously announced restructuring plan and other strategic initiatives, our business and financial results may be harmed.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growth strategy involves the potential for significant acquisitions, and our operating results and prospects could be harmed if we are unable to integrate future acquisitions successfully.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Operations and Reliance on Third Parties</w:t>
      </w:r>
    </w:p>
    <w:p>
      <w:pPr>
        <w:spacing w:after="0" w:line="102" w:lineRule="exact"/>
        <w:rPr>
          <w:sz w:val="20"/>
          <w:szCs w:val="20"/>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development or manufacturing problems or delays.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research and development spending levels of our customers.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single and sole source suppliers for some of the components and materials used in our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convert our orders in backlog into revenue.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disruption or delay in the shipping or off-loading of our products may have an adverse effect on our financial condition and results of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operations depend upon the continuing efforts of our management team and other skilled and experienced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capabilities and direct sales, field support, and marketing forces must be sufficient to meet our customers’ needs.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use our analytical systems, customers typically need to purchase specialized reagents.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incidents, loss of data, cyberattacks, and other IT failures could adversely affect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Quality and the Regulatory Environment</w:t>
      </w:r>
    </w:p>
    <w:p>
      <w:pPr>
        <w:spacing w:after="0" w:line="102" w:lineRule="exact"/>
        <w:rPr>
          <w:sz w:val="20"/>
          <w:szCs w:val="20"/>
          <w:color w:val="auto"/>
        </w:rPr>
      </w:pPr>
    </w:p>
    <w:p>
      <w:pPr>
        <w:ind w:left="1020" w:hanging="516"/>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could have defects or errors.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we elect to label and promote any of our products as medical devices, we would be required to obtain prior approval or clearance by the FDA or comparable foreign regulatory authority.</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or the failure to comply with current and future regulations affecting our products and business operations worldwide could cause us significant expense and adversely impact our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 and Operating a Global Business</w:t>
      </w:r>
    </w:p>
    <w:p>
      <w:pPr>
        <w:spacing w:after="0" w:line="102" w:lineRule="exact"/>
        <w:rPr>
          <w:sz w:val="20"/>
          <w:szCs w:val="20"/>
          <w:color w:val="auto"/>
        </w:rPr>
      </w:pPr>
    </w:p>
    <w:p>
      <w:pPr>
        <w:ind w:left="1020" w:hanging="516"/>
        <w:spacing w:after="0" w:line="276"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 a substantial portion of our revenue internationally and our international business exposes us to additional business, regulatory, political, operational, financial, and economic risks.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conditions in the global economy may significantly harm our revenue, profitability, and results of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fluctuations in the exchange rate of the U.S. dollar and foreign currencies.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Tax, and Accounting Risks</w:t>
      </w:r>
    </w:p>
    <w:p>
      <w:pPr>
        <w:spacing w:after="0" w:line="102" w:lineRule="exact"/>
        <w:rPr>
          <w:sz w:val="20"/>
          <w:szCs w:val="20"/>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capital needs are uncertain and we may need to raise additional funds in the future.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maintain effective internal control over financial reporting could adversely affect our business.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the value of our goodwill or other intangible assets.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risks related to taxation in multiple jurisdictions.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significant amount of outstanding indebtedness.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02" w:lineRule="exact"/>
        <w:rPr>
          <w:sz w:val="20"/>
          <w:szCs w:val="20"/>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intellectual property and proprietary technology is uncertain.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involved in lawsuits to protect or enforce our patents and proprietary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damages resulting from claims that we or our employees have wrongfully used or disclosed alleged trade secrets.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depend on certain technologies that are licensed to us.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certain manufacturing restrictions related to licensed technologies that were developed with the financial assistance of U.S. governmental grants.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certain obligations and restrictions relating to technologies developed in cooperation with Canadian government agencies.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BUSINESS, INDUSTRY, AND STRATEGY</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Due to this variability, we may be unable to achieve revenue growth in future periods similar to some past years.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w:t>
      </w:r>
    </w:p>
    <w:p>
      <w:pPr>
        <w:spacing w:after="0" w:line="67" w:lineRule="exact"/>
        <w:rPr>
          <w:sz w:val="20"/>
          <w:szCs w:val="20"/>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product focus;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demand for our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budget cycles, capital spending, and the availability of VAT and import tax exemptions;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 variations in customer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tendencies among some customers to defer purchase decisions to the end of the quarter;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large unit value of our systems, particularly our proteomics systems;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pricing and sales policies or the pricing and sales policies of our competitors;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design, manufacture, market, sell, and deliver products to our customers in a timely and cost-effective manner;</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timely obtain adequate quantities of the materials or components used in our products, which in certain cases are purchased through sole and single source suppliers;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staffing shortages, lack of skilled labor, increased turnover, and competitive job markets;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or reductions in revenue from sales of legacy instruments that may have contributed significant revenue in prior periods;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control or yield problems in our manufacturing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product introductions and enhancements by us and our competitors;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increases in costs or expenses;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complex, variable and, at times, lengthy sales cycle;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restrictions and government protectionism;</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economic conditions; and</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26" w:name="page27"/>
    <w:bookmarkEnd w:id="26"/>
    <w:p>
      <w:pPr>
        <w:ind w:left="1020" w:hanging="516"/>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foreign currency exchange rates.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Similarly, the loss of one or more key customers, or the inability of any such customer to pay amounts owing to us, could materially and adversely affect our business, financial performance and results of operations. Other unknown or unpredictable factors also could harm our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inflationary pressure, including as a result of supply shortages, has adversely impacted and could continue to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is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market expectations or projections of securities analysts, which could significantly decrease the price of our common stock.</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may evaluate various future acquisitions and strategic collaborations, including licensing or acquiring complementary products, intellectual property rights, technologies, or businesses. Any potential acquisition or strategic collaborations may entail numerous risks, including:</w:t>
      </w:r>
    </w:p>
    <w:p>
      <w:pPr>
        <w:spacing w:after="0" w:line="50" w:lineRule="exact"/>
        <w:rPr>
          <w:sz w:val="20"/>
          <w:szCs w:val="20"/>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additional indebtedness or contingent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 strategic merger or acquisition;</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If we undertake acquisitions or pursue strategic mergers, such as our previously completed Merger with SomaLogic,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the Merger was financed by the issuance of shares of our common stock to stockholders of SomaLogic. We may structure acquisitions or strategic collaborations similar in the future, and stockholders may decide not to hold the shares of our common stock they receive in such transaction. Such sales of our common stock could result in higher than average trading volume and may cause the market price for our common stock to decline. Any of the foregoing may materially harm our business, financial condition, results of operations, stock price and prospects.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have incurred losses since inception, and we may continue to incur substantial losses for the foreseeable future.</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incurred significant losses in each fiscal year since our inception, including net losses of $138.9 million, $74.7 million, and $190.1 million during the years ended December 31, 2024, 2023, and 2022, respectively. As of December 31, 2024, we had an</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6"/>
          <w:szCs w:val="16"/>
          <w:color w:val="auto"/>
        </w:rPr>
        <w:t>accumulated deficit of $1.2 billion. These losses have resulted principally from costs incurred in our research and development programs, and from our manufacturing costs and selling, general, and administrative ("SG&amp;A")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 and may have to seek additional financing.</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While we plan to reduce our operating expenses as part of ongoing restructuring initiatives, our cost restructuring efforts may not result in the anticipated savings or other economic benefits, or could result in total costs and expenses that are greater than expected, and there is no guarantee that our post-restructuring focus will be sufficient for us to achieve success. Consequently, we may incur operating losses for the foreseeable future and may never achieve profitability.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risks associated with natural disasters and global events.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activities, including manufacturing, R&amp;D and administration and information technology management, can be adversely affected by natural disasters such as major earthquakes, hurricanes, floods, tsunamis, tornadoes, fires and epidemics or pandemics, such as the COVID-19 pandemic. Climate change may cause certain of these events to become more severe and therefore more damaging. In the event of a major natural disaster affecting one or more of our facilities, our operations, including manufacturing and R&amp;D, could be significantly disrupted. Such events could delay or prevent product manufacturing for an extended period of time. Any extended inability to continue our operations at affected facilities following such an event could reduce our revenue. Further, geopolitical events like the war in Ukraine and conflict in the Middle East may also impact our operations by affecting our supply chain or impacting our operations located in the region of instability.</w:t>
      </w:r>
    </w:p>
    <w:p>
      <w:pPr>
        <w:spacing w:after="0" w:line="25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Market opportunities may not develop as we expect, limiting our ability to successfully sell our products, or our product development and strategic plans may change and our entry into certain markets may be delayed, if it occurs at all.</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life science markets are highly competitive and subject to rapid technological change, and we may not be able to successfully compete.</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consider Agilent Technologies, Inc., Thermo Fisher Scientific Inc. ("Thermo"), Bio-Rad Laboratories, Inc., and Mesa Laboratories, Inc. (formerly Agena Bioscience, Inc.) to be our principal competitors in the genomics space. We believe that Cytek Biosciences, Inc. and Becton, Dickinson and Company are currently our principal competitors in Flow Cytometry, and that NanoString Technologies, Inc., and 10x Genomics, Inc. are our principal competitors in Spatial Biology.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28" w:name="page29"/>
    <w:bookmarkEnd w:id="28"/>
    <w:p>
      <w:pPr>
        <w:jc w:val="both"/>
        <w:spacing w:after="0" w:line="251" w:lineRule="auto"/>
        <w:rPr>
          <w:sz w:val="20"/>
          <w:szCs w:val="20"/>
          <w:color w:val="auto"/>
        </w:rPr>
      </w:pPr>
      <w:r>
        <w:rPr>
          <w:rFonts w:ascii="Times New Roman" w:cs="Times New Roman" w:eastAsia="Times New Roman" w:hAnsi="Times New Roman"/>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future success is dependent upon our ability to expand our customer base and introduce new applications.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If our products fail to achieve and sustain sufficient market acceptance, our revenue will be adversely affected.</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systems.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4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29" w:name="page30"/>
    <w:bookmarkEnd w:id="29"/>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typically involve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6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we fail to achieve the expected financial and operational benefits of our previously announced or future restructuring plans and other strategic initiatives, our business and financial results may be harmed.</w:t>
      </w:r>
    </w:p>
    <w:p>
      <w:pPr>
        <w:spacing w:after="0" w:line="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From time to time, we have implemented efficiency and cost-savings initiatives intended to stabilize our business operations. The purpose of the restructuring plans is to improve operational efficiency, reduce operating costs and better align our workforce with the current needs of our business. There is no guarantee that any particular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results of operations and prospects. Similarly, changes in our commercial and strategic focus and allocation of resources contemplated by the restructuring plan, as well as implementation of our other strategic initiatives, may be unsuccessful or result in unanticipated risks or other unintended consequences for our business, any of which could have a material adverse effect on our business, financial condition, results of operations and prospects.</w:t>
      </w:r>
    </w:p>
    <w:p>
      <w:pPr>
        <w:spacing w:after="0" w:line="2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62" w:lineRule="exact"/>
        <w:rPr>
          <w:sz w:val="20"/>
          <w:szCs w:val="20"/>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and managing the operations, technologies, and products of the companies we acquire;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our management’s attention from normal daily operation of our business;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maintain the key business relationships and the reputations of the businesses we acquire;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retain key personnel of the acquired company;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of entry into markets in which we have limited or no prior experience and in which competitors have stronger market positions;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unfamiliar affiliates and customers of the companies we acquire;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revenue to offset our increased expenses associated with acquisitions;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responsibility for the liabilities of the businesses we acquire, including those which we may not anticipate;</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30" w:name="page31"/>
    <w:bookmarkEnd w:id="30"/>
    <w:p>
      <w:pPr>
        <w:ind w:left="1020" w:right="20" w:hanging="516"/>
        <w:spacing w:after="0" w:line="276" w:lineRule="auto"/>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technology or products sufficient to meet our objectives in undertaking the acquisition or even to offset the associated acquisition and maintenance costs;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we may not realize the value of acquired assets recorded as goodwill or intangible assets, and would be required to incur material charges relating to the impairment of those assets;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maintain internal standards, controls, procedures, and policies.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future growth may depend, in part, on our ability to operate in foreign markets, where we would be subject to additional regulatory burdens and other risks and uncertainties.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future growth may depend, in part, on our ability to develop and commercialize our testing products in foreign markets. We may not be permitted to market or promote any of our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products. If we obtain regulatory approval of our products and ultimately commercialize them in foreign markets, we would be subject to additional risks and uncertainties, including any or all of the following:</w:t>
      </w:r>
    </w:p>
    <w:p>
      <w:pPr>
        <w:spacing w:after="0" w:line="71" w:lineRule="exact"/>
        <w:rPr>
          <w:sz w:val="20"/>
          <w:szCs w:val="20"/>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regulatory requirements for approval of laboratory instruments and IVDs in foreign countries;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reduced protection for intellectual property rights;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additional third-party patent rights of potential relevance to our business;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tariffs, trade barriers and regulatory requirements;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foreign economies and markets;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fluctuations, which could result in increased operating expenses and reduced revenue and other obligations incident to doing business in another country;</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reimbursement, pricing and insurance regimes;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common;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shortages resulting from any events affecting raw material supply or manufacturing capabilities abroad; and</w:t>
      </w:r>
    </w:p>
    <w:p>
      <w:pPr>
        <w:spacing w:after="0" w:line="9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the current conflict in both Ukraine and the Middle East, or natural disasters which may be exacerbated due to climate change, including earthquakes, typhoons, floods and fires.</w:t>
      </w:r>
    </w:p>
    <w:p>
      <w:pPr>
        <w:spacing w:after="0" w:line="14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RISKS RELATED TO THE MERGER AND OUR BUSINESS FOLLOWING THE MERGER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realize all of the anticipated benefits of the Merger.</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On January 5, 2024, we completed the Merger. The success of the Merger depends on, among other things, our ability to integrate the businesses of SomaLogic, and we may not be able to successfully achieve the level of cost savings, revenue enhancements and synergies that it expects. If we are not able to successfully achieve these objectives, the anticipated benefits of the Merger may not be realized fully or at all or may take longer to realize than expected. In addition, failure to successfully integrate the businesses in the expected timeframe may adversely affect our business, financial condition, results of operations or cash flows.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addition, the combined operation of two businesses may be a complex, costly and time-consuming process. The difficulties of combining the operations of the companies include, among others:</w:t>
      </w:r>
    </w:p>
    <w:p>
      <w:pPr>
        <w:spacing w:after="0" w:line="50" w:lineRule="exact"/>
        <w:rPr>
          <w:sz w:val="20"/>
          <w:szCs w:val="20"/>
          <w:color w:val="auto"/>
        </w:rPr>
      </w:pPr>
    </w:p>
    <w:p>
      <w:pPr>
        <w:ind w:left="1020" w:hanging="516"/>
        <w:spacing w:after="0"/>
        <w:tabs>
          <w:tab w:leader="none" w:pos="10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management attention to integration matters;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1" w:name="page32"/>
    <w:bookmarkEnd w:id="31"/>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functions, personnel and systems;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assimilating employees and in attracting and retaining key personnel;</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achieving anticipated cost savings, synergies, business opportunities and growth prospects from the combination;</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of managing a larger company following the Merger, including challenges of conforming standards, controls, procedures and accounting and other policies and compensation structures;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declines in our results of operations, financial condition or cash flows;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the market price of our common stock;</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liabilities that are larger than expected;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unknown liabilities, adverse consequences and unforeseen increased expenses associated with the Merger;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effects of the Merger, including the ability to realize the benefits of any deferred tax assets or liabilities;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of existing relationships with business partners, and other constituencies;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disruption of, or the loss of momentum in, ongoing research and development activities.</w:t>
      </w:r>
    </w:p>
    <w:p>
      <w:pPr>
        <w:spacing w:after="0" w:line="19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Many of these factors are outside our control, and any one of them could result in increased costs, decreased expected revenues and diversion of management time and energy, which could materially impact our business, financial condition, results of operations and cash flows. These factors could cause dilution to our earnings per share, decrease or delay the expected accretive effect of the Merger and negatively impact the price of our common stock. As a result, it cannot be assured that we will realize the full benefits anticipated from the Merger within the anticipated time frames, or at all.</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addition, following the Merger, we became responsible for SomaLogic’s liabilities and obligations, including with respect to legal, financial, regulatory, and compliance matters. These obligations will result in additional cost and investment by us and, if we have underestimated the amount of these costs and investments or if we fail to satisfy any such obligations, we may not realize the anticipated benefits of the Merger. Further, it is possible that there may be unknown, contingent or other liabilities or problems that may arise in the future, the existence and/or magnitude of which we were previously unaware. Any such liabilities or problems could have an adverse effect on our business, financial condition, results of operations or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There can be no assurance that the Merger will result in the realization of the full benefit of the anticipated synergies and cost savings or that these benefits will be realized within the expected time frames or at all. Difficulties in integrating the businesses could harm our reputation. In addition, by engaging in the Merger, Standard BioTools may forego or delay pursuit of other opportunities that may have proven to have greater commercial potential.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have and will continue to incur direct and indirect costs as a result of the Merger and in connection with combining the businesses following the Merger.</w:t>
      </w:r>
    </w:p>
    <w:p>
      <w:pPr>
        <w:spacing w:after="0" w:line="10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Following the completion of the Merger, the size of our business became significantly larger than the previous size of either our or SomaLogic’s business. As a result, we have and will continue to incur expenses in connection with and as a result of combining the businesses. Our ability to successfully manage our expanded business will depend, in part, upon management’s ability to maintain strategic initiatives that address the increased scale and scope of the combined business with its associated increased costs and complexity. The current estimate of the aggregate transaction-related expenses incurred by us as of the year ended December 31, 2024 was approximately $34.5 million. These expenses could adversely affect our financial condition, results of operations and cash flows going forward and there can be no assurance that we will realize additional operating efficiencies, cost savings and other benefits anticipated from the Merger.</w:t>
      </w:r>
    </w:p>
    <w:p>
      <w:pPr>
        <w:spacing w:after="0" w:line="2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We have been exposed to litigation related to the Merger and may in the future be exposed to increased litigation, including stockholder litigation, which could have an adverse effect on our business and operations.</w:t>
      </w:r>
    </w:p>
    <w:p>
      <w:pPr>
        <w:spacing w:after="0" w:line="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have been exposed to litigation related to the Merger and may in the future be exposed to increased litigation from stockholders, customers, suppliers and other third parties due to the combination of our business and SomaLogic’s business following the Merger. On November 28, 2023, a purported stockholder filed a complaint against us and the members of our Board of Directors in the United States District Court for the Northern District of California. The complaint has since been voluntarily dismissed.</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6"/>
          <w:szCs w:val="16"/>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us,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is due on March 14, 2025.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Between October 24, 2023 and January 3, 2024, SomaLogic received 18 letters from purported shareholders demanding that SomaLogic allow the inspection of its books and records and/or make corrective disclosures to its registration statement. We have resolved fee disputes with all but two stockholder's counsels.</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February 2024, we settled previously outstanding litigation with a former stockholder of SomaLogic, whereby we relinquished 422,048 shares of our common stock that were subject to vesting conditions.</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May 2024, we settled previously outstanding litigation with former stockholders of SomaLogic for $6.2 million consisting of the repurchase of approximately 1.84 million shares of our common stock from the stockholders at the market price of $2.40 per share, and a cash payment of $1.8 million. We recognized a litigation loss of $0.6 million during the nine months ended September 30, 2024.</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June 4, 2024, we received a demand pursuant to Section 220 of the Delaware General Corporation Law from a stockholder to inspect our books and records relating to the prior conversion of our Series B preferred stock. We have responded to the demand and have produced documents.</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OPERATIONS AND RELIANCE ON THIRD PARTIES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experience development or manufacturing problems or delays that could limit the potential growth of our revenue or increase our losses.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6"/>
          <w:szCs w:val="16"/>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depends on research and development spending levels of our customers, a reduction in which could limit our ability to sell our products and adversely affect our business.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previously been impacted by the COVID-19 pandemic and may additionally be impacted by other factors, including a potential domestic and global recession—have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spacing w:after="0" w:line="73" w:lineRule="exact"/>
        <w:rPr>
          <w:sz w:val="20"/>
          <w:szCs w:val="20"/>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economic conditions;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or public health crises;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government programs that provide funding to research institutions and companies;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 and the political climate;</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protectionism, the escalation of tariffs and other trade barriers;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tax permits and incentives, including VAT and import tax exemptions;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regulatory environment affecting life science and plant and animal research companies engaged in research and commercial activities;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customers’ research priorities;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differences in budget cycles across various geographies and industries;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shortages among our customers;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market-driven pressures on companies to consolidate operations and reduce costs;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in the life science and plant and animal research industries;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affecting research and development spending.</w:t>
      </w:r>
    </w:p>
    <w:p>
      <w:pPr>
        <w:spacing w:after="0" w:line="1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addition, changing policies of and actions by the U.S. government may adversely affect the ability of our current, or potential, customers or collaborators to purchase, maintain or retain our products and services. In particular, upon taking office in January 2025, the Trump administration effectively prevented the National Institutes of Health (the “NIH”) from reviewing and awarding grants, or</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6"/>
          <w:szCs w:val="16"/>
          <w:color w:val="auto"/>
        </w:rPr>
        <w:t>paying out funds under already awarded grants, including for research or other projects that may involve our products and services. If this hold on government grants continues, or if the U.S. government takes any other actions to limit funds available for life science or healthcare research or other projects, it may have a material and adverse impact on our revenue, business, financial condition and results of operations.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5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4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rely on a limited number of third-party suppliers for certain components and materials used in our products, including single and sole source suppliers. Additionally, certain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66" w:lineRule="exact"/>
        <w:rPr>
          <w:sz w:val="20"/>
          <w:szCs w:val="20"/>
          <w:color w:val="auto"/>
        </w:rPr>
      </w:pPr>
    </w:p>
    <w:p>
      <w:pPr>
        <w:ind w:left="1020" w:right="20" w:hanging="516"/>
        <w:spacing w:after="0" w:line="310" w:lineRule="auto"/>
        <w:tabs>
          <w:tab w:leader="none" w:pos="10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27" w:lineRule="exact"/>
        <w:rPr>
          <w:rFonts w:ascii="Times New Roman" w:cs="Times New Roman" w:eastAsia="Times New Roman" w:hAnsi="Times New Roman"/>
          <w:sz w:val="15"/>
          <w:szCs w:val="15"/>
          <w:color w:val="auto"/>
        </w:rPr>
      </w:pPr>
    </w:p>
    <w:p>
      <w:pPr>
        <w:ind w:left="1020" w:right="20" w:hanging="516"/>
        <w:spacing w:after="0" w:line="276"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electron multiplier detector included in the Hyperion/Hyperion+/CyTOF/CyTOF XT systems and certain metal isotopes used with the Hyperion/Hyperion+/CyTOF/CyTOF XT systems are purchased from sole source suppliers.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raw materials for our Delta Gene and SNP Type assays and Access Array target-specific primers are available from a limited number of sources.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microarray readout systems used to complete SomaScan assays, and which are included in assay kits sold to customers, are provided by a sole source supplier.</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supply of streptavidin beads used to complete the SomaScan assay is provided by a sole source supplier.</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5" w:name="page36"/>
    <w:bookmarkEnd w:id="35"/>
    <w:p>
      <w:pPr>
        <w:ind w:left="1020" w:right="20" w:hanging="516"/>
        <w:spacing w:after="0" w:line="276" w:lineRule="auto"/>
        <w:tabs>
          <w:tab w:leader="none" w:pos="10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Tecan Fluent 780, an automated liquid handling instrument required to perform the SomaScan assay, is sourced from a sole supplier. The Tecan Fluent 780 is purchased by SomaLogic and SomaLogic certified sites.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reliance on single and sole source suppliers and assembly service providers also subjects us to other risks that could harm our business, including the following:</w:t>
      </w:r>
    </w:p>
    <w:p>
      <w:pPr>
        <w:spacing w:after="0" w:line="100" w:lineRule="exact"/>
        <w:rPr>
          <w:sz w:val="20"/>
          <w:szCs w:val="20"/>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increased component or assembly costs;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obtain adequate supply or services in a timely manner or on commercially reasonable terms, if at all.</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If, as a result of global economic or political instability, such as the ongoing conflicts in Ukraine and the Middle East, potential tariffs, or health pandemics, among other factors, our suppliers experience shortages or delays for materials sourced or manufactured in the affected countries, their ability to supply us with instruments or product components may be affected. If any of these events occur, our business and operating results could be harmed.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be able to convert our orders in backlog into revenue.</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Many events can cause an order to be delayed or not completed at all, some of which may be out of our control.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249"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b w:val="1"/>
          <w:bCs w:val="1"/>
          <w:color w:val="auto"/>
        </w:rPr>
        <w:t>Any disruption or delay in the shipping or off-loading of our products, whether domestically or internationally, may have an adverse effect on our financial condition and results of operations.</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or pandemics,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25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over the past few years experienced increased turnover at all levels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included in our previous restructuring plans could adversely affect our reputation among job seekers. It may also cause our existing employees to experience distractions or a decrease in employee morale. It could result in a loss of institutional know-how, reduced productivity, slower customer service response, reduced effectiveness of internal compliance</w:t>
      </w:r>
    </w:p>
    <w:p>
      <w:pPr>
        <w:spacing w:after="0" w:line="1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6" w:name="page37"/>
    <w:bookmarkEnd w:id="36"/>
    <w:p>
      <w:pPr>
        <w:jc w:val="both"/>
        <w:spacing w:after="0" w:line="310" w:lineRule="auto"/>
        <w:rPr>
          <w:sz w:val="20"/>
          <w:szCs w:val="20"/>
          <w:color w:val="auto"/>
        </w:rPr>
      </w:pPr>
      <w:r>
        <w:rPr>
          <w:rFonts w:ascii="Times New Roman" w:cs="Times New Roman" w:eastAsia="Times New Roman" w:hAnsi="Times New Roman"/>
          <w:sz w:val="15"/>
          <w:szCs w:val="15"/>
          <w:color w:val="auto"/>
        </w:rPr>
        <w:t>and risk-mitigation programs, and cancellations of or delays in completing new product developments and other strategic projects. We do not currently maintain key person life insurance covering any of our employees and all our employees, including our management team, may terminate employment without notice and without cause or good reason.</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Additionally, in connection with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thereby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5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If our direct sales, field support, and marketing forces and distribution capabilities are not sufficient to adequately address our customers’ needs, our business will be adversely affected.</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on a number of factors including our ability to execute with our existing team, the scope of our marketing efforts and development of our direct sales force, field application specialists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5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To use our products—our X9, CyTOF, and Hyperion systems in particular—customers typically need to purchase specialized reagents. Any interruption in the availability of these reagents for use in our products could limit our ability to market them.</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products, and our X9,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X9 system involves real-time quantitative polymerase chain reaction (qPCR) technology. Leading suppliers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6"/>
          <w:szCs w:val="16"/>
          <w:color w:val="auto"/>
        </w:rPr>
        <w:t>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5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Security incidents, loss of data, cyberattacks, and other information technology failures could disrupt our operations, damage our reputation, and adversely affect our business, operations, and financial results.</w:t>
      </w:r>
    </w:p>
    <w:p>
      <w:pPr>
        <w:spacing w:after="0" w:line="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are dependent upon our data and information technology systems for the effective operation of our business and for the secure maintenance and storage of confidential data, personal data, and trade secret information relating to our business and third-party businesses. Our information technology systems may be damaged, disrupted or shut down due to cybersecurity attacks, which are often carried out by experienced programmers or hackers, which may be able to penetrate our security. Cyberattacks include deployment of harmful malware and key loggers, ransomware, a denial-of-service attack, a malicious website, the use of social engineering and other means to affect the confidentiality, integrity and availability of our technology systems and data.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events becoming commonplace. Furthermore, there may be a heightened risk of potential cyberattacks by state actors or others since the escalation of the war in Ukraine. Any such compromise of our information technology systems could result in the unauthorized access to, or acquisition or publication of our confidential business or proprietary information, customer, supplier or employee data, or other personal data or trade secrets information,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incidents, cyberattacks, and other related cybersecurity incidents. The cost and operational consequences of implementing further data protection measures, either as a response to specific cybersecurity incidents or as a result of evolving risks, could be material.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have implemented security controls to protect our information technology infrastructure but, due to the ever-evolving nature of cybersecurity threats, however, there can be no assurance that cybersecurity incidents that impact our systems will not occur, which could adversely affect our business and operations, and could result in financial, legal, operational or reputational harm to us, loss of competitive advantage or loss of consumer confidence.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or personal data were determined to have been accessed, acquired, or released in the course of any future event, it is possible that we could be the subject of actions by governmental authorities or claims from persons alleging they suffered damages from such access, acquisition, or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6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addition to risks affecting our own systems, we could also be negatively impacted by a data breach or security incident impacting a third party’s network and affecting us, such as our third-party vendors and service providers. Third parties with which we conduct business have access to certain portions of our personal and sensitive data, including information pertaining to our customers and employees. In the event that these third parties do not adequately safeguard our data, cybersecurity incidents could result and negatively impact our business, operations, and financial results.</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 significant percentage of our employees work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cybersecurity incidents, there is no guarantee that these measures will be adequate to safeguard all systems with the increased number of employees working remotely.</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38" w:name="page39"/>
    <w:bookmarkEnd w:id="38"/>
    <w:p>
      <w:pPr>
        <w:ind w:left="3060"/>
        <w:spacing w:after="0"/>
        <w:rPr>
          <w:sz w:val="20"/>
          <w:szCs w:val="20"/>
          <w:color w:val="auto"/>
        </w:rPr>
      </w:pPr>
      <w:r>
        <w:rPr>
          <w:rFonts w:ascii="Times New Roman" w:cs="Times New Roman" w:eastAsia="Times New Roman" w:hAnsi="Times New Roman"/>
          <w:sz w:val="16"/>
          <w:szCs w:val="16"/>
          <w:b w:val="1"/>
          <w:bCs w:val="1"/>
          <w:color w:val="auto"/>
        </w:rPr>
        <w:t>RISKS RELATED TO QUALITY AND THE REGULATORY ENVIRONMENT</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our products contain defects, we may experience:</w:t>
      </w:r>
    </w:p>
    <w:p>
      <w:pPr>
        <w:spacing w:after="0" w:line="100" w:lineRule="exact"/>
        <w:rPr>
          <w:sz w:val="20"/>
          <w:szCs w:val="20"/>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failure to achieve market acceptance or expansion of our product sales;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customer orders and delay in order fulfillment;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to our brand reputation;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 of our warranty program due to product repair or replacement;</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recalls or replacements;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attract new customers;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resources from our manufacturing and research and development departments into our service department;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occurrence of any one or more of the foregoing could negatively affect our business, financial condition, and results of operations.</w:t>
      </w:r>
    </w:p>
    <w:p>
      <w:pPr>
        <w:spacing w:after="0" w:line="2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 The relevant laws and regulations include, among others:</w:t>
      </w:r>
    </w:p>
    <w:p>
      <w:pPr>
        <w:spacing w:after="0" w:line="72" w:lineRule="exact"/>
        <w:rPr>
          <w:sz w:val="20"/>
          <w:szCs w:val="20"/>
          <w:color w:val="auto"/>
        </w:rPr>
      </w:pPr>
    </w:p>
    <w:p>
      <w:pPr>
        <w:ind w:left="5680" w:right="3640" w:hanging="5176"/>
        <w:spacing w:after="0" w:line="522" w:lineRule="auto"/>
        <w:tabs>
          <w:tab w:leader="none" w:pos="100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CLIA’s and CAP’s regulation of our laboratory activities, as well as state licensure laws and regulations;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270510</wp:posOffset>
            </wp:positionV>
            <wp:extent cx="717486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9" w:right="319" w:bottom="1440" w:gutter="0" w:footer="0" w:header="0"/>
        </w:sectPr>
      </w:pPr>
    </w:p>
    <w:bookmarkStart w:id="39" w:name="page40"/>
    <w:bookmarkEnd w:id="39"/>
    <w:p>
      <w:pPr>
        <w:ind w:left="1020" w:right="20" w:hanging="516"/>
        <w:spacing w:after="0" w:line="276"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laws and regulations that apply to medical devices such as our companion diagnostics and other IVDs as well as LDTs, following the July 2024 effective date of the agency’s LDT final rule;</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49"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49" w:lineRule="exact"/>
        <w:rPr>
          <w:rFonts w:ascii="Times New Roman" w:cs="Times New Roman" w:eastAsia="Times New Roman" w:hAnsi="Times New Roman"/>
          <w:sz w:val="16"/>
          <w:szCs w:val="16"/>
          <w:color w:val="auto"/>
        </w:rPr>
      </w:pPr>
    </w:p>
    <w:p>
      <w:pPr>
        <w:ind w:left="1020" w:right="20" w:hanging="516"/>
        <w:spacing w:after="0" w:line="310" w:lineRule="auto"/>
        <w:tabs>
          <w:tab w:leader="none" w:pos="10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27" w:lineRule="exact"/>
        <w:rPr>
          <w:rFonts w:ascii="Times New Roman" w:cs="Times New Roman" w:eastAsia="Times New Roman" w:hAnsi="Times New Roman"/>
          <w:sz w:val="15"/>
          <w:szCs w:val="15"/>
          <w:color w:val="auto"/>
        </w:rPr>
      </w:pPr>
    </w:p>
    <w:p>
      <w:pPr>
        <w:jc w:val="both"/>
        <w:ind w:left="1020" w:right="20" w:hanging="516"/>
        <w:spacing w:after="0" w:line="261"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2"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62" w:lineRule="exact"/>
        <w:rPr>
          <w:rFonts w:ascii="Times New Roman" w:cs="Times New Roman" w:eastAsia="Times New Roman" w:hAnsi="Times New Roman"/>
          <w:sz w:val="16"/>
          <w:szCs w:val="16"/>
          <w:color w:val="auto"/>
        </w:rPr>
      </w:pPr>
    </w:p>
    <w:p>
      <w:pPr>
        <w:jc w:val="both"/>
        <w:ind w:left="1020" w:right="20" w:hanging="516"/>
        <w:spacing w:after="0" w:line="261"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62" w:lineRule="exact"/>
        <w:rPr>
          <w:rFonts w:ascii="Times New Roman" w:cs="Times New Roman" w:eastAsia="Times New Roman" w:hAnsi="Times New Roman"/>
          <w:sz w:val="16"/>
          <w:szCs w:val="16"/>
          <w:color w:val="auto"/>
        </w:rPr>
      </w:pPr>
    </w:p>
    <w:p>
      <w:pPr>
        <w:jc w:val="both"/>
        <w:ind w:left="1020" w:right="20" w:hanging="516"/>
        <w:spacing w:after="0" w:line="261"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62" w:lineRule="exact"/>
        <w:rPr>
          <w:rFonts w:ascii="Times New Roman" w:cs="Times New Roman" w:eastAsia="Times New Roman" w:hAnsi="Times New Roman"/>
          <w:sz w:val="16"/>
          <w:szCs w:val="16"/>
          <w:color w:val="auto"/>
        </w:rPr>
      </w:pPr>
    </w:p>
    <w:p>
      <w:pPr>
        <w:jc w:val="both"/>
        <w:ind w:left="1020" w:right="20" w:hanging="516"/>
        <w:spacing w:after="0" w:line="261"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62"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FCPA, and applicable foreign anti-bribery laws;</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state and local regulations relating to the handling and disposal of regulated medical waste, hazardous waste and biohazardous waste and workplace safety for healthcare employees;</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regulations relating to health and safety, labor and employment, public reporting, taxation and other areas applicable to businesses generally, all of which are subject to change;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Various federal and state laws, such as the Sunshine Act and state gift bans, that apply to medical device manufacturers could extend to our clinical reference laboratory now that FDA will actively regulate LDTs as medical devices pursuant to the 2024 final rule, and clinical laboratories offering and furnishing LDTs are considered to be device manufacturers as a result. We have begun the process of evaluating whether and to what extent those kinds of medical device-specific state requirements may be applicable to our operations.</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Given the complexity of these existing and changing rules and regulations, it is</w:t>
      </w:r>
    </w:p>
    <w:p>
      <w:pPr>
        <w:spacing w:after="0" w:line="1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16"/>
          <w:szCs w:val="16"/>
          <w:color w:val="auto"/>
        </w:rPr>
        <w:t>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6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Complying with numerous regulations pertaining to our business is an expensive and time-consuming process, and any failure to comply could result in substantial penalties.</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Moreover, several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we were to lose our CLIA accreditation, whether as a result of a revocation, suspension or limitation, we would no longer be able to sell our testing products, which would limit our revenue and harm our business. If we were to lose our license in states where we are required to hold licenses, we would not be able to test specimens from those states, which would limit our revenue.</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41" w:name="page42"/>
    <w:bookmarkEnd w:id="41"/>
    <w:p>
      <w:pPr>
        <w:jc w:val="both"/>
        <w:ind w:right="20"/>
        <w:spacing w:after="0" w:line="228" w:lineRule="auto"/>
        <w:rPr>
          <w:sz w:val="20"/>
          <w:szCs w:val="20"/>
          <w:color w:val="auto"/>
        </w:rPr>
      </w:pPr>
      <w:r>
        <w:rPr>
          <w:rFonts w:ascii="Times New Roman" w:cs="Times New Roman" w:eastAsia="Times New Roman" w:hAnsi="Times New Roman"/>
          <w:sz w:val="16"/>
          <w:szCs w:val="16"/>
          <w:b w:val="1"/>
          <w:bCs w:val="1"/>
          <w:color w:val="auto"/>
        </w:rPr>
        <w:t>The FDA may disagree with our assessment that our SomaLogic</w:t>
      </w:r>
      <w:r>
        <w:rPr>
          <w:rFonts w:ascii="Times New Roman" w:cs="Times New Roman" w:eastAsia="Times New Roman" w:hAnsi="Times New Roman"/>
          <w:sz w:val="21"/>
          <w:szCs w:val="21"/>
          <w:b w:val="1"/>
          <w:bCs w:val="1"/>
          <w:color w:val="auto"/>
          <w:vertAlign w:val="superscript"/>
        </w:rPr>
        <w:t>TM</w:t>
      </w:r>
      <w:r>
        <w:rPr>
          <w:rFonts w:ascii="Times New Roman" w:cs="Times New Roman" w:eastAsia="Times New Roman" w:hAnsi="Times New Roman"/>
          <w:sz w:val="16"/>
          <w:szCs w:val="16"/>
          <w:b w:val="1"/>
          <w:bCs w:val="1"/>
          <w:color w:val="auto"/>
        </w:rPr>
        <w:t xml:space="preserve"> test products and any other clinical diagnostic tests we may develop are LDTs eligible for FDA enforcement discretion and determine that such test products are fully subject to active compliance enforcement under the FDCA and FDA regulations.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Historically, the FDA had generally exercised its enforcement discretion and not enforced applicable regulations with respect to LDTs, which are IVDs that are designed, manufactured, and used within a single high-complexity CLIA-certified laboratory. We believe that our SomaLogic</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 products intended for clinical diagnostic use are LDTs.</w:t>
      </w:r>
    </w:p>
    <w:p>
      <w:pPr>
        <w:spacing w:after="0" w:line="17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the FDA were to disagree with our conclusion that our SomaLogic</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 products for clinical diagnostic use fall within the scope of the agency’s LDT definition and determines that such tests are thus subject to FDA’s medical device authorities and implementing regulations, we would become immediately subject to extensive regulatory requirements and may be required to stop selling our existing tests or refrain from launching any other tests we may develop. In particular, the FDA may require us to obtain marketing authorization for each of our SomaLogic</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in order for us to commercialize them for clinical diagnostic use.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SomaLogic</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intended for clinical diagnostic use, all of which would adversely impact our business.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and financial condition.</w:t>
      </w:r>
    </w:p>
    <w:p>
      <w:pPr>
        <w:spacing w:after="0" w:line="2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Planned changes in the way that the FDA regulates tests performed by laboratories like ours will result in delay or additional expense in offering our tests and tests that we may develop in the future.</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We currently market our SomaLogic</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intended for clinical diagnostic use as LDTs and may in the future market other diagnostic tests as LDTs. Historically, the FDA had exercised enforcement discretion with respect to most LDTs and generally had not required laboratories that furnish LDTs to comply with the agency’s requirements for medical devices (e.g., establishment registration, device listing, quality system regulations, premarket clearance or approval, and post-market controls). However, in May 2024, the FDA issued a final rule to regulate LDTs under the current medical device framework and phasing out its existing enforcement discretion policy for this category of diagnostic tests over several years. The effective date of the agency’s final rule was July 5, 2024. 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four-year mark, although FDA has stated that if premarket submissions are pending review it will continue to exercise enforcement discretion with respect to those tests.</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Of potential relevance is the agency’s position on LDTs that were marketed prior to the official publication date of the final rule. Such “currently marketed” tests are subject to many of the device regulatory controls but are exempted from the premarket review and FDA authorization requirements (unless or until significant modifications are made to such “currently marketed” tests). Similarly, FDA has created a partial enforcement discretion policy for tests approved by the New York State Clinical Laboratory Evaluation Program whereby such tests also do not need to undergo FDA premarket review but must come into compliance with all other device general controls in a stagged fashion between 2025 and 2027. We have begun the process of evaluating the final rule’s potential impact on our SomaLogic</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xml:space="preserve"> tests, as well as our operations and business more generally.</w:t>
      </w:r>
    </w:p>
    <w:p>
      <w:pPr>
        <w:spacing w:after="0" w:line="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9" w:right="319" w:bottom="1440" w:gutter="0" w:footer="0" w:header="0"/>
        </w:sectPr>
      </w:pPr>
    </w:p>
    <w:bookmarkStart w:id="42" w:name="page43"/>
    <w:bookmarkEnd w:id="42"/>
    <w:p>
      <w:pPr>
        <w:jc w:val="both"/>
        <w:spacing w:after="0" w:line="251" w:lineRule="auto"/>
        <w:rPr>
          <w:sz w:val="20"/>
          <w:szCs w:val="20"/>
          <w:color w:val="auto"/>
        </w:rPr>
      </w:pPr>
      <w:r>
        <w:rPr>
          <w:rFonts w:ascii="Times New Roman" w:cs="Times New Roman" w:eastAsia="Times New Roman" w:hAnsi="Times New Roman"/>
          <w:sz w:val="16"/>
          <w:szCs w:val="16"/>
          <w:color w:val="auto"/>
        </w:rPr>
        <w:t>On May 29, 2024, the American Clinical Laboratory Association (the "ACLA") and one of its members filed a complaint against the FDA in the Eastern District of Texas, alleging that the agency does not have authority to promulgate the LDT final rule and seeking to vacate the FDA’s action. A second lawsuit was also filed against FDA by the Association for Molecular Pathology ("AMP") on August 19, 2024 in the Southern District of Texas, and subsequently the two cases were consolidated into a single action pending in the Eastern District of Texas. Briefing is ongoing in the consolidated case, and the outcome of such litigation is uncertain. The litigation could potentially affect FDA’s plans to implement these new LDT requirements, making the potential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 forward.</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If FDA prevails in the Texas litigation and is able to fully implement the multi-year phase-in plan for the LDT final rule or Congress enacts comprehensive legislation to regulate in vitro diagnostics that moots the need for the LDT final rule, it could have a materially adverse impact on our results of operations. 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5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Disruptions at the FDA, the SEC and other government agencies caused by funding shortages, mass layoffs, or global health concerns could hinder their ability to hire and retain key leadership and other personnel, prevent our products from being developed or commercialized in a timely manner or otherwise prevent those agencies from performing normal business functions on which the operation of our business relies, which could negatively impact our business.</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Disruptions at the FDA and other agencies may also slow the time necessary for products to be reviewed and/or approved by necessary government agencies, which would adversely affect our business. For example, over the last several years, the United States government has shut down several times and certain regulatory agencies, such as the FDA and the SEC, have had to furlough critical FDA, SEC and other government employees and stop critical activities during that period. In early 2025, following the inauguration of President Trump, the Trump Administration began terminating federal government employees, including at the FDA. The impact of mass layoffs at the agency and other governmental offices with which we interact is unclear at this time. However, it is expected that with a proposed reduction in staff of up to 50%, the FDA in the future may be unlikely to meet its application review goals or to continue to be available for timely interactions with medical product developers. It is currently unclear how the U.S. biotechnology industry will be affected by the Trump Administration’s major changes to the FDA and the federal government as a whole.</w:t>
      </w:r>
    </w:p>
    <w:p>
      <w:pPr>
        <w:spacing w:after="0" w:line="1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Separately, during the COVID-19 pandemic, the FDA postponed most inspections of domestic and foreign manufacturing facilities at various points. Even though the FDA has since resumed standard inspection operations of domestic facilities where feasible, the agency has continued to monitor and implement changes to its inspectional activities to ensure the safety of its employees and those of the firms it regulates, and any resurgence of the virus or emergence of new infectious disease outbreaks may lead to future inspectional delays. Regulatory authorities outside the United States may adopt similar policy measures in response to emerging infectious disease outbreaks, epidemics, or pandemics. If a prolonged government shutdown or slowdown occurs, or if global health concerns similar to COVID-19 prevent the FDA or other regulatory agencies from conducting their regular inspections, review, or other regulatory activities, it could significantly affect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We are currently limited to RUO with respect to many of the materials and components used in our consumable products including our assays.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sell our instruments and consumable products, and certain of our assays, with express restrictions that they be used for RUO applications. The sale of our RUO products for any clinical or diagnostic purposes may require that we obtain regulatory clearance or approval to market the products for such purposes and also that we acquire certain materials and components used in the products from suppliers without an RUO restriction. There can be no assurance that we would be able to acquire these materials and components for use in diagnostic products on acceptable terms, if at all, if we are required to do so. If we are unable to do so, we would not be able to expand our instrument, consumable and assay product offerings beyond RUO, and our business and prospects would suffer.</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RUO/IUO Labeling Guidance, emphasizes that the FDA will review the totality of the circumstances when evaluating whether equipment and testing components are properly labeled as RUO. It further states that merely including a labeling statement that a product is intended for RUO will not necessarily render the device exempt from the FDA’s premarket authorization or other requirements, if the circumstances surrounding the distribution of the product indicate that the manufacturer intends for its product to be offered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If the FDA were to determine that our RUO products were intended for use in clinical investigation, diagnosis or treatment decisions, or that express or implied clinical or diagnostic claims were made for our RUO products, those products could be considered misbranded or adulterated under the FDCA. If the FDA determines that our RUO products are being marketed for clinical diagnostic use without the required regulatory approval or clearance, we may be required to cease marketing our products as planned, recall the products from customers, revise our marketing plans, and/or suspend or delay the commercialization of our products until we obtain the required authorization. We also may be subject to a range of enforcement actions by the FDA, including warning or untitled letters, injunctions, civil monetary penalties, criminal prosecution, and recall and/or seizure of products, as well as significant adverse publicity. For instance, some of our customers may, on their own initiative, use our RUO-labeled products in the development of their own LDTs or in other FDA-regulated products for clinical diagnostic use and may request our assistance in developing such uses or validating the instrument, consumable or assay for diagnostic use. If we provide such services or advice, FDA could determine that we intend such instruments, consumables, or assays for clinical or diagnostic uses in contradiction of the RUO labeling and require us to recall the products, prepare and submit applications for marketing authorization for the clinical or diagnostic uses or initiate enforcement actions against us. Any of these developments may adversely affect our business and financial condition.</w:t>
      </w:r>
    </w:p>
    <w:p>
      <w:pPr>
        <w:spacing w:after="0" w:line="26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b w:val="1"/>
          <w:bCs w:val="1"/>
          <w:color w:val="auto"/>
        </w:rPr>
        <w:t>If the FDA determines that our RUO products are medical devices or if we seek to market our RUO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Our RUO products are focused on the life sciences research market. This includes laboratories associated with academic and governmental research institutions, as well as pharmaceutical, biotechnology and contract research companies. Accordingly, our products are labeled as RUO, and are not intended for diagnostic use. While our marketing for our RUO products is focused on the life sciences research market, we may decide to expand our product line to encompass products that are intended to be used for the diagnosis of disease or other medical purposes. Laboratory instruments, consumables and assays intended for clinical or diagnostic purposes are subject to regulation as medical devices by the FDA and comparable international agencies, including requirements for regulatory clearance or approval of such products before they can be marketed. If the FDA were to determine that our products are intended for clinical use or if we decided to market our products for such use, we would be required to obtain 510(k) clearance or approval of a PMA from the agency in order to sell our products in a manner consistent with applicable U.S. laws and regulations. Such regulatory authorization processes are expensive, time-consuming and uncertain; our efforts may never result in any marketing authorization for our products; and failure by us to obtain or comply with such authorizations could have an adverse effect on our business, financial condition or operating results. Even if we obtain premarket approval clearance, where required, such authorization may not be for the use or uses we believe are commercially attractive and/or are critical to the commercial success of our products. As a result, being subject to the FDA’s premarket review and/or post-market control requirements for our products could materially and adversely affect our business, financial condition and results of operations.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If we are required to obtain premarket approval or clearance for our instruments, consumables or assay products, we and they would be subject to a substantial number of additional requirements applicable to medical devices and their manufacturers, including establishment registration; device listing; the Quality System Regulation which covers the design, testing, production, control, quality assurance, labeling, packaging, servicing, sterilization (if required), and storage and shipping of medical devices (among other activities); device labeling; advertising and promotion; recordkeeping; post-market surveillance; post-market studies; adverse event</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44" w:name="page45"/>
    <w:bookmarkEnd w:id="44"/>
    <w:p>
      <w:pPr>
        <w:jc w:val="both"/>
        <w:spacing w:after="0" w:line="251" w:lineRule="auto"/>
        <w:rPr>
          <w:sz w:val="20"/>
          <w:szCs w:val="20"/>
          <w:color w:val="auto"/>
        </w:rPr>
      </w:pPr>
      <w:r>
        <w:rPr>
          <w:rFonts w:ascii="Times New Roman" w:cs="Times New Roman" w:eastAsia="Times New Roman" w:hAnsi="Times New Roman"/>
          <w:sz w:val="16"/>
          <w:szCs w:val="16"/>
          <w:color w:val="auto"/>
        </w:rPr>
        <w:t>reporting; and device corrections, removals and recalls. One or more of our current or future products may also require clinical trials in order to generate the data required for approval of a PMA. Complying with these requirements may be time-consuming and expensive. We may be required to expend significant resources to ensure ongoing compliance with applicable regulations and implement satisfactory corrective or preventive actions in response to quality issues or enforcement action, which may have a material adverse effect on our ability to design, develop and commercialize products using our technology as planned. Failure to comply with these requirements may subject us to a range of enforcement actions, such as warning letters, injunctions, civil monetary penalties, criminal prosecution, recall and/or seizure of products, and revocation of marketing authorizations, as well as significant adverse publicity. If we or our collaborators fail to obtain, or experience significant delays in obtaining, regulatory approvals for our products, we may not be able to launch or successfully commercialize such products in a timely manner, or at all.</w:t>
      </w:r>
    </w:p>
    <w:p>
      <w:pPr>
        <w:spacing w:after="0" w:line="25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The FTC and/or state enforcement or regulatory agencies may object to the methods and materials we use to promote our products and services and initiate enforcement against us, which could adversely affect our business and financial condition.</w:t>
      </w:r>
    </w:p>
    <w:p>
      <w:pPr>
        <w:spacing w:after="0" w:line="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FTC and/or state enforcement or regulatory agencies (including but not limited to the offices of state attorneys general) may object to the materials and methods we use to promote our services and our currently marketed instruments, reagents, or assays, including diagnostic LDTs, or other products we may develop in the future, including with respect to the product claims in our promotional materials or advertising, and may initiate enforcement actions against us. Enforcement actions by the FTC may include, among others, injunctions, civil penalties and equitable monetary relief.</w:t>
      </w:r>
    </w:p>
    <w:p>
      <w:pPr>
        <w:spacing w:after="0" w:line="25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Numerous federal, state and foreign laws and regulations, including HIPAA and the HITECH Act in the United States, govern the collection, dissemination, disclosure, security, use and confidentiality of individually identifiable health information and, in many cases, other personal information. HIPAA and the HITECH Act require us to comply with standards for the use and disclosure of PHI within our company and with respect to third parties. The privacy, security and breach 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Business Associates must have a written Business Associate contracts or other arrangements with a Covered Entity that establishes specifically what the Business Associate has been engaged to do and obligates the Business Associate to comply with HIPAA requirements. Further, in the event of a breach of unsecured PHI we must notify each individual whose PHI is breached as well as federal regulators and, in some cases, must publicize the breach in local or national media.</w:t>
      </w:r>
    </w:p>
    <w:p>
      <w:pPr>
        <w:spacing w:after="0" w:line="17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61"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color w:val="auto"/>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6"/>
          <w:szCs w:val="16"/>
          <w:color w:val="auto"/>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California data protection agency authorized to issue substantive regulations and could result in increased privacy and information security enforcement. Washington state recently passed the “My Health My Data” Act, which broadly regulates “consumer health data” and creates a private right of action allowing individuals to sue directly for alleged violations and is expected to increase related litigation. In the event that we are subject to or affected by HIPAA, the CCPA, the CPRA or other domestic privacy and data protection laws (for example, the My Health, My Data Act, the Colorado Privacy Act and other similar laws that recently went into effect in other states, such as Utah, Virginia, Connecticut, Delaware, Florida, Indiana, Iowa, Montana, Oregon, Tennessee, and Texas), any liability from failure to comply with the requirements of these laws could adversely affect our financial condition.</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countries outside of the EEA that have not been found to provide adequate protection to such personal data. In 2016, the EU and United States agreed to a transfer framework for data transferred from the EU to the United States, called the Privacy Shield, but the Privacy Shield was invalidated in July 2020 by the Court of Justice of the EU. In July 2023, however,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addressing the reasons behind the Court of Justice of the EU’s invalidation of the original Privacy Shield. The European Commission will continually review developments in the United States along with its adequacy decision. However, future actions of EU data protection authorities are difficult to predict.</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Relatedly, following the United Kingdom’s withdrawal from the EU, the GDPR was implemented in the United Kingdom as the U.K. GDPR. which sits alongside the amended U.K. Data Protection Act 2018, which implements certain derogations in the EU GDPR into United Kingdom law. The U.K. GDPR mirrors the fines under the GDPR, i.e., fines up to the greater of €20 million (£17.5 million) or 4% of annual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U.K. Parliament is currently considering the Data Protection and Digital Information Bill to harmonize the 2018 Data Protection Act, U.K. GDPR, and the Privacy and Electronic Communications Regulations under one legislative framework.</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 AND OPERATING A GLOBAL BUSINESS</w:t>
      </w:r>
    </w:p>
    <w:p>
      <w:pPr>
        <w:spacing w:after="0" w:line="19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During the years ended December 31, 2024, 2023, and 2022, approximately 48%, 59%, and 58%,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62" w:lineRule="exact"/>
        <w:rPr>
          <w:sz w:val="20"/>
          <w:szCs w:val="20"/>
          <w:color w:val="auto"/>
        </w:rPr>
      </w:pPr>
    </w:p>
    <w:p>
      <w:pPr>
        <w:jc w:val="both"/>
        <w:ind w:left="1020" w:hanging="516"/>
        <w:spacing w:after="0" w:line="254"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compliance with existing and changing foreign regulatory requirements and laws that are or may be applicable to our business in the future, such as the European Union’s General Data Protection Regulation, comprehensive U.S. state privacy laws such as the California Consumer Privacy Act, and similar laws in Colorado, Connecticut, Utah, and Virginia,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67"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required compliance with U.S. laws such as the Foreign Corrupt Practices Act, and other U.S. federal laws and regulations established by the Office of Foreign Assets Control;</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export requirements and import or trade restrictions;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laws and business practices favoring local companies;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payment cycles and difficulties in enforcing agreements and collecting receivables through certain foreign legal systems;</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the Russian invasion of Ukraine or the conflict in the Middle East;</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and travel restrictions resulting from global sociopolitical events, including war and terrorism, public health crises and pandemics, and natural disasters including earthquakes, typhoons, floods and fires;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tariffs, customs charges, bureaucratic requirements, and other trade barriers;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of staffing and managing foreign operations;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protecting or procuring intellectual property rights.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much of the COVID-19 pandemic, travel restrictions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spacing w:after="0" w:line="16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applicable to products manufactured in that foreign country and imported into the United States. The imposition of substantial tariffs by the United States on imports from various countries, including China, Canada, and Mexico, and the possible countermeasures by these countries could increase costs, disrupt the global supply chain, and create additional operational challenges. The uncertainty surrounding future trade relationships and the potential</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47" w:name="page48"/>
    <w:bookmarkEnd w:id="47"/>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for increased market volatility and currency exchange rate fluctuations along with tariffs and trade regulations could have an adverse effect on our business, financial condition, and results of operations.</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Our business is subject to a variety of new U.S. and foreign export controls and economic sanctions regulations that were issued in response to Russia’s invasion of Ukraine and the conflict in the Middle East; our failure to comply with these laws and regulations could harm our business.</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Due to recent regulations, U.S. companies can no longer provide or receive services or conduct any business with, including selling, shipping, or otherwise transferring any U.S.-controlled products to, the Donetsk People’s Republic and Luhansk People’s Republic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Adverse conditions in the domestic and global economy and disruption of financial markets may significantly harm our revenue, profitability, and results of operations.</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Adverse economic conditions in the U.S. and international markets, including any worldwide economic disruption related to another or worsening global pandemic or a recession, could negatively impact our revenues and results of operations. The global credit and financial markets continue to experience volatility and disruptions, including diminished liquidity and credit availability, increased concerns about inflation and tariffs, and uncertainty about economic stability. Geopolitical events including a potential recession, the Russian invasion of Ukraine, the conflict in the Middle East, including any resulting adoption and expansion of trade restrictions by the United States, Israel,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fluctuations in the exchange rate of the U.S. dollar and foreign currencies.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revenue is generally denominated in the local currency of the contracting party. Historically, the majority of our revenue has been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where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6"/>
          <w:szCs w:val="16"/>
          <w:b w:val="1"/>
          <w:bCs w:val="1"/>
          <w:color w:val="auto"/>
        </w:rPr>
        <w:t>FINANCIAL, TAX, AND ACCOUNTING RISKS</w:t>
      </w:r>
    </w:p>
    <w:p>
      <w:pPr>
        <w:spacing w:after="0" w:line="1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b w:val="1"/>
          <w:bCs w:val="1"/>
          <w:color w:val="auto"/>
        </w:rPr>
        <w:t>Our future capital needs are uncertain and we may need to raise additional funds in the future, which may cause dilution to stockholders or may be upon terms that are not favorable to us.</w:t>
      </w:r>
    </w:p>
    <w:p>
      <w:pPr>
        <w:spacing w:after="0" w:line="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We continue to experience losses and, if that trend continues, we may need to seek additional sources of financing. In addition, we may need to raise substantial additional capital for various purposes, including:</w:t>
      </w:r>
    </w:p>
    <w:p>
      <w:pPr>
        <w:spacing w:after="0" w:line="50" w:lineRule="exact"/>
        <w:rPr>
          <w:sz w:val="20"/>
          <w:szCs w:val="20"/>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funding our operations;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repayments;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acquiring other businesses or assets and licensing technologies;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expanding the commercialization of our products;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furthering our research and development.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future funding requirements will depend on many factors, including:</w:t>
      </w:r>
    </w:p>
    <w:p>
      <w:pPr>
        <w:spacing w:after="0" w:line="100" w:lineRule="exact"/>
        <w:rPr>
          <w:sz w:val="20"/>
          <w:szCs w:val="20"/>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acceptance of our products;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our research and development activities;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filing and prosecuting patent applications;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defending any litigation including intellectual property, employment, contractual or other litigation;</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regulatory clearances or approvals, if any;</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establishing additional sales, marketing, and distribution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timing of establishing additional technical support capabilities;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cash demands (e.g., due to interest or principal payments or payouts under existing cash compensation plans);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variability in sales and timing of related cash collections;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our efficiency, cost-savings and other strategic initiatives (including those contemplated by our previously announced restructuring plans);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natural disasters or public health crises and pandemics;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competing technological and market developments;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license or otherwise invest in businesses, products, and technologies.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To the extent we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In recent years, there has been significant volatility in the global capital markets, increasing the cost of—and adversely impacting access to—capital. If we raise additional funds by issuing equity securities, our stockholders will experience dilution. Debt financing, if available, may involve covenants restricting our operations or our ability to incur additional debt. Any additional debt or equity financing that we raise may contain terms that are not favorable to us or our stockholders.</w:t>
      </w:r>
    </w:p>
    <w:p>
      <w:pPr>
        <w:spacing w:after="0" w:line="16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9" w:right="319" w:bottom="1440" w:gutter="0" w:footer="0" w:header="0"/>
        </w:sectPr>
      </w:pPr>
    </w:p>
    <w:bookmarkStart w:id="49" w:name="page50"/>
    <w:bookmarkEnd w:id="49"/>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required to comply with Section 404 of the Sarbanes-Oxley Act. Section 404 of the Sarbanes-Oxley Act requires public companies to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In addition, we are required to have our independent registered public accounting firm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will need to be re-evaluated frequently. We currently outsource the internal audit function. We have hired and may need to hire additional accounting and financial staff with appropriate public company experience and technical accounting knowledge to establish an internal audit function. If we fail to maintain the effectiveness of our internal controls or if we or our independent registered public accounting firm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common stock and we could be subject to sanctions or investigations by The Nasdaq Stock Market LLC,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1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independent registered public accounting firm as required under Section 404 of the Sarbanes-Oxley Act. This, in turn, could have an adverse impact on trading prices for our common stock, and could adversely affect our ability to access the capital markets.</w:t>
      </w:r>
    </w:p>
    <w:p>
      <w:pPr>
        <w:spacing w:after="0" w:line="16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Although we determined that our internal controls over financing reporting were effective as of December 31, 2024,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may not realize the value of our goodwill or other intangible assets, which would be reflected in an impairment charge.</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consolidated financial statements. As of December 31, 2024, we had approximately $135.8 million of goodwill and net intangible assets, including approximately $113.2 million of goodwill and $22.6 million of net intangible assets. These assets represent a significant portion of the assets recorded on our consolidated balance sheet. In addition, if in the future we acquire additional businesses, technologies, or other intangible assets, a substantial portion of the value of such assets may be recorded as goodwill or intangible assets.</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assess the realizability of goodwill and indefinite-lived intangible assets annually as well as whenever events or changes in circumstances indicate that these assets may be impaired. We also assess the realizability of definite-lived intangible assets whenever events or changes in circumstances indicate that these assets may be impaired. These events or circumstances may include a significant deterioration in overall economic conditions, a decline in our market capitalization, reorganizations of our business, the disposal of all or a portion of a reporting unit, operating losses or a significant decline in earnings associated with the acquired business or asset. Our ability to realize the value of the goodwill and intangible assets will depend on the future cash flows of these businesses, including our ability to realize revenue growth, cost savings, and other macro factors which impact the enterprise value.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5"/>
          <w:szCs w:val="15"/>
          <w:color w:val="auto"/>
        </w:rPr>
        <w:t>In determining the fair value of our two operating segments, significant assumptions including forecasted cash flows (revenue growth rates), discount rates, earnings multiples and an implied control premium are utilized. As these assumptions are inherently judgmental and subject to uncertainty, future impairments that cannot be reasonably estimated, but could be material, may occur. We performed our annual goodwill assessment in the fourth quarter of 2024 and concluded that we did not have goodwill impairment.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ability to use net operating loss carryforwards to offset future taxable income for U.S. federal income tax purposes and other tax benefits may be limited.</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Future changes in our stock ownership, some of which are outside our control, could result in an ownership change under Section 382 of the Code. In 2022 and 2024, we experienced ownership changes, which substantially limited our ability to use our NOLs. There is no assurance that we will be able to fully utilize our future NOLs or other tax benefits, which could adversely impact our results of operations.</w:t>
      </w:r>
    </w:p>
    <w:p>
      <w:pPr>
        <w:spacing w:after="0" w:line="24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accounting principles, or interpretations thereof, could have a significant impact on our financial position and results of operations.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4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51" w:name="page52"/>
    <w:bookmarkEnd w:id="51"/>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RISKS RELATED TO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ability to protect our intellectual property and proprietary technology through patents and other means is uncertain.</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7" w:lineRule="exact"/>
        <w:rPr>
          <w:sz w:val="20"/>
          <w:szCs w:val="20"/>
          <w:color w:val="auto"/>
        </w:rPr>
      </w:pPr>
    </w:p>
    <w:p>
      <w:pPr>
        <w:ind w:left="1020" w:hanging="516"/>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make the inventions covered by each of our pending patent applications;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have been the first to file patent applications for these inventions;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have an adverse effect on our business;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products and technologies or duplicate any of our products and technologies.</w:t>
      </w:r>
    </w:p>
    <w:p>
      <w:pPr>
        <w:spacing w:after="0" w:line="1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6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9" w:right="319" w:bottom="1440" w:gutter="0" w:footer="0" w:header="0"/>
        </w:sectPr>
      </w:pPr>
    </w:p>
    <w:bookmarkStart w:id="52" w:name="page53"/>
    <w:bookmarkEnd w:id="52"/>
    <w:p>
      <w:pPr>
        <w:jc w:val="both"/>
        <w:spacing w:after="0" w:line="275" w:lineRule="auto"/>
        <w:rPr>
          <w:sz w:val="20"/>
          <w:szCs w:val="20"/>
          <w:color w:val="auto"/>
        </w:rPr>
      </w:pPr>
      <w:r>
        <w:rPr>
          <w:rFonts w:ascii="Times New Roman" w:cs="Times New Roman" w:eastAsia="Times New Roman" w:hAnsi="Times New Roman"/>
          <w:sz w:val="15"/>
          <w:szCs w:val="15"/>
          <w:color w:val="auto"/>
        </w:rPr>
        <w:t>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4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4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RUO, royalty bearing license to certain cytometric reagents, instruments, and other products. While we were able to secure a license under a new license agreement with the licensor, we cannot provide assurances that we will always be able to obtain suitable license rights to technologies or intellectual property of other third parties on acceptable terms, if at all.</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December 2021, SomaLogic entered into the Collaboration Agreement with Illumina to develop co-branded, distributable NGS-based proteomic products. As part of the Collaboration Agreement, Illumina will develop and deploy NGS-based protein identification and measurement tools into laboratories worldwide, and facilitate the development and use of high-plex protein pattern recognition tests.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There can be no assurance that any current contractual arrangements between us and third parties, such as Illumina, for example,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In-licensed intellectual property rights that are fundamental to our business being operated present numerous risks and limitations. For example, all or a portion of the license rights granted may be limited for RUO, and in the event we attempt to expand into diagnostic applications, we would be required to negotiate additional rights, which may not be available to us on commercially reasonable terms, if at all.</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w:t>
      </w:r>
    </w:p>
    <w:p>
      <w:pPr>
        <w:spacing w:after="0" w:line="1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16"/>
          <w:szCs w:val="16"/>
          <w:color w:val="auto"/>
        </w:rPr>
        <w:t>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certain manufacturing restrictions related to licensed technologies that were developed with the financial assistance of U.S. governmental grants.</w:t>
      </w:r>
    </w:p>
    <w:p>
      <w:pPr>
        <w:spacing w:after="0" w:line="1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are not currently manufacturing instruments and IFCs in the United States that incorporate the relevant licensed technology. If our lack of compliance with any such provisions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subject to certain obligations and restrictions relating to technologies developed in cooperation with Canadian government agencies.</w:t>
      </w:r>
    </w:p>
    <w:p>
      <w:pPr>
        <w:spacing w:after="0" w:line="1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10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Standard BioTools regularly assesses risks from cybersecurity threats; monitors our information systems for potential vulnerabilities; and tests those systems pursuant to our cybersecurity policies, processes, and practices, which are integrated into our overall risk management program. To protect our information systems from cybersecurity threats, we use various security tools that are designed to protect against cyber security incidents, as well as to identify, escalate, investigate, resolve, and recover from security incidents in a timely manner. As part of this program, we conduct periodic assessments of our assets to evaluate the effectiveness of applicable security controls. These assessments are informed by industry standard frameworks (NIST, ISO) and include a review of our information security controls, policies and procedures to assess cybersecurity maturity against industry standards. In accordance with our IT Risk Management Program, we actively identify and assess risks based on the probability and potential impact to key business systems and processes. All risks identified are assessed to identify the range of possible outcomes and risks are prioritized by their level of importance. Each risk is assigned to a risk owner who will track, monitor, and report on the status with a risk response aligned to the probability and impact of occurrence. Risks that are considered high are incorporated into our corporate risk management program overseen by the Audit Committee of our Board of Directors (the "Audit Committee") and our Board of Directors.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All employees receive cybersecurity training upon hire with at least annual training thereafter with job-specific topic considerations. Our Information Security team, consisting of the VP of Information Technology, Sr. Manager of Network Security and IT Security Manager, among others, engage third-party vendors to assist with providing timely cybersecurity threat alerts in addition to monitoring for cybersecurity threats and our defenses against cyberattacks. This monitoring includes the proactive identification of vulnerabilities in our systems through testing and threat intelligence awareness. The employees within our Information Security team and broader IT team who specialize in cybersecurity operations are responsible for coordinating and overseeing the activities of these third-party vendors.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Additionally, we require each third-party service provider with access to our internal systems, applications or data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Our practice is to perform due diligence, including the completion of security questionnaires and risk assessments, as appropriate, on these third parties.</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our risk factor titled “</w:t>
      </w:r>
      <w:r>
        <w:rPr>
          <w:rFonts w:ascii="Times New Roman" w:cs="Times New Roman" w:eastAsia="Times New Roman" w:hAnsi="Times New Roman"/>
          <w:sz w:val="16"/>
          <w:szCs w:val="16"/>
          <w:i w:val="1"/>
          <w:iCs w:val="1"/>
          <w:color w:val="auto"/>
        </w:rPr>
        <w:t>Security incidents, loss of data, cyberattacks,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other information technology failures could disrupt our operations, damage our reputation, and adversely affect our business, operations, and financial results</w:t>
      </w:r>
      <w:r>
        <w:rPr>
          <w:rFonts w:ascii="Times New Roman" w:cs="Times New Roman" w:eastAsia="Times New Roman" w:hAnsi="Times New Roman"/>
          <w:sz w:val="16"/>
          <w:szCs w:val="16"/>
          <w:color w:val="auto"/>
        </w:rPr>
        <w:t>,” in Part 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Item 1A. "Risk Factors." Refer to this risk factor for additional description of cybersecurity risks and potential related impacts on our Company.</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previously disclosed, in early 2019, we became aware of a ransomware attack that infiltrated and encrypted certain information technology systems, including systems containing critical business data. The financial impact of this incident was not material, and there were no changes to the previously released financial results or financial statements. As previously disclosed, immediately following the discovery, we commenced an investigation and were able to recover access to the compromised systems and restore their operation without significant loss of business data within weeks of the incident. Following the incident, we implemented additional protective measures and internal control policies and procedures. We also retained a professional cybersecurity investigation firm to conduct a full forensic analysis of the incident, and concluded that there was no evidence of malware, persistence mechanisms or other compromised exchange on-premises accounts within the Company’s environment.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early 2024, Standard BioTools completed a merger with SomaLogic. Critical to integration activities has been a wholesale review of policies, procedures and tools relevant to the combined cybersecurity environment with the objective of deploying and maintaining those which serve to reinforce our security presence to the greatest extent. While these activities continue, it has been noted that the SomaLogic organization takes a comparable, if not more stringent, approach to their cyber and information security posture inclusive of their ongoing ISO27001 compliance 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While our management team is responsible for the day-to-day management of the risks Standard BioTools faces, our Board of Directors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of Directors takes an enterprise-wide approach to risk management designed to support the achievement of organizational objectives, including strategic objectives, to improve long-term organizational performance, and to enhance stockholder</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6"/>
          <w:szCs w:val="16"/>
          <w:color w:val="auto"/>
        </w:rPr>
        <w:t>value. In order to understand the most significant risks faced by the Company and the steps being taken to manage those risks, Standard BioTools conducts quarterly enterprise risk management assessments, facilitated by the Company’s executive leadership team in collaboration with the internal audit function, which are presented by management at each quarterly Board of Directors meeting. The Board of Directors’ review of our business is an integral aspect of its assessment of management’s tolerance for risk and its determination as to the appropriate level of risk for our Company.</w:t>
      </w:r>
    </w:p>
    <w:p>
      <w:pPr>
        <w:spacing w:after="0" w:line="16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 xml:space="preserve">Although the Board of Directors has determined that enterprise risk management should be the responsibility of the Board of Directors as a whole, it has delegated responsibility to oversee specific areas of risk management to its committees. Our Audit Committee oversees and reviews the Company’s cybersecurity, data privacy, and other information technology risks, controls and procedures, including the Company’s plans to mitigate cybersecurity risks and respond to data breaches. </w:t>
      </w:r>
      <w:r>
        <w:rPr>
          <w:rFonts w:ascii="Times New Roman" w:cs="Times New Roman" w:eastAsia="Times New Roman" w:hAnsi="Times New Roman"/>
          <w:sz w:val="16"/>
          <w:szCs w:val="16"/>
          <w:color w:val="231F20"/>
        </w:rPr>
        <w:t>At periodic meetings of the Board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Directors and its committees and in other meetings and discussions, management reports to the Board of Directors and its committees with respect to the most significant risks that could affect our business, including cybersecurity-related risks. Our Audit Committee also receives prompt and timely information regarding any cybersecurity incident to meet reporting thresholds, as well as ongoing updates regarding any such incident until it has been addressed.</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cybersecurity risk management and strategy processes are led by our Chief Financial Officer and our Vice President of Information Technology. Our Vice President of Information Technology has over 19 years of work experience in various roles involving managing information security, developing cybersecurity strategy, implementing effective information and cybersecurity programs and has carried relevant degrees and certifications, including Certified Information Systems Auditor.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about cybersecurity threat risks, among other cybersecurity related matters, on an at least annual basis. Should a material breach be identified, as defined by the Board of Directors and the executive team, these management team members will notify the executive team and the Board of Directors and draft the required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lease approximately 78,000 square feet of office and laboratory space at our headquarters in South San Francisco, California under a 10-year operating lease that commenced in March 2020. In Singapore, we lease approximately 45,000 square feet of office, laboratory and manufacturing space that expires in June 2027. In Ontario, Canada, we lease a 9,000 square foot property that expires in February 2025, a 44,500 square feet property that that expires in March 2026 and a 19,000 square feet property that expires in March 2027. In Boulder, Colorado we lease approximately 60,000 square feet of office, manufacturing and laboratory space that expires in February 2026. As of December 31, 2024, we also lease office space in Japan, China, and France under arrangements that expire through November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August 2022, we entered into an operating agreement to sublease approximately 25% of our corporate headquarters facility in South San Francisco, California for $4.8 million over a 39-month term. On February 28, 2023, we entered into a separate agreement with an unrelated party to sublease an additional 25% of the headquarters facility. We expect to recognize $9.1 million in sublease income over the 77-month term of the agreement, which commenced in December 2023 and expires concurrent with the expiration of the head-lease in April 2030.</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believe that all of our leased properties are in good condition and are adequate and suitable to use for their intended purpose, and that suitable additional space would be available on commercially reasonable terms if required. All leased properties are used to support our proteomics and genomics segments. Refer to Note 8 of our consolidated financial statements for additional information about leased properties in this Annual Report.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Shareholder Litigation</w:t>
      </w:r>
    </w:p>
    <w:p>
      <w:pPr>
        <w:spacing w:after="0" w:line="1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6" w:name="page57"/>
    <w:bookmarkEnd w:id="56"/>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2024. An amended complaint was filed on June 20, 2024, containing primarily the same allegations, while removing some of the defendants. The remaining defendants filed a motion to dismiss on July 5, 2024, and served an opening brief on August 19, 2024. The Plaintiffs’ opposition brief is due on November 1, 2024, and the defendants’ reply brief is due on December 13, 2024.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Between October 24, 2023 and January 3, 2024, SomaLogic received 18 letters from purported stockholders demanding that SomaLogic allow the inspection of its books and records and/or make corrective disclosures to its registration statement. The Company has resolved fee disputes with all but two stockholder’s counsel.</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February 2024, the Company settled previously outstanding litigation with a former stockholder of SomaLogic, whereby the Company relinquished 422,048 shares of the Company's common stock that were subject to vesting conditions.</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nine months ended September 30, 2024.</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June 4, 2024, the Company received a demand pursuant to Section 220 of the Delaware General Corporation Law from a stockholder to inspect the Company’s books and records relating to the prior conversion of the Company's Series B preferred stock. The Company has responded to the demand and has produced documents.</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57" w:name="page58"/>
    <w:bookmarkEnd w:id="57"/>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4" w:lineRule="exact"/>
        <w:rPr>
          <w:sz w:val="20"/>
          <w:szCs w:val="20"/>
          <w:color w:val="auto"/>
        </w:rPr>
      </w:pPr>
    </w:p>
    <w:p>
      <w:pPr>
        <w:ind w:left="5" w:right="40"/>
        <w:spacing w:after="0" w:line="371"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 Market for Our Common Stock; Dividends</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Our common stock is listed on the Nasdaq Global Select Market under the symbol “LAB”.</w:t>
      </w:r>
    </w:p>
    <w:p>
      <w:pPr>
        <w:spacing w:after="0" w:line="194"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We had 252 stockholders of record as of March 6, 2025; however, because many of our outstanding shares of common stock are held by brokers or other institutions on behalf of stockholders, we are unable to estimate the total number of beneficial owners represented by the holders of record.</w:t>
      </w:r>
    </w:p>
    <w:p>
      <w:pPr>
        <w:spacing w:after="0" w:line="145"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Sales of Unregistered Securities</w:t>
      </w:r>
    </w:p>
    <w:p>
      <w:pPr>
        <w:spacing w:after="0" w:line="102" w:lineRule="exact"/>
        <w:rPr>
          <w:sz w:val="20"/>
          <w:szCs w:val="20"/>
          <w:color w:val="auto"/>
        </w:rPr>
      </w:pPr>
    </w:p>
    <w:p>
      <w:pPr>
        <w:jc w:val="both"/>
        <w:ind w:left="5"/>
        <w:spacing w:after="0" w:line="250" w:lineRule="auto"/>
        <w:rPr>
          <w:sz w:val="20"/>
          <w:szCs w:val="20"/>
          <w:color w:val="auto"/>
        </w:rPr>
      </w:pPr>
      <w:r>
        <w:rPr>
          <w:rFonts w:ascii="Times New Roman" w:cs="Times New Roman" w:eastAsia="Times New Roman" w:hAnsi="Times New Roman"/>
          <w:sz w:val="16"/>
          <w:szCs w:val="16"/>
          <w:color w:val="auto"/>
        </w:rPr>
        <w:t>We entered into an Agreement and Plan of Acquisition (the "Acquisition Agreement"), dated as of November 21, 2024, by and between the Company, Sengenics, Sonic UK Bidco Limited, each of the beneficial owners set forth therein, and Summa Equity Fund II (No. 1) AB (Summa No. 1), in its capacity as the representative and agent of Summa Equity Fund II (No. 2) AB (Summa No. 2) and Summa Equity Fund II (No. 3) AB (Summa No. 3, and collectively with Summa No. 1 and Summa No. 2, the "Summa Funds"), pursuant to which we issued 3,627,959 shares of our common stock to the Summa Funds as partial consideration for the purchase of 100% equity interests in Sengenics. The fair value of our common stock was based on a per share price of $1.62 (the opening price of our common stock on the Nasdaq Global Select Market on November 21, 2024). All shares were issued in reliance on an exemption from registration under Section 4(a)(2) of the Securities Act as we did not engage in any general solicitation or advertising. Each of the Summa Funds acquiring the foregoing shares was an accredited investor (as defined in Rule 501(a) of Regulation D) and Summa No. 1, as the representative and agent of the Summa Funds, confirmed the foregoing and acknowledged, in writing, by signing the Acquisition Agreement that the shares must be acquired and held for investment. All certificates evidencing the shares sold bore a restrictive legend. No underwriter participated in the offer and sale of these shares, and no commission or other remuneration was paid or given directly or indirectly in connection therewith.</w:t>
      </w:r>
    </w:p>
    <w:p>
      <w:pPr>
        <w:spacing w:after="0" w:line="25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02"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On February 6, 2024, our Board of Directors authorized a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For the year ended December 31, 2024, we have repurchased 15,448,533 shares of our common stock for an aggregate of $40.5 million under the 2024 Share Repurchase Program.</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provides information with respect to the shares of common stock repurchased by us during the quarter ended December 31, 2024:</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Approximate Dollar</w:t>
            </w:r>
          </w:p>
        </w:tc>
        <w:tc>
          <w:tcPr>
            <w:tcW w:w="0" w:type="dxa"/>
            <w:vAlign w:val="bottom"/>
          </w:tcPr>
          <w:p>
            <w:pPr>
              <w:spacing w:after="0"/>
              <w:rPr>
                <w:sz w:val="1"/>
                <w:szCs w:val="1"/>
                <w:color w:val="auto"/>
              </w:rPr>
            </w:pPr>
          </w:p>
        </w:tc>
      </w:tr>
      <w:tr>
        <w:trPr>
          <w:trHeight w:val="130"/>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Value of Shares that</w:t>
            </w:r>
          </w:p>
        </w:tc>
        <w:tc>
          <w:tcPr>
            <w:tcW w:w="0" w:type="dxa"/>
            <w:vAlign w:val="bottom"/>
          </w:tcPr>
          <w:p>
            <w:pPr>
              <w:spacing w:after="0"/>
              <w:rPr>
                <w:sz w:val="1"/>
                <w:szCs w:val="1"/>
                <w:color w:val="auto"/>
              </w:rPr>
            </w:pPr>
          </w:p>
        </w:tc>
      </w:tr>
      <w:tr>
        <w:trPr>
          <w:trHeight w:val="130"/>
        </w:trPr>
        <w:tc>
          <w:tcPr>
            <w:tcW w:w="5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260" w:type="dxa"/>
            <w:vAlign w:val="bottom"/>
          </w:tcPr>
          <w:p>
            <w:pPr>
              <w:spacing w:after="0"/>
              <w:rPr>
                <w:sz w:val="11"/>
                <w:szCs w:val="11"/>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Average Price Paid</w:t>
            </w:r>
          </w:p>
        </w:tc>
        <w:tc>
          <w:tcPr>
            <w:tcW w:w="220" w:type="dxa"/>
            <w:vAlign w:val="bottom"/>
          </w:tcPr>
          <w:p>
            <w:pPr>
              <w:spacing w:after="0"/>
              <w:rPr>
                <w:sz w:val="11"/>
                <w:szCs w:val="11"/>
                <w:color w:val="auto"/>
              </w:rPr>
            </w:pPr>
          </w:p>
        </w:tc>
        <w:tc>
          <w:tcPr>
            <w:tcW w:w="11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Shares Purchased as</w:t>
            </w:r>
          </w:p>
        </w:tc>
        <w:tc>
          <w:tcPr>
            <w:tcW w:w="240" w:type="dxa"/>
            <w:vAlign w:val="bottom"/>
          </w:tcPr>
          <w:p>
            <w:pPr>
              <w:spacing w:after="0"/>
              <w:rPr>
                <w:sz w:val="11"/>
                <w:szCs w:val="11"/>
                <w:color w:val="auto"/>
              </w:rPr>
            </w:pP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4"/>
              </w:rPr>
              <w:t>May Yet Be</w:t>
            </w:r>
          </w:p>
        </w:tc>
        <w:tc>
          <w:tcPr>
            <w:tcW w:w="0" w:type="dxa"/>
            <w:vAlign w:val="bottom"/>
          </w:tcPr>
          <w:p>
            <w:pPr>
              <w:spacing w:after="0"/>
              <w:rPr>
                <w:sz w:val="1"/>
                <w:szCs w:val="1"/>
                <w:color w:val="auto"/>
              </w:rPr>
            </w:pPr>
          </w:p>
        </w:tc>
      </w:tr>
      <w:tr>
        <w:trPr>
          <w:trHeight w:val="130"/>
        </w:trPr>
        <w:tc>
          <w:tcPr>
            <w:tcW w:w="5640" w:type="dxa"/>
            <w:vAlign w:val="bottom"/>
            <w:vMerge w:val="restart"/>
          </w:tcPr>
          <w:p>
            <w:pPr>
              <w:ind w:left="264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Part of Publicly</w:t>
            </w:r>
          </w:p>
        </w:tc>
        <w:tc>
          <w:tcPr>
            <w:tcW w:w="240" w:type="dxa"/>
            <w:vAlign w:val="bottom"/>
          </w:tcPr>
          <w:p>
            <w:pPr>
              <w:spacing w:after="0"/>
              <w:rPr>
                <w:sz w:val="11"/>
                <w:szCs w:val="11"/>
                <w:color w:val="auto"/>
              </w:rPr>
            </w:pP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Purchased Under the</w:t>
            </w:r>
          </w:p>
        </w:tc>
        <w:tc>
          <w:tcPr>
            <w:tcW w:w="0" w:type="dxa"/>
            <w:vAlign w:val="bottom"/>
          </w:tcPr>
          <w:p>
            <w:pPr>
              <w:spacing w:after="0"/>
              <w:rPr>
                <w:sz w:val="1"/>
                <w:szCs w:val="1"/>
                <w:color w:val="auto"/>
              </w:rPr>
            </w:pPr>
          </w:p>
        </w:tc>
      </w:tr>
      <w:tr>
        <w:trPr>
          <w:trHeight w:val="152"/>
        </w:trPr>
        <w:tc>
          <w:tcPr>
            <w:tcW w:w="56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3"/>
                <w:szCs w:val="13"/>
                <w:b w:val="1"/>
                <w:bCs w:val="1"/>
                <w:color w:val="auto"/>
                <w:w w:val="94"/>
              </w:rPr>
              <w:t>Per Share (1)</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Announced Program</w:t>
            </w:r>
          </w:p>
        </w:tc>
        <w:tc>
          <w:tcPr>
            <w:tcW w:w="24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Program</w:t>
            </w:r>
          </w:p>
        </w:tc>
        <w:tc>
          <w:tcPr>
            <w:tcW w:w="0" w:type="dxa"/>
            <w:vAlign w:val="bottom"/>
          </w:tcPr>
          <w:p>
            <w:pPr>
              <w:spacing w:after="0"/>
              <w:rPr>
                <w:sz w:val="1"/>
                <w:szCs w:val="1"/>
                <w:color w:val="auto"/>
              </w:rPr>
            </w:pPr>
          </w:p>
        </w:tc>
      </w:tr>
      <w:tr>
        <w:trPr>
          <w:trHeight w:val="181"/>
        </w:trPr>
        <w:tc>
          <w:tcPr>
            <w:tcW w:w="5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October 1-31, 2024</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ind w:left="104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ind w:left="400"/>
              <w:spacing w:after="0" w:line="181" w:lineRule="exact"/>
              <w:rPr>
                <w:sz w:val="20"/>
                <w:szCs w:val="20"/>
                <w:color w:val="auto"/>
              </w:rPr>
            </w:pPr>
            <w:r>
              <w:rPr>
                <w:rFonts w:ascii="Times New Roman" w:cs="Times New Roman" w:eastAsia="Times New Roman" w:hAnsi="Times New Roman"/>
                <w:sz w:val="16"/>
                <w:szCs w:val="16"/>
                <w:color w:val="auto"/>
                <w:w w:val="97"/>
              </w:rPr>
              <w:t>$14.0 million</w:t>
            </w:r>
          </w:p>
        </w:tc>
        <w:tc>
          <w:tcPr>
            <w:tcW w:w="0" w:type="dxa"/>
            <w:vAlign w:val="bottom"/>
          </w:tcPr>
          <w:p>
            <w:pPr>
              <w:spacing w:after="0"/>
              <w:rPr>
                <w:sz w:val="1"/>
                <w:szCs w:val="1"/>
                <w:color w:val="auto"/>
              </w:rPr>
            </w:pPr>
          </w:p>
        </w:tc>
      </w:tr>
      <w:tr>
        <w:trPr>
          <w:trHeight w:val="189"/>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November 1-30, 2024</w:t>
            </w:r>
          </w:p>
        </w:tc>
        <w:tc>
          <w:tcPr>
            <w:tcW w:w="120" w:type="dxa"/>
            <w:vAlign w:val="bottom"/>
          </w:tcPr>
          <w:p>
            <w:pPr>
              <w:spacing w:after="0"/>
              <w:rPr>
                <w:sz w:val="16"/>
                <w:szCs w:val="16"/>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6"/>
                <w:szCs w:val="16"/>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7"/>
              </w:rPr>
              <w:t>$14.0 million</w:t>
            </w:r>
          </w:p>
        </w:tc>
        <w:tc>
          <w:tcPr>
            <w:tcW w:w="0" w:type="dxa"/>
            <w:vAlign w:val="bottom"/>
          </w:tcPr>
          <w:p>
            <w:pPr>
              <w:spacing w:after="0"/>
              <w:rPr>
                <w:sz w:val="1"/>
                <w:szCs w:val="1"/>
                <w:color w:val="auto"/>
              </w:rPr>
            </w:pPr>
          </w:p>
        </w:tc>
      </w:tr>
      <w:tr>
        <w:trPr>
          <w:trHeight w:val="189"/>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1-31, 2024</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6"/>
                <w:szCs w:val="16"/>
                <w:color w:val="auto"/>
                <w:w w:val="87"/>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w w:val="97"/>
              </w:rPr>
              <w:t>$14.0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90754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7540" cy="7620"/>
                    </a:xfrm>
                    <a:prstGeom prst="rect">
                      <a:avLst/>
                    </a:prstGeom>
                    <a:noFill/>
                  </pic:spPr>
                </pic:pic>
              </a:graphicData>
            </a:graphic>
          </wp:anchor>
        </w:drawing>
      </w:r>
    </w:p>
    <w:p>
      <w:pPr>
        <w:spacing w:after="0" w:line="106" w:lineRule="exact"/>
        <w:rPr>
          <w:sz w:val="20"/>
          <w:szCs w:val="20"/>
          <w:color w:val="auto"/>
        </w:rPr>
      </w:pPr>
    </w:p>
    <w:p>
      <w:pPr>
        <w:ind w:left="85" w:hanging="85"/>
        <w:spacing w:after="0"/>
        <w:tabs>
          <w:tab w:leader="none" w:pos="85"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related expenses.</w:t>
      </w:r>
    </w:p>
    <w:p>
      <w:pPr>
        <w:spacing w:after="0" w:line="172"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2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color w:val="auto"/>
        </w:rPr>
        <w:t>Stock Performance Graphs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following graph compares the cumulative total shareholder return for our common stock, the S&amp;P 500 Index, the Nasdaq 100 Index, and the Nasdaq Biotechnology Index for the five years ended December 31, 2024. The graph assumes that $100 was invested on December 31, 2019 in our common stock and in each of the S&amp;P 500 Index, the Nasdaq 100 Index, and the Nasdaq Biotechnology Index. Total return assumes reinvestment of dividends in each of the indices indicated. Total return is based on historical results and is not intended to indicate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113030</wp:posOffset>
            </wp:positionV>
            <wp:extent cx="4415790" cy="2598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1579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1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The following Management’s Discussion and Analysis of Financial Condition and Results of Operations (MD&amp;A) is intended to help the reader understand the results of operations and financial condition of Standard BioTools. This MD&amp;A is provided as a supplement to, and should be read together with, our consolidated financial statements and the notes to those statements included elsewhere in this Annual Report. We have omitted discussion of 2022 results where it would be redundant to the discussion previously included in Item 7 of our Annual Report on Form 10-K for the fiscal year ended December 31, 2023, filed with the SEC on March 1, 2024. This Annual Report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and strategic priorities, changes in commercial and strategic focus, restructuring plan, reduction-in-force and real estate footprint reduction plans, microfluidics research and development and marketing investment reduction plans, other cost reduction initiatives, portfolio rationalization initiatives, operating discipline improvement plans, implementation of Standard BioTools Business Systems, expected costs and cost savings associated with such plans and initiatives, future product offerings, financing plans, capital allocation plans, expansion of our business, merger and acquisition opportunities, competitive position, industry environment, potential growth opportunities and drivers, market growth expectations, the effects of competition and public health crises on our business, the global supply chain, and our customers, suppliers and other business partners, and our expectations with respect to the anticipated financial impact and potential benefits to us related to our M&amp;A activity, and integration of the businesses.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7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in this Annual Report. Given these uncertainties, you should not place undue reliance on these forward-looking statements. Also, forward-looking statements represent our management’s beliefs and assumptions only as of the date of this Annual Report.</w:t>
      </w:r>
    </w:p>
    <w:p>
      <w:pPr>
        <w:spacing w:after="0" w:line="15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Unless otherwise stated, our forward-looking statements do not reflect the potential impact of the Merger or any other future acquisitions, mergers, dispositions, joint ventures or investments we may make. You should read this Annual Report completely and with the understanding that our actual future results may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119380</wp:posOffset>
            </wp:positionV>
            <wp:extent cx="247840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7840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At Standard BioTools, Inc.,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SomaScan™,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spacing w:after="0" w:line="3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January 5, 2024, we completed the Merger with SomaLogic. Upon the terms and subject to the conditions set forth in the Merger Agreement, at the effective time of the Merger (the "Effective Time"), each share of SomaLogic Common Stock converted into the right to receive 1.11 shares of our common stock.</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addition, as of the Effective Time, we assumed each SomaLogic stock incentive plan, outstanding option to purchase shares of SomaLogic Common Stock and outstanding restricted stock units, whether vested or unvested. Further, as of the Effective Time, each SomaLogic warrant was treated in accordance with its terms.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Reductions in Headcount</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Following the Merger, we performed a strategic review of the combined business and carried out a workforce reduction plan (the "Strategic Reorganization") to reduce operating costs and focus on long-term growth opportunities. Under the Strategic Reorganization, we reduced our workforce by over 10% of our total workforce, with the majority of these employees separating by July 2024. Additionally, we reduced the real estate footprint of the combined company by exiting a lease that was assumed in the Merger. We continue to realize cost savings and positive cash flow impacts from previous strategic initiatives to improve operating discipline.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Sengenics Corporation</w:t>
      </w:r>
    </w:p>
    <w:p>
      <w:pPr>
        <w:spacing w:after="0" w:line="10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On November 21, 2024, we completed the acquisition of Sengenics, a functional proteomics company focused on the detection of autoantibody biomarkers and protein interactions. The acquisition of Sengenics enabled us to add the KREX™ precision antibody profiling services and kits to our SomaScan™ suite of solutions. This expanded offering strengthens Standard BioTools' proteomics portfolio, particularly in biopharma and translational research, by combining the proprietary immunoproteomic technology with our market-leading SomaScan™ platform. Available as an end-to-end lab service or kit, the KREX™ technology empowers pharmaceutical companies and leading research institutions to enhance disease understanding and accelerate biomarker discovery.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Factors Affecting Our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factors have been important to our business and we expect them to impact our results of operations and financial condition in future periods:</w:t>
      </w:r>
    </w:p>
    <w:p>
      <w:pPr>
        <w:spacing w:after="0" w:line="100" w:lineRule="exact"/>
        <w:rPr>
          <w:sz w:val="20"/>
          <w:szCs w:val="20"/>
          <w:color w:val="auto"/>
        </w:rPr>
      </w:pPr>
    </w:p>
    <w:p>
      <w:pPr>
        <w:ind w:left="1020" w:hanging="516"/>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adoption of our services and products:</w:t>
      </w:r>
    </w:p>
    <w:p>
      <w:pPr>
        <w:spacing w:after="0" w:line="99" w:lineRule="exact"/>
        <w:rPr>
          <w:rFonts w:ascii="Times New Roman" w:cs="Times New Roman" w:eastAsia="Times New Roman" w:hAnsi="Times New Roman"/>
          <w:sz w:val="16"/>
          <w:szCs w:val="16"/>
          <w:color w:val="auto"/>
        </w:rPr>
      </w:pPr>
    </w:p>
    <w:p>
      <w:pPr>
        <w:ind w:left="1520" w:right="2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oWe have a well-established base of marquee customer and KOL relationships in place, and as we grow further, we expect to win contracts with new customers and expand the scope of existing contracts with existing customers.</w:t>
      </w:r>
    </w:p>
    <w:p>
      <w:pPr>
        <w:spacing w:after="0" w:line="49" w:lineRule="exact"/>
        <w:rPr>
          <w:rFonts w:ascii="Times New Roman" w:cs="Times New Roman" w:eastAsia="Times New Roman" w:hAnsi="Times New Roman"/>
          <w:sz w:val="16"/>
          <w:szCs w:val="16"/>
          <w:color w:val="auto"/>
        </w:rPr>
      </w:pPr>
    </w:p>
    <w:p>
      <w:pPr>
        <w:ind w:left="1520" w:right="2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oWe continue to focus on growth in instrument placements, including the SomaScan® Authorized Sites program, which we expect to drive future growth in sales of consumables, SomaScan® assay kits, and field services.</w:t>
      </w:r>
    </w:p>
    <w:p>
      <w:pPr>
        <w:spacing w:after="0" w:line="49" w:lineRule="exact"/>
        <w:rPr>
          <w:rFonts w:ascii="Times New Roman" w:cs="Times New Roman" w:eastAsia="Times New Roman" w:hAnsi="Times New Roman"/>
          <w:sz w:val="16"/>
          <w:szCs w:val="16"/>
          <w:color w:val="auto"/>
        </w:rPr>
      </w:pPr>
    </w:p>
    <w:p>
      <w:pPr>
        <w:ind w:left="1520" w:right="2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oWe continue to enhance our proteomics offering through continuous improvements to our proteomics instruments, and the commercial release of the LabThread SLX, which is a fully integrated system optimized for running the SomaScan® assay.</w:t>
      </w:r>
    </w:p>
    <w:p>
      <w:pPr>
        <w:spacing w:after="0" w:line="49" w:lineRule="exact"/>
        <w:rPr>
          <w:rFonts w:ascii="Times New Roman" w:cs="Times New Roman" w:eastAsia="Times New Roman" w:hAnsi="Times New Roman"/>
          <w:sz w:val="16"/>
          <w:szCs w:val="16"/>
          <w:color w:val="auto"/>
        </w:rPr>
      </w:pPr>
    </w:p>
    <w:p>
      <w:pPr>
        <w:ind w:left="1520" w:hanging="511"/>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offering.</w:t>
      </w:r>
    </w:p>
    <w:p>
      <w:pPr>
        <w:spacing w:after="0" w:line="66"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investment in growth:</w:t>
      </w:r>
    </w:p>
    <w:p>
      <w:pPr>
        <w:spacing w:after="0" w:line="99"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5"/>
          <w:szCs w:val="15"/>
          <w:color w:val="auto"/>
        </w:rPr>
        <w:t>We continue to invest significantly in our laboratory process and commercial infrastructure.</w:t>
      </w:r>
    </w:p>
    <w:p>
      <w:pPr>
        <w:spacing w:after="0" w:line="99" w:lineRule="exact"/>
        <w:rPr>
          <w:rFonts w:ascii="Times New Roman" w:cs="Times New Roman" w:eastAsia="Times New Roman" w:hAnsi="Times New Roman"/>
          <w:sz w:val="16"/>
          <w:szCs w:val="16"/>
          <w:color w:val="auto"/>
        </w:rPr>
      </w:pPr>
    </w:p>
    <w:p>
      <w:pPr>
        <w:ind w:left="1520" w:hanging="511"/>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oInvestments in research and development will include hiring of employees with the necessary scientific and technical backgrounds to enable enhancements to our existing services and products and bring new services and products to market.</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lower operating costs: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61" w:name="page62"/>
    <w:bookmarkEnd w:id="61"/>
    <w:p>
      <w:pPr>
        <w:ind w:left="1520" w:right="20" w:hanging="505"/>
        <w:spacing w:after="0" w:line="276"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we integrate with SomaLogic, we continue to focus on improving operating discipline through implementation of lean SBS principles to build more efficient operations and reduce costs.</w:t>
      </w:r>
    </w:p>
    <w:p>
      <w:pPr>
        <w:spacing w:after="0" w:line="49" w:lineRule="exact"/>
        <w:rPr>
          <w:rFonts w:ascii="Times New Roman" w:cs="Times New Roman" w:eastAsia="Times New Roman" w:hAnsi="Times New Roman"/>
          <w:sz w:val="16"/>
          <w:szCs w:val="16"/>
          <w:color w:val="auto"/>
        </w:rPr>
      </w:pPr>
    </w:p>
    <w:p>
      <w:pPr>
        <w:jc w:val="both"/>
        <w:ind w:left="1520" w:hanging="505"/>
        <w:spacing w:after="0" w:line="261"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reduce the cost of manufacturing SOMAmer® reagents by, in part, modifying our assays and laboratory processes to use materials and technologies that provide equal or greater quality at lower cost, improving how we manage our materials and negotiating favorable terms for our materials purchases.</w:t>
      </w:r>
    </w:p>
    <w:p>
      <w:pPr>
        <w:spacing w:after="0" w:line="62"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reduce the cost of performing the SomaScan® assay as we move to either a less expensive array or NGS system for our DNA readout of the protein concentrations present in a sample.</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Seasonality:</w:t>
      </w:r>
    </w:p>
    <w:p>
      <w:pPr>
        <w:spacing w:after="0" w:line="99"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can be seasonal dependent upon the procurement and budgeting cycles of many of our customers, especially government- or grant-funded customers, whose cycles often coincide with government fiscal year ends.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of our proteomic content:</w:t>
      </w:r>
    </w:p>
    <w:p>
      <w:pPr>
        <w:spacing w:after="0" w:line="99" w:lineRule="exact"/>
        <w:rPr>
          <w:rFonts w:ascii="Times New Roman" w:cs="Times New Roman" w:eastAsia="Times New Roman" w:hAnsi="Times New Roman"/>
          <w:sz w:val="16"/>
          <w:szCs w:val="16"/>
          <w:color w:val="auto"/>
        </w:rPr>
      </w:pPr>
    </w:p>
    <w:p>
      <w:pPr>
        <w:jc w:val="both"/>
        <w:ind w:left="1520" w:hanging="505"/>
        <w:spacing w:after="0" w:line="256"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SomaScan® 11K Platform now includes protein measurements on a broader range of sample types, including cerebrospinal fluid, aqueous humor, tissue homogenates and cell lysates. The SomaScan® Platform provides the largest number of protein measurements and the greatest number of orthogonally confirmed protein reagents in the proteomics industry —11,000 protein measurements simultaneously from sample volumes as low as 55 µl —giving researchers access to half of the human proteome in just one assay.</w:t>
      </w:r>
    </w:p>
    <w:p>
      <w:pPr>
        <w:spacing w:after="0" w:line="66"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added the KREX™ precision antibody profiling services and kits to its SomaScan™ suite of solutions, enabling the detection of autoantibody biomarkers and protein interactions for basic, translational and clinical research.</w:t>
      </w:r>
    </w:p>
    <w:p>
      <w:pPr>
        <w:spacing w:after="0" w:line="49" w:lineRule="exact"/>
        <w:rPr>
          <w:rFonts w:ascii="Times New Roman" w:cs="Times New Roman" w:eastAsia="Times New Roman" w:hAnsi="Times New Roman"/>
          <w:sz w:val="16"/>
          <w:szCs w:val="16"/>
          <w:color w:val="auto"/>
        </w:rPr>
      </w:pPr>
    </w:p>
    <w:p>
      <w:pPr>
        <w:ind w:left="1520" w:hanging="505"/>
        <w:spacing w:after="0" w:line="276" w:lineRule="auto"/>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our competitive advantage in the proteomics market, we plan to increase the number of protein reagents for commercial availability based on allocated funding, resource availability, and the successful validation of new reagents.</w:t>
      </w:r>
    </w:p>
    <w:p>
      <w:pPr>
        <w:spacing w:after="0" w:line="49" w:lineRule="exact"/>
        <w:rPr>
          <w:rFonts w:ascii="Times New Roman" w:cs="Times New Roman" w:eastAsia="Times New Roman" w:hAnsi="Times New Roman"/>
          <w:sz w:val="16"/>
          <w:szCs w:val="16"/>
          <w:color w:val="auto"/>
        </w:rPr>
      </w:pPr>
    </w:p>
    <w:p>
      <w:pPr>
        <w:ind w:left="1520" w:hanging="505"/>
        <w:spacing w:after="0"/>
        <w:tabs>
          <w:tab w:leader="none" w:pos="152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continue to expand our proteomics database and artificial intelligence and machine learning analytics to drive value and market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Operations Overview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generate our revenue from the sale of products and services. We also derive revenue from collaborative arrangements, license agreements, grants, and royalties. Customers include top biopharmaceutical companies and leading academic research universities.</w:t>
      </w: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Product revenue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generate product revenue from the sale of instruments and consumables. Consumables revenue is largely driven by the size of our active installed base of instruments and the level of usage per instrument. Consumables revenue is also driven by the sale of SomaScan® assay kits, which is driven by the number of active SomaScan® Authorized Sites and the number of assays performed at those sites.</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Service revenue</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generate service revenue from the sale of lab services and field services. Lab services revenue is primarily generated by performing the SomaScan® assay on customer samples to generate data on protein biomarkers. We expect lab services revenue to increase over the long-term with new and recurring sales opportunities. With the enhancement of our proteomic services, we expect to capture more market opportunities outside of the United States region, as well as winning contracts with new customers and expanding the scope of sales with existing customers.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Field services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Collaboration and other revenue</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Collaboration and other revenue consists of fees earned for research and development services, except for grant revenue research and development services that are classified in other revenue. We believe expanding collaborative arrangements with KOLs will allow for</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62" w:name="page63"/>
    <w:bookmarkEnd w:id="62"/>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further enhancements of our integrated platform, lower barriers to adoption and introduce or expand new market channels and customers within geographic regions and markets we do not currently operate in.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Cost of product revenue</w:t>
      </w:r>
    </w:p>
    <w:p>
      <w:pPr>
        <w:spacing w:after="0" w:line="10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Cost of service revenue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Cost of service revenue consists of raw materials and production costs, personnel-related costs, overhead and other direct costs. It also includes costs for production variances for SOMAmer® reagents, such as yield losses, material usages, spending and capacity variances. Cost of service revenue is recognized in the period the related revenue is recognized.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cost of service revenue and related service margin may fluctuate depending on the variability in material and labor costs of servicing.</w:t>
      </w:r>
    </w:p>
    <w:p>
      <w:pPr>
        <w:spacing w:after="0" w:line="2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Cost of collaboration and other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collaboration and other revenue consists primarily of personnel-related costs and other direct costs related to collaboration and other revenue.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("R&amp;D")</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including hiring additional employees, with an expected focus on advancing our proteomics products and services. As a result, we expect R&amp;D expenses will increase in absolute dollars in future periods and vary from period to period as a percentage of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("SG&amp;A")</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 and Related Charges</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Restructuring and related charges primarily consist of severance costs related to our recent reduction-in-force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future needs of the business. In addition to the reduction in force, we are reducing leased office space, optimizing our manufacturing footprint and streamlining support functions.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and Integration Expenses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Transaction and integration expenses consist of costs incurred in connection with acquisition-related activities, including legal, advisory, accounting and other transaction-related costs including integration costs.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Bargain Purchase Gain</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Bargain purchase gain represents the excess of fair value of the assets acquired and liabilities assumed over the fair value of the consideration transferred in connection with the Merger. We determined that the bargain purchase gain was primarily attributable to a rapid decline in our stock price in the days following the announcement of the Merger, which persisted through the closing of the Merger.</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consolidated statements of operations and as a percentage of total revenue for the years ended December 31, 2024 and 2023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1"/>
        </w:trPr>
        <w:tc>
          <w:tcPr>
            <w:tcW w:w="4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10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81"/>
        </w:trPr>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420" w:type="dxa"/>
            <w:vAlign w:val="bottom"/>
            <w:shd w:val="clear" w:color="auto" w:fill="CFF0FC"/>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174,432</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100 %</w:t>
            </w:r>
          </w:p>
        </w:tc>
        <w:tc>
          <w:tcPr>
            <w:tcW w:w="800" w:type="dxa"/>
            <w:vAlign w:val="bottom"/>
            <w:shd w:val="clear" w:color="auto" w:fill="CFF0FC"/>
          </w:tcPr>
          <w:p>
            <w:pPr>
              <w:jc w:val="right"/>
              <w:ind w:right="6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100 %</w:t>
            </w:r>
          </w:p>
        </w:tc>
      </w:tr>
      <w:tr>
        <w:trPr>
          <w:trHeight w:val="18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product revenue</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47,729</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27 %</w:t>
            </w: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44,942</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42 %</w:t>
            </w:r>
          </w:p>
        </w:tc>
      </w:tr>
      <w:tr>
        <w:trPr>
          <w:trHeight w:val="189"/>
        </w:trPr>
        <w:tc>
          <w:tcPr>
            <w:tcW w:w="4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service and other revenue</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42,265</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r>
      <w:tr>
        <w:trPr>
          <w:trHeight w:val="189"/>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collaboration and other revenue</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0 %</w:t>
            </w:r>
          </w:p>
        </w:tc>
        <w:tc>
          <w:tcPr>
            <w:tcW w:w="8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46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cost of revenue</w:t>
            </w:r>
          </w:p>
        </w:tc>
        <w:tc>
          <w:tcPr>
            <w:tcW w:w="42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90,170</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52 %</w:t>
            </w:r>
          </w:p>
        </w:tc>
        <w:tc>
          <w:tcPr>
            <w:tcW w:w="800" w:type="dxa"/>
            <w:vAlign w:val="bottom"/>
          </w:tcPr>
          <w:p>
            <w:pPr>
              <w:spacing w:after="0"/>
              <w:rPr>
                <w:sz w:val="15"/>
                <w:szCs w:val="15"/>
                <w:color w:val="auto"/>
              </w:rPr>
            </w:pPr>
          </w:p>
        </w:tc>
        <w:tc>
          <w:tcPr>
            <w:tcW w:w="5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55,890</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53 %</w:t>
            </w:r>
          </w:p>
        </w:tc>
      </w:tr>
      <w:tr>
        <w:trPr>
          <w:trHeight w:val="20"/>
        </w:trPr>
        <w:tc>
          <w:tcPr>
            <w:tcW w:w="4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1"/>
        </w:trPr>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84,262</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48 %</w:t>
            </w:r>
          </w:p>
        </w:tc>
        <w:tc>
          <w:tcPr>
            <w:tcW w:w="8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50,450</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47 %</w:t>
            </w:r>
          </w:p>
        </w:tc>
      </w:tr>
      <w:tr>
        <w:trPr>
          <w:trHeight w:val="18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62,411</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36 %</w:t>
            </w: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r>
      <w:tr>
        <w:trPr>
          <w:trHeight w:val="189"/>
        </w:trPr>
        <w:tc>
          <w:tcPr>
            <w:tcW w:w="4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156,608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87,541</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r>
      <w:tr>
        <w:trPr>
          <w:trHeight w:val="189"/>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7 %</w:t>
            </w:r>
          </w:p>
        </w:tc>
      </w:tr>
      <w:tr>
        <w:trPr>
          <w:trHeight w:val="189"/>
        </w:trPr>
        <w:tc>
          <w:tcPr>
            <w:tcW w:w="4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6 %</w:t>
            </w:r>
          </w:p>
        </w:tc>
      </w:tr>
      <w:tr>
        <w:trPr>
          <w:trHeight w:val="20"/>
        </w:trPr>
        <w:tc>
          <w:tcPr>
            <w:tcW w:w="4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1"/>
        </w:trPr>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259,498</w:t>
            </w:r>
          </w:p>
        </w:tc>
        <w:tc>
          <w:tcPr>
            <w:tcW w:w="2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149 %</w:t>
            </w:r>
          </w:p>
        </w:tc>
        <w:tc>
          <w:tcPr>
            <w:tcW w:w="8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127,050</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119 %</w:t>
            </w:r>
          </w:p>
        </w:tc>
      </w:tr>
      <w:tr>
        <w:trPr>
          <w:trHeight w:val="20"/>
        </w:trPr>
        <w:tc>
          <w:tcPr>
            <w:tcW w:w="46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420" w:type="dxa"/>
            <w:vAlign w:val="bottom"/>
          </w:tcPr>
          <w:p>
            <w:pPr>
              <w:spacing w:after="0"/>
              <w:rPr>
                <w:sz w:val="15"/>
                <w:szCs w:val="15"/>
                <w:color w:val="auto"/>
              </w:rPr>
            </w:pPr>
          </w:p>
        </w:tc>
        <w:tc>
          <w:tcPr>
            <w:tcW w:w="114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(175,236 )</w:t>
            </w:r>
          </w:p>
        </w:tc>
        <w:tc>
          <w:tcPr>
            <w:tcW w:w="42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(100 )%</w:t>
            </w:r>
          </w:p>
        </w:tc>
        <w:tc>
          <w:tcPr>
            <w:tcW w:w="800" w:type="dxa"/>
            <w:vAlign w:val="bottom"/>
          </w:tcPr>
          <w:p>
            <w:pPr>
              <w:spacing w:after="0"/>
              <w:rPr>
                <w:sz w:val="15"/>
                <w:szCs w:val="15"/>
                <w:color w:val="auto"/>
              </w:rPr>
            </w:pPr>
          </w:p>
        </w:tc>
        <w:tc>
          <w:tcPr>
            <w:tcW w:w="7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(76,600 )</w:t>
            </w:r>
          </w:p>
        </w:tc>
        <w:tc>
          <w:tcPr>
            <w:tcW w:w="680" w:type="dxa"/>
            <w:vAlign w:val="bottom"/>
          </w:tcPr>
          <w:p>
            <w:pPr>
              <w:spacing w:after="0"/>
              <w:rPr>
                <w:sz w:val="15"/>
                <w:szCs w:val="15"/>
                <w:color w:val="auto"/>
              </w:rPr>
            </w:pPr>
          </w:p>
        </w:tc>
        <w:tc>
          <w:tcPr>
            <w:tcW w:w="10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(72 )%</w:t>
            </w: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Bargain purchase gain</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2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800" w:type="dxa"/>
            <w:vAlign w:val="bottom"/>
            <w:shd w:val="clear" w:color="auto" w:fill="CFF0FC"/>
          </w:tcPr>
          <w:p>
            <w:pPr>
              <w:spacing w:after="0"/>
              <w:rPr>
                <w:sz w:val="16"/>
                <w:szCs w:val="16"/>
                <w:color w:val="auto"/>
              </w:rPr>
            </w:pPr>
          </w:p>
        </w:tc>
        <w:tc>
          <w:tcPr>
            <w:tcW w:w="1460" w:type="dxa"/>
            <w:vAlign w:val="bottom"/>
            <w:gridSpan w:val="3"/>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r>
      <w:tr>
        <w:trPr>
          <w:trHeight w:val="18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16,883</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8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(5,172 )</w:t>
            </w: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(3 )%</w:t>
            </w:r>
          </w:p>
        </w:tc>
        <w:tc>
          <w:tcPr>
            <w:tcW w:w="8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r>
      <w:tr>
        <w:trPr>
          <w:trHeight w:val="20"/>
        </w:trPr>
        <w:tc>
          <w:tcPr>
            <w:tcW w:w="46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420" w:type="dxa"/>
            <w:vAlign w:val="bottom"/>
          </w:tcPr>
          <w:p>
            <w:pPr>
              <w:spacing w:after="0"/>
              <w:rPr>
                <w:sz w:val="15"/>
                <w:szCs w:val="15"/>
                <w:color w:val="auto"/>
              </w:rPr>
            </w:pPr>
          </w:p>
        </w:tc>
        <w:tc>
          <w:tcPr>
            <w:tcW w:w="114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(138,312 )</w:t>
            </w:r>
          </w:p>
        </w:tc>
        <w:tc>
          <w:tcPr>
            <w:tcW w:w="42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(79 )%</w:t>
            </w:r>
          </w:p>
        </w:tc>
        <w:tc>
          <w:tcPr>
            <w:tcW w:w="800" w:type="dxa"/>
            <w:vAlign w:val="bottom"/>
          </w:tcPr>
          <w:p>
            <w:pPr>
              <w:spacing w:after="0"/>
              <w:rPr>
                <w:sz w:val="15"/>
                <w:szCs w:val="15"/>
                <w:color w:val="auto"/>
              </w:rPr>
            </w:pPr>
          </w:p>
        </w:tc>
        <w:tc>
          <w:tcPr>
            <w:tcW w:w="7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(74,204 )</w:t>
            </w:r>
          </w:p>
        </w:tc>
        <w:tc>
          <w:tcPr>
            <w:tcW w:w="680" w:type="dxa"/>
            <w:vAlign w:val="bottom"/>
          </w:tcPr>
          <w:p>
            <w:pPr>
              <w:spacing w:after="0"/>
              <w:rPr>
                <w:sz w:val="15"/>
                <w:szCs w:val="15"/>
                <w:color w:val="auto"/>
              </w:rPr>
            </w:pPr>
          </w:p>
        </w:tc>
        <w:tc>
          <w:tcPr>
            <w:tcW w:w="10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(70 )%</w:t>
            </w: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(573 )</w:t>
            </w:r>
          </w:p>
        </w:tc>
        <w:tc>
          <w:tcPr>
            <w:tcW w:w="4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(0 )%</w:t>
            </w:r>
          </w:p>
        </w:tc>
        <w:tc>
          <w:tcPr>
            <w:tcW w:w="8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(452 )</w:t>
            </w:r>
          </w:p>
        </w:tc>
        <w:tc>
          <w:tcPr>
            <w:tcW w:w="6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46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1"/>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(138,885 )</w:t>
            </w:r>
          </w:p>
        </w:tc>
        <w:tc>
          <w:tcPr>
            <w:tcW w:w="42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(80 )%</w:t>
            </w:r>
          </w:p>
        </w:tc>
        <w:tc>
          <w:tcPr>
            <w:tcW w:w="800" w:type="dxa"/>
            <w:vAlign w:val="bottom"/>
          </w:tcPr>
          <w:p>
            <w:pPr>
              <w:jc w:val="right"/>
              <w:ind w:right="6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(74,656 )</w:t>
            </w:r>
          </w:p>
        </w:tc>
        <w:tc>
          <w:tcPr>
            <w:tcW w:w="680" w:type="dxa"/>
            <w:vAlign w:val="bottom"/>
          </w:tcPr>
          <w:p>
            <w:pPr>
              <w:spacing w:after="0"/>
              <w:rPr>
                <w:sz w:val="15"/>
                <w:szCs w:val="15"/>
                <w:color w:val="auto"/>
              </w:rPr>
            </w:pPr>
          </w:p>
        </w:tc>
        <w:tc>
          <w:tcPr>
            <w:tcW w:w="10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(70 )%</w:t>
            </w:r>
          </w:p>
        </w:tc>
      </w:tr>
      <w:tr>
        <w:trPr>
          <w:trHeight w:val="20"/>
        </w:trPr>
        <w:tc>
          <w:tcPr>
            <w:tcW w:w="4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-1869440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-1869440</wp:posOffset>
            </wp:positionV>
            <wp:extent cx="13525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-1869440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7011035</wp:posOffset>
            </wp:positionH>
            <wp:positionV relativeFrom="paragraph">
              <wp:posOffset>-1869440</wp:posOffset>
            </wp:positionV>
            <wp:extent cx="13525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-885825</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-885825</wp:posOffset>
            </wp:positionV>
            <wp:extent cx="13525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-885825</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7011035</wp:posOffset>
            </wp:positionH>
            <wp:positionV relativeFrom="paragraph">
              <wp:posOffset>-885825</wp:posOffset>
            </wp:positionV>
            <wp:extent cx="13525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-397510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-397510</wp:posOffset>
            </wp:positionV>
            <wp:extent cx="13525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-397510</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7011035</wp:posOffset>
            </wp:positionH>
            <wp:positionV relativeFrom="paragraph">
              <wp:posOffset>-397510</wp:posOffset>
            </wp:positionV>
            <wp:extent cx="1352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-149860</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-149860</wp:posOffset>
            </wp:positionV>
            <wp:extent cx="1352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-149860</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7011035</wp:posOffset>
            </wp:positionH>
            <wp:positionV relativeFrom="paragraph">
              <wp:posOffset>-149860</wp:posOffset>
            </wp:positionV>
            <wp:extent cx="13525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5255"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by product type and as a percentage of total revenue were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Year-over-</w:t>
            </w:r>
          </w:p>
        </w:tc>
      </w:tr>
      <w:tr>
        <w:trPr>
          <w:trHeight w:val="181"/>
        </w:trPr>
        <w:tc>
          <w:tcPr>
            <w:tcW w:w="3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3"/>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gridSpan w:val="3"/>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gridSpan w:val="2"/>
          </w:tcPr>
          <w:p>
            <w:pPr>
              <w:jc w:val="right"/>
              <w:ind w:right="660"/>
              <w:spacing w:after="0" w:line="181" w:lineRule="exact"/>
              <w:rPr>
                <w:sz w:val="20"/>
                <w:szCs w:val="20"/>
                <w:color w:val="auto"/>
              </w:rPr>
            </w:pPr>
            <w:r>
              <w:rPr>
                <w:rFonts w:ascii="Times New Roman" w:cs="Times New Roman" w:eastAsia="Times New Roman" w:hAnsi="Times New Roman"/>
                <w:sz w:val="16"/>
                <w:szCs w:val="16"/>
                <w:b w:val="1"/>
                <w:bCs w:val="1"/>
                <w:color w:val="auto"/>
              </w:rPr>
              <w:t>Year Change</w:t>
            </w:r>
          </w:p>
        </w:tc>
      </w:tr>
      <w:tr>
        <w:trPr>
          <w:trHeight w:val="181"/>
        </w:trPr>
        <w:tc>
          <w:tcPr>
            <w:tcW w:w="34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Product revenue:</w:t>
            </w:r>
          </w:p>
        </w:tc>
        <w:tc>
          <w:tcPr>
            <w:tcW w:w="3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r>
      <w:tr>
        <w:trPr>
          <w:trHeight w:val="189"/>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16 %</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37,459</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36 %</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(24 )%</w:t>
            </w:r>
          </w:p>
        </w:tc>
      </w:tr>
      <w:tr>
        <w:trPr>
          <w:trHeight w:val="189"/>
        </w:trPr>
        <w:tc>
          <w:tcPr>
            <w:tcW w:w="3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Consumables</w:t>
            </w: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60,064</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34 %</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41,739</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39 %</w:t>
            </w: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r>
      <w:tr>
        <w:trPr>
          <w:trHeight w:val="20"/>
        </w:trPr>
        <w:tc>
          <w:tcPr>
            <w:tcW w:w="34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1"/>
        </w:trPr>
        <w:tc>
          <w:tcPr>
            <w:tcW w:w="34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product revenue</w:t>
            </w:r>
          </w:p>
        </w:tc>
        <w:tc>
          <w:tcPr>
            <w:tcW w:w="3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88,568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50 %</w:t>
            </w:r>
          </w:p>
        </w:tc>
        <w:tc>
          <w:tcPr>
            <w:tcW w:w="4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79,198</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75 %</w:t>
            </w:r>
          </w:p>
        </w:tc>
        <w:tc>
          <w:tcPr>
            <w:tcW w:w="200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12 %</w:t>
            </w:r>
          </w:p>
        </w:tc>
      </w:tr>
      <w:tr>
        <w:trPr>
          <w:trHeight w:val="18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189"/>
        </w:trPr>
        <w:tc>
          <w:tcPr>
            <w:tcW w:w="3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Lab services</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33 %</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NM</w:t>
            </w:r>
          </w:p>
        </w:tc>
      </w:tr>
      <w:tr>
        <w:trPr>
          <w:trHeight w:val="189"/>
        </w:trPr>
        <w:tc>
          <w:tcPr>
            <w:tcW w:w="3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Field services</w:t>
            </w:r>
          </w:p>
        </w:tc>
        <w:tc>
          <w:tcPr>
            <w:tcW w:w="3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14 %</w:t>
            </w: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25,274</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24 %</w:t>
            </w: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r>
      <w:tr>
        <w:trPr>
          <w:trHeight w:val="20"/>
        </w:trPr>
        <w:tc>
          <w:tcPr>
            <w:tcW w:w="34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1"/>
        </w:trPr>
        <w:tc>
          <w:tcPr>
            <w:tcW w:w="34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service revenue</w:t>
            </w:r>
          </w:p>
        </w:tc>
        <w:tc>
          <w:tcPr>
            <w:tcW w:w="38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81,133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47 %</w:t>
            </w:r>
          </w:p>
        </w:tc>
        <w:tc>
          <w:tcPr>
            <w:tcW w:w="4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25,980</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24 %</w:t>
            </w:r>
          </w:p>
        </w:tc>
        <w:tc>
          <w:tcPr>
            <w:tcW w:w="200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212 %</w:t>
            </w:r>
          </w:p>
        </w:tc>
      </w:tr>
      <w:tr>
        <w:trPr>
          <w:trHeight w:val="20"/>
        </w:trPr>
        <w:tc>
          <w:tcPr>
            <w:tcW w:w="3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1"/>
        </w:trPr>
        <w:tc>
          <w:tcPr>
            <w:tcW w:w="34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Product and service revenue</w:t>
            </w: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169,701</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97 %</w:t>
            </w:r>
          </w:p>
        </w:tc>
        <w:tc>
          <w:tcPr>
            <w:tcW w:w="4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105,178</w:t>
            </w: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99 %</w:t>
            </w:r>
          </w:p>
        </w:tc>
        <w:tc>
          <w:tcPr>
            <w:tcW w:w="200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61 %</w:t>
            </w:r>
          </w:p>
        </w:tc>
      </w:tr>
      <w:tr>
        <w:trPr>
          <w:trHeight w:val="18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Collaboration and other revenue</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3 %</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307 %</w:t>
            </w:r>
          </w:p>
        </w:tc>
      </w:tr>
      <w:tr>
        <w:trPr>
          <w:trHeight w:val="20"/>
        </w:trPr>
        <w:tc>
          <w:tcPr>
            <w:tcW w:w="3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1"/>
        </w:trPr>
        <w:tc>
          <w:tcPr>
            <w:tcW w:w="34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174,432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100 %</w:t>
            </w:r>
          </w:p>
        </w:tc>
        <w:tc>
          <w:tcPr>
            <w:tcW w:w="40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100 %</w:t>
            </w:r>
          </w:p>
        </w:tc>
        <w:tc>
          <w:tcPr>
            <w:tcW w:w="200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64 %</w:t>
            </w: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-1013460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-1013460</wp:posOffset>
            </wp:positionV>
            <wp:extent cx="1054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-1013460</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-1013460</wp:posOffset>
            </wp:positionV>
            <wp:extent cx="1054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-525145</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-525145</wp:posOffset>
            </wp:positionV>
            <wp:extent cx="1054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-525145</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-525145</wp:posOffset>
            </wp:positionV>
            <wp:extent cx="1054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-21590</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-6985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-21590</wp:posOffset>
            </wp:positionV>
            <wp:extent cx="1054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-6985</wp:posOffset>
            </wp:positionV>
            <wp:extent cx="1054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-21590</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-6985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-21590</wp:posOffset>
            </wp:positionV>
            <wp:extent cx="1054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-6985</wp:posOffset>
            </wp:positionV>
            <wp:extent cx="1054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5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Total revenue grew 64% to $174.4 million for the year ended December 31, 2024, compared to 2023. Due to the acquisition of SomaLogic, revenue increased by $82.3 million for the year ended December 31, 2024 compared to 2023. The increase was offset by a decrease of $14.2 million in revenues from our legacy business for the year ended December 31, 2024, compared to 2023. The decrease in revenues from our legacy business was primarily driven by industry-wide capital spending constraints.</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color w:val="auto"/>
        </w:rPr>
        <w:t>Revenue by segment and as a percentage of total revenue were as follows ($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Year-over-</w:t>
            </w:r>
          </w:p>
        </w:tc>
      </w:tr>
      <w:tr>
        <w:trPr>
          <w:trHeight w:val="181"/>
        </w:trPr>
        <w:tc>
          <w:tcPr>
            <w:tcW w:w="3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60"/>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Year Change</w:t>
            </w:r>
          </w:p>
        </w:tc>
        <w:tc>
          <w:tcPr>
            <w:tcW w:w="220" w:type="dxa"/>
            <w:vAlign w:val="bottom"/>
          </w:tcPr>
          <w:p>
            <w:pPr>
              <w:spacing w:after="0"/>
              <w:rPr>
                <w:sz w:val="15"/>
                <w:szCs w:val="15"/>
                <w:color w:val="auto"/>
              </w:rPr>
            </w:pPr>
          </w:p>
        </w:tc>
      </w:tr>
      <w:tr>
        <w:trPr>
          <w:trHeight w:val="181"/>
        </w:trPr>
        <w:tc>
          <w:tcPr>
            <w:tcW w:w="3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Proteomics revenue</w:t>
            </w:r>
          </w:p>
        </w:tc>
        <w:tc>
          <w:tcPr>
            <w:tcW w:w="40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135,789</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78 %</w:t>
            </w:r>
          </w:p>
        </w:tc>
        <w:tc>
          <w:tcPr>
            <w:tcW w:w="40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63,883</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60 %</w:t>
            </w:r>
          </w:p>
        </w:tc>
        <w:tc>
          <w:tcPr>
            <w:tcW w:w="2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113 %</w:t>
            </w: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Genomics revenue</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22 %</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42,457</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40 %</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3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1"/>
        </w:trPr>
        <w:tc>
          <w:tcPr>
            <w:tcW w:w="3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174,432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100 %</w:t>
            </w:r>
          </w:p>
        </w:tc>
        <w:tc>
          <w:tcPr>
            <w:tcW w:w="40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100 %</w:t>
            </w:r>
          </w:p>
        </w:tc>
        <w:tc>
          <w:tcPr>
            <w:tcW w:w="2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64 %</w:t>
            </w: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-21590</wp:posOffset>
            </wp:positionV>
            <wp:extent cx="673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-6985</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-21590</wp:posOffset>
            </wp:positionV>
            <wp:extent cx="1054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-6985</wp:posOffset>
            </wp:positionV>
            <wp:extent cx="1054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-21590</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-6985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-21590</wp:posOffset>
            </wp:positionV>
            <wp:extent cx="1054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-6985</wp:posOffset>
            </wp:positionV>
            <wp:extent cx="1054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Total proteomics revenue grew 113% to $135.8 million for the year ended December 31, 2024, compared to 2023. Our growth in proteomics was primarily driven by the impact of the Merger, which expanded our proteomics capabilities, products and services.</w:t>
      </w:r>
    </w:p>
    <w:p>
      <w:pPr>
        <w:spacing w:after="0" w:line="18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5"/>
          <w:szCs w:val="15"/>
          <w:color w:val="auto"/>
        </w:rPr>
        <w:t>Total genomics revenue decreased 9% to $38.6 million for the year ended December 31, 2024, compared to 2023. The continued decline in the genomics segment was anticipated and is a driver of our continued focus on growing the OEM business and managing this segment to potentially sustainable positive contribution margin in the near-term.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 and service cost, gross profit, and gross margin were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Year-over-</w:t>
            </w:r>
          </w:p>
        </w:tc>
      </w:tr>
      <w:tr>
        <w:trPr>
          <w:trHeight w:val="181"/>
        </w:trPr>
        <w:tc>
          <w:tcPr>
            <w:tcW w:w="50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61"/>
              <w:spacing w:after="0" w:line="181" w:lineRule="exact"/>
              <w:rPr>
                <w:sz w:val="20"/>
                <w:szCs w:val="20"/>
                <w:color w:val="auto"/>
              </w:rPr>
            </w:pPr>
            <w:r>
              <w:rPr>
                <w:rFonts w:ascii="Times New Roman" w:cs="Times New Roman" w:eastAsia="Times New Roman" w:hAnsi="Times New Roman"/>
                <w:sz w:val="16"/>
                <w:szCs w:val="16"/>
                <w:b w:val="1"/>
                <w:bCs w:val="1"/>
                <w:color w:val="auto"/>
                <w:w w:val="93"/>
              </w:rPr>
              <w:t>2023</w:t>
            </w:r>
          </w:p>
        </w:tc>
        <w:tc>
          <w:tcPr>
            <w:tcW w:w="280" w:type="dxa"/>
            <w:vAlign w:val="bottom"/>
          </w:tcPr>
          <w:p>
            <w:pPr>
              <w:spacing w:after="0"/>
              <w:rPr>
                <w:sz w:val="15"/>
                <w:szCs w:val="15"/>
                <w:color w:val="auto"/>
              </w:rPr>
            </w:pPr>
          </w:p>
        </w:tc>
        <w:tc>
          <w:tcPr>
            <w:tcW w:w="188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Year Change</w:t>
            </w:r>
          </w:p>
        </w:tc>
        <w:tc>
          <w:tcPr>
            <w:tcW w:w="180" w:type="dxa"/>
            <w:vAlign w:val="bottom"/>
          </w:tcPr>
          <w:p>
            <w:pPr>
              <w:spacing w:after="0"/>
              <w:rPr>
                <w:sz w:val="15"/>
                <w:szCs w:val="15"/>
                <w:color w:val="auto"/>
              </w:rPr>
            </w:pPr>
          </w:p>
        </w:tc>
      </w:tr>
      <w:tr>
        <w:trPr>
          <w:trHeight w:val="181"/>
        </w:trPr>
        <w:tc>
          <w:tcPr>
            <w:tcW w:w="50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Cost of product revenue</w:t>
            </w:r>
          </w:p>
        </w:tc>
        <w:tc>
          <w:tcPr>
            <w:tcW w:w="420" w:type="dxa"/>
            <w:vAlign w:val="bottom"/>
            <w:shd w:val="clear" w:color="auto" w:fill="CFF0FC"/>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47,729</w:t>
            </w: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44,942</w:t>
            </w:r>
          </w:p>
        </w:tc>
        <w:tc>
          <w:tcPr>
            <w:tcW w:w="280" w:type="dxa"/>
            <w:vAlign w:val="bottom"/>
            <w:shd w:val="clear" w:color="auto" w:fill="CFF0FC"/>
          </w:tcPr>
          <w:p>
            <w:pPr>
              <w:spacing w:after="0"/>
              <w:rPr>
                <w:sz w:val="15"/>
                <w:szCs w:val="15"/>
                <w:color w:val="auto"/>
              </w:rPr>
            </w:pPr>
          </w:p>
        </w:tc>
        <w:tc>
          <w:tcPr>
            <w:tcW w:w="206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6 %</w:t>
            </w:r>
          </w:p>
        </w:tc>
      </w:tr>
      <w:tr>
        <w:trPr>
          <w:trHeight w:val="189"/>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 revenue</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42,265</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280" w:type="dxa"/>
            <w:vAlign w:val="bottom"/>
          </w:tcPr>
          <w:p>
            <w:pPr>
              <w:spacing w:after="0"/>
              <w:rPr>
                <w:sz w:val="16"/>
                <w:szCs w:val="16"/>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286 %</w:t>
            </w:r>
          </w:p>
        </w:tc>
      </w:tr>
      <w:tr>
        <w:trPr>
          <w:trHeight w:val="18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collaboration and other revenue</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r>
      <w:tr>
        <w:trPr>
          <w:trHeight w:val="181"/>
        </w:trPr>
        <w:tc>
          <w:tcPr>
            <w:tcW w:w="50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cost of revenue</w:t>
            </w:r>
          </w:p>
        </w:tc>
        <w:tc>
          <w:tcPr>
            <w:tcW w:w="420" w:type="dxa"/>
            <w:vAlign w:val="bottom"/>
            <w:tcBorders>
              <w:top w:val="single" w:sz="8" w:color="auto"/>
              <w:bottom w:val="single" w:sz="8" w:color="auto"/>
            </w:tcBorders>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90,170</w:t>
            </w:r>
          </w:p>
        </w:tc>
        <w:tc>
          <w:tcPr>
            <w:tcW w:w="280" w:type="dxa"/>
            <w:vAlign w:val="bottom"/>
            <w:tcBorders>
              <w:top w:val="single" w:sz="8" w:color="CFF0FC"/>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5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55,890</w:t>
            </w:r>
          </w:p>
        </w:tc>
        <w:tc>
          <w:tcPr>
            <w:tcW w:w="280" w:type="dxa"/>
            <w:vAlign w:val="bottom"/>
            <w:tcBorders>
              <w:top w:val="single" w:sz="8" w:color="CFF0FC"/>
            </w:tcBorders>
          </w:tcPr>
          <w:p>
            <w:pPr>
              <w:spacing w:after="0"/>
              <w:rPr>
                <w:sz w:val="15"/>
                <w:szCs w:val="15"/>
                <w:color w:val="auto"/>
              </w:rPr>
            </w:pPr>
          </w:p>
        </w:tc>
        <w:tc>
          <w:tcPr>
            <w:tcW w:w="2060" w:type="dxa"/>
            <w:vAlign w:val="bottom"/>
            <w:tcBorders>
              <w:top w:val="single" w:sz="8" w:color="CFF0FC"/>
            </w:tcBorders>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61 %</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5"/>
        </w:trPr>
        <w:tc>
          <w:tcPr>
            <w:tcW w:w="50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shd w:val="clear" w:color="auto" w:fill="CFF0FC"/>
          </w:tcPr>
          <w:p>
            <w:pPr>
              <w:jc w:val="right"/>
              <w:ind w:right="26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84,262</w:t>
            </w:r>
          </w:p>
        </w:tc>
        <w:tc>
          <w:tcPr>
            <w:tcW w:w="28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6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50,450</w:t>
            </w:r>
          </w:p>
        </w:tc>
        <w:tc>
          <w:tcPr>
            <w:tcW w:w="280" w:type="dxa"/>
            <w:vAlign w:val="bottom"/>
            <w:shd w:val="clear" w:color="auto" w:fill="CFF0FC"/>
          </w:tcPr>
          <w:p>
            <w:pPr>
              <w:spacing w:after="0"/>
              <w:rPr>
                <w:sz w:val="14"/>
                <w:szCs w:val="14"/>
                <w:color w:val="auto"/>
              </w:rPr>
            </w:pPr>
          </w:p>
        </w:tc>
        <w:tc>
          <w:tcPr>
            <w:tcW w:w="2060" w:type="dxa"/>
            <w:vAlign w:val="bottom"/>
            <w:gridSpan w:val="2"/>
            <w:shd w:val="clear" w:color="auto" w:fill="CFF0FC"/>
          </w:tcPr>
          <w:p>
            <w:pPr>
              <w:jc w:val="right"/>
              <w:ind w:right="20"/>
              <w:spacing w:after="0" w:line="165" w:lineRule="exact"/>
              <w:rPr>
                <w:sz w:val="20"/>
                <w:szCs w:val="20"/>
                <w:color w:val="auto"/>
              </w:rPr>
            </w:pPr>
            <w:r>
              <w:rPr>
                <w:rFonts w:ascii="Times New Roman" w:cs="Times New Roman" w:eastAsia="Times New Roman" w:hAnsi="Times New Roman"/>
                <w:sz w:val="16"/>
                <w:szCs w:val="16"/>
                <w:color w:val="auto"/>
              </w:rPr>
              <w:t>67 %</w:t>
            </w:r>
          </w:p>
        </w:tc>
      </w:tr>
      <w:tr>
        <w:trPr>
          <w:trHeight w:val="206"/>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420" w:type="dxa"/>
            <w:vAlign w:val="bottom"/>
          </w:tcPr>
          <w:p>
            <w:pPr>
              <w:spacing w:after="0"/>
              <w:rPr>
                <w:sz w:val="17"/>
                <w:szCs w:val="17"/>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48.3 %</w:t>
            </w:r>
          </w:p>
        </w:tc>
        <w:tc>
          <w:tcPr>
            <w:tcW w:w="72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47.4 %</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-400685</wp:posOffset>
            </wp:positionV>
            <wp:extent cx="1054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4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-400685</wp:posOffset>
            </wp:positionV>
            <wp:extent cx="1054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Gross profit increased by $33.8 million, or 67%, for the year ended December 31, 2024, compared to 2023. The increases in gross profit was primarily attributable to the impact of the Merger, which resulted in increased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by segment was as follows ($ in thousands):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78"/>
        </w:trPr>
        <w:tc>
          <w:tcPr>
            <w:tcW w:w="50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Year-over-</w:t>
            </w:r>
          </w:p>
        </w:tc>
      </w:tr>
      <w:tr>
        <w:trPr>
          <w:trHeight w:val="181"/>
        </w:trPr>
        <w:tc>
          <w:tcPr>
            <w:tcW w:w="5060" w:type="dxa"/>
            <w:vAlign w:val="bottom"/>
          </w:tcPr>
          <w:p>
            <w:pPr>
              <w:spacing w:after="0"/>
              <w:rPr>
                <w:sz w:val="15"/>
                <w:szCs w:val="15"/>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Change</w:t>
            </w:r>
          </w:p>
        </w:tc>
        <w:tc>
          <w:tcPr>
            <w:tcW w:w="220" w:type="dxa"/>
            <w:vAlign w:val="bottom"/>
          </w:tcPr>
          <w:p>
            <w:pPr>
              <w:spacing w:after="0"/>
              <w:rPr>
                <w:sz w:val="15"/>
                <w:szCs w:val="15"/>
                <w:color w:val="auto"/>
              </w:rPr>
            </w:pPr>
          </w:p>
        </w:tc>
      </w:tr>
      <w:tr>
        <w:trPr>
          <w:trHeight w:val="181"/>
        </w:trPr>
        <w:tc>
          <w:tcPr>
            <w:tcW w:w="50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Proteomics gross profit</w:t>
            </w:r>
          </w:p>
        </w:tc>
        <w:tc>
          <w:tcPr>
            <w:tcW w:w="1120" w:type="dxa"/>
            <w:vAlign w:val="bottom"/>
            <w:shd w:val="clear" w:color="auto" w:fill="CFF0FC"/>
          </w:tcPr>
          <w:p>
            <w:pPr>
              <w:jc w:val="right"/>
              <w:ind w:right="9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61,797</w:t>
            </w:r>
          </w:p>
        </w:tc>
        <w:tc>
          <w:tcPr>
            <w:tcW w:w="1460" w:type="dxa"/>
            <w:vAlign w:val="bottom"/>
            <w:gridSpan w:val="2"/>
            <w:shd w:val="clear" w:color="auto" w:fill="CFF0FC"/>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26,239</w:t>
            </w:r>
          </w:p>
        </w:tc>
        <w:tc>
          <w:tcPr>
            <w:tcW w:w="22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136 %</w:t>
            </w:r>
          </w:p>
        </w:tc>
      </w:tr>
      <w:tr>
        <w:trPr>
          <w:trHeight w:val="18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Genomics gross profit</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22,465</w:t>
            </w:r>
          </w:p>
        </w:tc>
        <w:tc>
          <w:tcPr>
            <w:tcW w:w="2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24,211</w:t>
            </w:r>
          </w:p>
        </w:tc>
        <w:tc>
          <w:tcPr>
            <w:tcW w:w="220" w:type="dxa"/>
            <w:vAlign w:val="bottom"/>
          </w:tcPr>
          <w:p>
            <w:pPr>
              <w:spacing w:after="0"/>
              <w:rPr>
                <w:sz w:val="16"/>
                <w:szCs w:val="16"/>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(7 )%</w:t>
            </w:r>
          </w:p>
        </w:tc>
      </w:tr>
      <w:tr>
        <w:trPr>
          <w:trHeight w:val="221"/>
        </w:trPr>
        <w:tc>
          <w:tcPr>
            <w:tcW w:w="50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gross profit</w:t>
            </w:r>
          </w:p>
        </w:tc>
        <w:tc>
          <w:tcPr>
            <w:tcW w:w="1120" w:type="dxa"/>
            <w:vAlign w:val="bottom"/>
            <w:tcBorders>
              <w:bottom w:val="single" w:sz="8" w:color="auto"/>
            </w:tcBorders>
            <w:shd w:val="clear" w:color="auto" w:fill="CFF0FC"/>
          </w:tcPr>
          <w:p>
            <w:pPr>
              <w:jc w:val="right"/>
              <w:ind w:right="9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84,262</w:t>
            </w:r>
          </w:p>
        </w:tc>
        <w:tc>
          <w:tcPr>
            <w:tcW w:w="2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50,450</w:t>
            </w:r>
          </w:p>
        </w:tc>
        <w:tc>
          <w:tcPr>
            <w:tcW w:w="22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-21590</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-6985</wp:posOffset>
            </wp:positionV>
            <wp:extent cx="673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-21590</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5666740</wp:posOffset>
            </wp:positionH>
            <wp:positionV relativeFrom="paragraph">
              <wp:posOffset>-6985</wp:posOffset>
            </wp:positionV>
            <wp:extent cx="673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Gross profit in the proteomics business increased by 136% to $61.8 million for the year ended December 31, 2024, compared to 2023. The increase was primarily driven by the impact of the Merger, which expanded our proteomics capabilities, products and services. Genomics gross profit decreased by 7% to $22.5 million for the year ended December 31, 2024, compared to 2023. The year over year decrease was primarily attributable to decreased revenues in the genomics segment.</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expenses were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Year-over-</w:t>
            </w:r>
          </w:p>
        </w:tc>
      </w:tr>
      <w:tr>
        <w:trPr>
          <w:trHeight w:val="181"/>
        </w:trPr>
        <w:tc>
          <w:tcPr>
            <w:tcW w:w="54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81"/>
              <w:spacing w:after="0" w:line="181"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5"/>
                <w:szCs w:val="15"/>
                <w:color w:val="auto"/>
              </w:rPr>
            </w:pPr>
          </w:p>
        </w:tc>
        <w:tc>
          <w:tcPr>
            <w:tcW w:w="14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Change</w:t>
            </w:r>
          </w:p>
        </w:tc>
        <w:tc>
          <w:tcPr>
            <w:tcW w:w="180" w:type="dxa"/>
            <w:vAlign w:val="bottom"/>
          </w:tcPr>
          <w:p>
            <w:pPr>
              <w:spacing w:after="0"/>
              <w:rPr>
                <w:sz w:val="15"/>
                <w:szCs w:val="15"/>
                <w:color w:val="auto"/>
              </w:rPr>
            </w:pPr>
          </w:p>
        </w:tc>
      </w:tr>
      <w:tr>
        <w:trPr>
          <w:trHeight w:val="181"/>
        </w:trPr>
        <w:tc>
          <w:tcPr>
            <w:tcW w:w="5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Research and development</w:t>
            </w:r>
          </w:p>
        </w:tc>
        <w:tc>
          <w:tcPr>
            <w:tcW w:w="440" w:type="dxa"/>
            <w:vAlign w:val="bottom"/>
            <w:shd w:val="clear" w:color="auto" w:fill="CFF0FC"/>
          </w:tcPr>
          <w:p>
            <w:pPr>
              <w:jc w:val="right"/>
              <w:ind w:right="2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62,411</w:t>
            </w:r>
          </w:p>
        </w:tc>
        <w:tc>
          <w:tcPr>
            <w:tcW w:w="960" w:type="dxa"/>
            <w:vAlign w:val="bottom"/>
            <w:gridSpan w:val="2"/>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25,948</w:t>
            </w:r>
          </w:p>
        </w:tc>
        <w:tc>
          <w:tcPr>
            <w:tcW w:w="1860" w:type="dxa"/>
            <w:vAlign w:val="bottom"/>
            <w:gridSpan w:val="3"/>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141 %</w:t>
            </w:r>
          </w:p>
        </w:tc>
      </w:tr>
      <w:tr>
        <w:trPr>
          <w:trHeight w:val="189"/>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156,608</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87,541</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79 %</w:t>
            </w:r>
          </w:p>
        </w:tc>
      </w:tr>
      <w:tr>
        <w:trPr>
          <w:trHeight w:val="18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44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77 %</w:t>
            </w:r>
          </w:p>
        </w:tc>
      </w:tr>
      <w:tr>
        <w:trPr>
          <w:trHeight w:val="189"/>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2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331 %</w:t>
            </w:r>
          </w:p>
        </w:tc>
      </w:tr>
      <w:tr>
        <w:trPr>
          <w:trHeight w:val="221"/>
        </w:trPr>
        <w:tc>
          <w:tcPr>
            <w:tcW w:w="54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440" w:type="dxa"/>
            <w:vAlign w:val="bottom"/>
            <w:tcBorders>
              <w:bottom w:val="single" w:sz="8" w:color="auto"/>
            </w:tcBorders>
            <w:shd w:val="clear" w:color="auto" w:fill="CFF0FC"/>
          </w:tcPr>
          <w:p>
            <w:pPr>
              <w:jc w:val="right"/>
              <w:ind w:right="2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259,498</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127,050</w:t>
            </w:r>
          </w:p>
        </w:tc>
        <w:tc>
          <w:tcPr>
            <w:tcW w:w="1860" w:type="dxa"/>
            <w:vAlign w:val="bottom"/>
            <w:tcBorders>
              <w:bottom w:val="single" w:sz="8" w:color="CFF0FC"/>
            </w:tcBorders>
            <w:gridSpan w:val="3"/>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-21590</wp:posOffset>
            </wp:positionV>
            <wp:extent cx="673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-6985</wp:posOffset>
            </wp:positionV>
            <wp:extent cx="673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-21590</wp:posOffset>
            </wp:positionV>
            <wp:extent cx="673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-6985</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R&amp;D expense increased by $36.5 million, or 141%, for the year ended December 31, 2024, compared to 2023. The increase was primarily due to the impact of the Merger in the first quarter of 2024, which included increased salaries and benefits expense and stock-based compensation expense due to the expanded global workforce headcount.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SG&amp;A expense increased by $69.1 million, or 79%, for the year ended December 31, 2024, compared to 2023. The increase was primarily attributable to the impact of the Merger in the first quarter of 2024, which included increased salaries and benefits expense and stock-based compensation expense due to the expanded global workforce headcount.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Restructuring and Related Charges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and related charges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Year-over-</w:t>
            </w:r>
          </w:p>
        </w:tc>
      </w:tr>
      <w:tr>
        <w:trPr>
          <w:trHeight w:val="181"/>
        </w:trPr>
        <w:tc>
          <w:tcPr>
            <w:tcW w:w="5800" w:type="dxa"/>
            <w:vAlign w:val="bottom"/>
          </w:tcPr>
          <w:p>
            <w:pPr>
              <w:spacing w:after="0"/>
              <w:rPr>
                <w:sz w:val="15"/>
                <w:szCs w:val="15"/>
                <w:color w:val="auto"/>
              </w:rPr>
            </w:pPr>
          </w:p>
        </w:tc>
        <w:tc>
          <w:tcPr>
            <w:tcW w:w="118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bottom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Year Change</w:t>
            </w:r>
          </w:p>
        </w:tc>
        <w:tc>
          <w:tcPr>
            <w:tcW w:w="220" w:type="dxa"/>
            <w:vAlign w:val="bottom"/>
          </w:tcPr>
          <w:p>
            <w:pPr>
              <w:spacing w:after="0"/>
              <w:rPr>
                <w:sz w:val="15"/>
                <w:szCs w:val="15"/>
                <w:color w:val="auto"/>
              </w:rPr>
            </w:pPr>
          </w:p>
        </w:tc>
      </w:tr>
      <w:tr>
        <w:trPr>
          <w:trHeight w:val="181"/>
        </w:trPr>
        <w:tc>
          <w:tcPr>
            <w:tcW w:w="58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Severance and other termination benefits</w:t>
            </w:r>
          </w:p>
        </w:tc>
        <w:tc>
          <w:tcPr>
            <w:tcW w:w="1180" w:type="dxa"/>
            <w:vAlign w:val="bottom"/>
            <w:shd w:val="clear" w:color="auto" w:fill="CFF0FC"/>
          </w:tcPr>
          <w:p>
            <w:pPr>
              <w:jc w:val="right"/>
              <w:ind w:right="10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8,988</w:t>
            </w:r>
          </w:p>
        </w:tc>
        <w:tc>
          <w:tcPr>
            <w:tcW w:w="1360" w:type="dxa"/>
            <w:vAlign w:val="bottom"/>
            <w:gridSpan w:val="2"/>
            <w:shd w:val="clear" w:color="auto" w:fill="CFF0FC"/>
          </w:tcPr>
          <w:p>
            <w:pPr>
              <w:jc w:val="right"/>
              <w:ind w:right="9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2,379</w:t>
            </w:r>
          </w:p>
        </w:tc>
        <w:tc>
          <w:tcPr>
            <w:tcW w:w="1800" w:type="dxa"/>
            <w:vAlign w:val="bottom"/>
            <w:gridSpan w:val="3"/>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278 %</w:t>
            </w:r>
          </w:p>
        </w:tc>
      </w:tr>
      <w:tr>
        <w:trPr>
          <w:trHeight w:val="18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Facilities and other</w:t>
            </w: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2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(25 )%</w:t>
            </w:r>
          </w:p>
        </w:tc>
      </w:tr>
      <w:tr>
        <w:trPr>
          <w:trHeight w:val="221"/>
        </w:trPr>
        <w:tc>
          <w:tcPr>
            <w:tcW w:w="580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restructuring and related charges</w:t>
            </w:r>
          </w:p>
        </w:tc>
        <w:tc>
          <w:tcPr>
            <w:tcW w:w="1180" w:type="dxa"/>
            <w:vAlign w:val="bottom"/>
            <w:tcBorders>
              <w:bottom w:val="single" w:sz="8" w:color="auto"/>
            </w:tcBorders>
            <w:shd w:val="clear" w:color="auto" w:fill="CFF0FC"/>
          </w:tcPr>
          <w:p>
            <w:pPr>
              <w:jc w:val="right"/>
              <w:ind w:right="10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12,500</w:t>
            </w:r>
          </w:p>
        </w:tc>
        <w:tc>
          <w:tcPr>
            <w:tcW w:w="2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7,076</w:t>
            </w:r>
          </w:p>
        </w:tc>
        <w:tc>
          <w:tcPr>
            <w:tcW w:w="1800" w:type="dxa"/>
            <w:vAlign w:val="bottom"/>
            <w:tcBorders>
              <w:bottom w:val="single" w:sz="8" w:color="CFF0FC"/>
            </w:tcBorders>
            <w:gridSpan w:val="3"/>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-21590</wp:posOffset>
            </wp:positionV>
            <wp:extent cx="673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-6985</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-21590</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-6985</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Restructuring and related charges increased by $5.4 million for the year ended December 31, 2024, compared to 2023, due to increased severance costs resulting from the Strategic Reorganization following the Merger.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Transaction and Integration Expenses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Transaction and integration expenses increased by $21.5 million for the year ended December 31, 2024, compared to 2023. The increase was primarily due to legal, advisory, accounting costs, and integration expenses incurred in connection with the Merger in the first quarter of 2024, and the acquisition of Sengenics in the fourth quarter of 2024. We expect to incur additional integration costs in the future.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Bargain Purchase Gain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Bargain purchase gain increased by $25.2 million for the year ended December 31, 2024, compared to 2023. The increase was due to the consummation of the Merger in January 2024, which resulted in the fair value of assets acquired and liabilities assumed from the Merger exceeding the fair value of the consideration transferred due to a decline in our stock price following the announcement of the Merger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42424"/>
        </w:rPr>
        <w:t>Interest Income, net</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increase in interest income, net of $15.9 million for the year ended December 31, 2024, compared to the same period in 2023</w:t>
      </w:r>
      <w:r>
        <w:rPr>
          <w:rFonts w:ascii="Times New Roman" w:cs="Times New Roman" w:eastAsia="Times New Roman" w:hAnsi="Times New Roman"/>
          <w:sz w:val="16"/>
          <w:szCs w:val="16"/>
          <w:color w:val="242424"/>
        </w:rPr>
        <w:t>,</w:t>
      </w:r>
      <w:r>
        <w:rPr>
          <w:rFonts w:ascii="Times New Roman" w:cs="Times New Roman" w:eastAsia="Times New Roman" w:hAnsi="Times New Roman"/>
          <w:sz w:val="16"/>
          <w:szCs w:val="16"/>
          <w:color w:val="auto"/>
        </w:rPr>
        <w:t xml:space="preserve"> was primarily due to the interest earned on increased balances of money market funds and short-term investments, as well as a decrease in</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color w:val="auto"/>
        </w:rPr>
        <w:t>interest expense due to repayment of our term loan in March 2024. Money market funds balances and short-term investments increased as a result of the Merger.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 (Expense)</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recorded income tax expense of $0.6 million for the year ended December 31, 2024, and an income tax expense of $0.5 million for the year ended December 31, 2023. The increase in our tax provision reflects the effect of our foreign operations, which reported higher pre-tax income in the year ended December 31, 2024 compared to 2023.</w:t>
      </w:r>
    </w:p>
    <w:p>
      <w:pPr>
        <w:spacing w:after="0" w:line="18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experienced operating losses since inception and have an accumulated deficit of $1.2 billion as of December 31, 2024. To date, we have funded our operating losses primarily through equity offerings, term loans, convertible notes and issuance of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and costs and timing of acquiring other businesses, assets or technologies.</w:t>
      </w:r>
    </w:p>
    <w:p>
      <w:pPr>
        <w:spacing w:after="0" w:line="19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Annual Report.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principal sources of liquidity are cash, cash equivalents and short-term investments. Our collective balances of cash, cash equivalents and short-term investments were $292.9 million at December 31, 2024 and $114.9 million at December 31, 2023. Our working capital was $310.0 million at December 31, 2024.</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Resources and Commitments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have entered into arrangements that serve as sources of capital and the associated contractual agreements may result in firm or contingent obligations of us. In addition to our common stockholders’ equity, our sources of capital primarily include debt and operating leases. Our operating lease arrangements require cash repayment and our convertible debt contains rights that may result in their conversion to our common stock prior to maturity. On March 4, 2024, we fully repaid all outstanding indebtedness owed pursuant to the $10.0 million term loan facility (the "Term Loan Facility") and terminated the agreement. On December 1, 2024, we fully repaid all outstanding indebtedness owed pursuant to the 2019 Senior Convertible Notes in the aggregate principal amount of $55.0 million (the "2019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our significant future capital requirements include: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Obligations and Commitments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Purchase obligations consist of contractual and legally binding commitments to purchase goods and services. Our purchase obligations with suppliers specify all significant terms, including fixed, minimum or variable price provisions, and the approximate timing of the transaction. The majority of our contracts are cancellable with little or no notice or penalty. However, once a vendor has incurred costs to fulfill a contract with us, and which costs cannot be otherwise deployed, we are liable for those costs upon cancellation.</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connection with the Merger, we assumed a purchase commitment of $6.9 million to a contract manufacturer. Under the contract manufacturing agreement, we are required to spend $2.3 million per year for three years. We entered into a similar agreement with a separate contract manufacturing organization in 2024, under which we are required to make annual purchases of $1.0 million for two years, resulting in a purchase obligation of $2.0 million.</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color w:val="auto"/>
        </w:rPr>
        <w:t>We have additional obligations beyond the purchase of goods and services, including the following:</w:t>
      </w:r>
    </w:p>
    <w:p>
      <w:pPr>
        <w:spacing w:after="0" w:line="98" w:lineRule="exact"/>
        <w:rPr>
          <w:sz w:val="20"/>
          <w:szCs w:val="20"/>
          <w:color w:val="auto"/>
        </w:rPr>
      </w:pPr>
    </w:p>
    <w:p>
      <w:pPr>
        <w:jc w:val="both"/>
        <w:ind w:left="1020" w:hanging="516"/>
        <w:spacing w:after="0" w:line="253"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Convertible Notes. </w:t>
      </w:r>
      <w:r>
        <w:rPr>
          <w:rFonts w:ascii="Times New Roman" w:cs="Times New Roman" w:eastAsia="Times New Roman" w:hAnsi="Times New Roman"/>
          <w:sz w:val="16"/>
          <w:szCs w:val="16"/>
          <w:color w:val="auto"/>
        </w:rPr>
        <w:t>The aggregate net carrying value of the 2014 Senior Convertible Notes (the "2014 Notes") was $0.3 million at December 31, 2024, of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none is due and payable in 2025. In addition, holders may require the Company to repurchase all or a portion of their outstanding 2014 Notes on February 6, 2029, at a repurchase price in cash equal to 100% of the principal amount of the 2014 Notes plus accrued and unpaid interest. On February 6, 2024, one holder of the 2014 Notes exercised their repurchase right available at such time, and we repurchased an immaterial amount of principal and accrued interest. Refer to Note 7 of the consolidated financial statements for additional information. The 2019 Notes matured on December 1, 2024 and all outstanding principal and accrued interest was fully repaid.</w:t>
      </w:r>
    </w:p>
    <w:p>
      <w:pPr>
        <w:spacing w:after="0" w:line="66" w:lineRule="exact"/>
        <w:rPr>
          <w:rFonts w:ascii="Times New Roman" w:cs="Times New Roman" w:eastAsia="Times New Roman" w:hAnsi="Times New Roman"/>
          <w:sz w:val="16"/>
          <w:szCs w:val="16"/>
          <w:color w:val="auto"/>
        </w:rPr>
      </w:pPr>
    </w:p>
    <w:p>
      <w:pPr>
        <w:ind w:left="1020" w:right="20" w:hanging="516"/>
        <w:spacing w:after="0" w:line="278"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Future payments for operating lease obligations (net of sublease income) at December 31, 2024 totaled $34.2 million, of which $6.8 million is expected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be paid in 2025. Refer to Note 8 of the consolidated financial statements for additional information.</w:t>
      </w:r>
    </w:p>
    <w:p>
      <w:pPr>
        <w:spacing w:after="0" w:line="48"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information on our obligations under license and patent agreements, and indemnification agreements entered into in the ordinary course of business is provided in Note 9 to the consolidated financial statements .</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commitment amounts above as they are not handled through binding contracts or are not fulfilled by vendors on a purchase order basis within short time horizons.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 Activity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cash flow summary was as follows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2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320" w:type="dxa"/>
            <w:vAlign w:val="bottom"/>
          </w:tcPr>
          <w:p>
            <w:pPr>
              <w:spacing w:after="0"/>
              <w:rPr>
                <w:sz w:val="15"/>
                <w:szCs w:val="15"/>
                <w:color w:val="auto"/>
              </w:rPr>
            </w:pPr>
          </w:p>
        </w:tc>
        <w:tc>
          <w:tcPr>
            <w:tcW w:w="116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flow summary:</w:t>
            </w:r>
          </w:p>
        </w:tc>
        <w:tc>
          <w:tcPr>
            <w:tcW w:w="1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160" w:type="dxa"/>
            <w:vAlign w:val="bottom"/>
          </w:tcPr>
          <w:p>
            <w:pPr>
              <w:jc w:val="right"/>
              <w:ind w:right="9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(143,454 )</w:t>
            </w:r>
          </w:p>
        </w:tc>
        <w:tc>
          <w:tcPr>
            <w:tcW w:w="1180" w:type="dxa"/>
            <w:vAlign w:val="bottom"/>
          </w:tcPr>
          <w:p>
            <w:pPr>
              <w:jc w:val="right"/>
              <w:ind w:right="10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(43,287 )</w:t>
            </w:r>
          </w:p>
        </w:tc>
        <w:tc>
          <w:tcPr>
            <w:tcW w:w="0" w:type="dxa"/>
            <w:vAlign w:val="bottom"/>
          </w:tcPr>
          <w:p>
            <w:pPr>
              <w:spacing w:after="0"/>
              <w:rPr>
                <w:sz w:val="1"/>
                <w:szCs w:val="1"/>
                <w:color w:val="auto"/>
              </w:rPr>
            </w:pPr>
          </w:p>
        </w:tc>
      </w:tr>
      <w:tr>
        <w:trPr>
          <w:trHeight w:val="18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363,174</w:t>
            </w: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(102,616 )</w:t>
            </w:r>
          </w:p>
        </w:tc>
        <w:tc>
          <w:tcPr>
            <w:tcW w:w="11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(6,809 )</w:t>
            </w:r>
          </w:p>
        </w:tc>
        <w:tc>
          <w:tcPr>
            <w:tcW w:w="0" w:type="dxa"/>
            <w:vAlign w:val="bottom"/>
          </w:tcPr>
          <w:p>
            <w:pPr>
              <w:spacing w:after="0"/>
              <w:rPr>
                <w:sz w:val="1"/>
                <w:szCs w:val="1"/>
                <w:color w:val="auto"/>
              </w:rPr>
            </w:pPr>
          </w:p>
        </w:tc>
      </w:tr>
      <w:tr>
        <w:trPr>
          <w:trHeight w:val="173"/>
        </w:trPr>
        <w:tc>
          <w:tcPr>
            <w:tcW w:w="732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Effect of foreign exchange rate fluctuations on cash</w:t>
            </w:r>
          </w:p>
        </w:tc>
        <w:tc>
          <w:tcPr>
            <w:tcW w:w="116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(785 )</w:t>
            </w:r>
          </w:p>
        </w:tc>
        <w:tc>
          <w:tcPr>
            <w:tcW w:w="118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cash equivalents</w:t>
            </w:r>
          </w:p>
        </w:tc>
        <w:tc>
          <w:tcPr>
            <w:tcW w:w="116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160" w:type="dxa"/>
            <w:vAlign w:val="bottom"/>
          </w:tcPr>
          <w:p>
            <w:pPr>
              <w:jc w:val="right"/>
              <w:ind w:right="9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116,319</w:t>
            </w:r>
          </w:p>
        </w:tc>
        <w:tc>
          <w:tcPr>
            <w:tcW w:w="220" w:type="dxa"/>
            <w:vAlign w:val="bottom"/>
          </w:tcPr>
          <w:p>
            <w:pPr>
              <w:spacing w:after="0"/>
              <w:rPr>
                <w:sz w:val="15"/>
                <w:szCs w:val="15"/>
                <w:color w:val="auto"/>
              </w:rPr>
            </w:pPr>
          </w:p>
        </w:tc>
        <w:tc>
          <w:tcPr>
            <w:tcW w:w="1180" w:type="dxa"/>
            <w:vAlign w:val="bottom"/>
          </w:tcPr>
          <w:p>
            <w:pPr>
              <w:jc w:val="right"/>
              <w:ind w:right="10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(29,825 )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-149860</wp:posOffset>
            </wp:positionV>
            <wp:extent cx="7493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5"/>
          <w:szCs w:val="15"/>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both domestically and internationally.</w:t>
      </w:r>
    </w:p>
    <w:p>
      <w:pPr>
        <w:spacing w:after="0" w:line="17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the year ended December 31, 2024, we used $92.9 million of net proceeds from the sales and maturities of short-term investments to help fund $143.5 million of net cash used in operating activities, $63.2 million of repayments of the Term Loan Facility and 2014 Notes and $40.5 million of common stock repurchases.</w:t>
      </w:r>
    </w:p>
    <w:p>
      <w:pPr>
        <w:spacing w:after="0" w:line="18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 the year ended December 31, 2023, we used $23.1 million of net proceeds from the sales and maturities of short-term investments to help fund $43.3 million of net cash used in operating activities, $5.4 million of common stock repurchases and $2.1 million of Term Loan Facility repayments.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Net cash used in operating activities for the year ended December 31, 2024 increased by $100.2 million, compared to the same period in 2023. The increase is driven by the Merger, which resulted in increased global operating costs and operating losses.</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Net cash provided by investing activities for the year ended December 31, 2024 was $363.2 million, compared to $20.2 million for the year ended December 31, 2023. The year ended December 31, 2024 primarily reflects $280.0 million of cash and restricted cash acquired in the Merger and $92.9 million of proceeds from sales and maturities of short-term investments, net of purchases, offset by $8.4 million cash used for purchases of property and equipment. The year ended December 31, 2023 primarily reflects $23.1 million of proceeds from sales and maturities of short-term investments, net of purchases.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Financing activities used cash of $102.6 million for the year ended December 31, 2024, and used cash of $6.8 million in the same period of 2023. These changes in cash from financing activities are primarily driven by the repayments of our Term Loan Facility and 2014 Notes totaling $63.2 million, and repurchases of common stock totaling $40.5 million, during the year ended December 31, 2024. During the year ended December 31, 2023, we repurchased $5.4 million of common stock and repaid $2.1 of our Term Loan Facility.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consolidated financial statements and related notes included in this Annual Report are prepared in accordance with U.S. GAAP. Preparing U.S. GAAP financial statements requires the use of estimates and assumptions to determine the value of the assets, liabilities, revenues and expenses reported on the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preferred equity. Refer to Note 2 to our consolidated financial statements for further information on our most significant accounting policies. An accounting policy is deemed to be critical if it requires an accounting estimate to be made based on assumptions about matters that are highly uncertain at the time the estimate is made, if different estimates reasonably could have been used, or if changes in estimates that are reasonably likely to occur could materially impact the financial statements.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recognize revenue when control of promised goods or services is transferred to customers, based on the amount of consideration we expect to receive in exchange for the goods and services transferred. Our commercial arrangements typically include multiple, distinct products and services, and we allocate purchase consideration to the products and services based on each item’s relative standalone selling price. Standalone selling prices ("SSP") are generally determined using observable data from recent transactions. In cases where sufficient data is not available, we estimate a product’s SSP using a cost plus margin approach or by applying a discount to the product’s list price.</w:t>
      </w:r>
    </w:p>
    <w:p>
      <w:pPr>
        <w:spacing w:after="0" w:line="16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We have entered and may continue to enter into development agreements with customers that require us to recognize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pacing w:after="0" w:line="3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Company accounts for business combinations in accordance with ASC 805, which requires the allocation of the purchase price to the fair values of identifiable assets acquired and liabilities assumed. The determination of fair values involves significant judgment and estimates, particularly in valuing acquired intangible assets and contingent consideration arising from the merger. The fair values of acquired intangibles are estimated using various valuation methodologies, including the multi-period excess earnings method for developed technology and customer relationships, and the relief-from-royalty method for trade names. The fair value of contingent consideration is estimated using a Monte Carlo simulation. These approaches require management to make significant assumptions, including projected cash flows, revenue growth rates, discount rates, etc. These estimates are inherently subjective and based on information available at the acquisition date. Refer to Note 3 to the consolidated financial statements for further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Long-Lived Assets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Goodwill represents the excess of the purchase price of an acquired entity over the fair value of the net assets acquired and liabilities assumed in a business combination. We assess goodwill at the reporting unit level on an annual basis during the fourth quarter, or more frequently if events or changes in circumstances suggest that goodwill impairment exists. A significant amount of judgment is involved in determining if an indicator of impairment exists.</w:t>
      </w:r>
    </w:p>
    <w:p>
      <w:pPr>
        <w:spacing w:after="0" w:line="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For those reporting units where events or change in circumstances indicate that potential impairment indicators exist, we perform a quantitative assessment to determine whether the carrying value of goodwill can be recovered. When performing the annual goodwill impairment test, we may start with an optional qualitative assessment.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assessment to estimate the fair value of each reporting unit, and compare the fair value of each reporting unit to its carrying value. We generally estimate a reporting unit's fair value using a discounted cash flow approach which is dependent on several significant estimates and assumptions related to forecasts of future revenues, cost of sales, expenses and the weighted average cost of capital for each reporting unit. If the carrying amount of a reporting unit exceeds the estimated fair value, an impairment charge is recorded to reduce the carrying value to the estimated fair value. The impairment of goodwill is limited to the total amount of goodwill allocated to the reporting unit. Any adverse changes in the significant estimates and assumptions used in our goodwill impairment test could have a significant impact on our goodwill impairment analyses, and could have a material impact on our consolidated financial statements.</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Company's most recent assessment in the fourth quarter of 2024 did not indicate existence of impairment. However, in February 2025, the new U.S. administration announced reductions in federal funding for NIH research. These funding cuts are expected to directly impact the availability of financing for lab equipment used by researchers. As a result, the Company anticipates a negative impact on its short- and long-term revenue and cash flow forecasts for both its reporting units. Management will continue to monitor developments related to future potential policy changes under the new U.S. administration that could impact key inputs used in our goodwill impairment analysis. If the developments materially impact these key inputs, additional testing may be required, which could result in the recognition of a non-cash goodwill impairment charge in the near future.</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Additionally, over the past few weeks and following the announced reductions in federal funding for NIH research, the Company's share price declined substantially. Management will continue to monitor its market capitalization relative to the Company's net book value, and if the Company's stock price does not increase, the Company may be required to perform additional impairment analyses for both its reporting units, and could be required to recognize a non-cash goodwill impairment charge in the near future. Refer to Note 5 to the consolidated financial statements for additional information on goodwill and long-lived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recognize compensation costs for all stock-based awards, including stock options, restrict stock units ("RSUs"), performance stock units ("PSUs") and shares of common stock purchased under our Employee Share Purchase Plan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 a Monte Carlo simulation pricing model to incorporate the market condition effects at the grant date. The Monte Carlo pricing model requires inputs which are subjective and generally requires judgment. For PSUs with performance conditions, stock-based compensation expense is recognized over the requisite service period when the achievement of each individual performance goal becomes probable.</w:t>
      </w:r>
    </w:p>
    <w:p>
      <w:pPr>
        <w:spacing w:after="0" w:line="1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color w:val="auto"/>
        </w:rPr>
        <w:t>our common stock. These assumptions generally require judgment. Refer to Note 13 to the consolidated financial statements for 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Changes and Accounting Pronouncements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Accounting Guidanc</w:t>
      </w:r>
      <w:r>
        <w:rPr>
          <w:rFonts w:ascii="Times New Roman" w:cs="Times New Roman" w:eastAsia="Times New Roman" w:hAnsi="Times New Roman"/>
          <w:sz w:val="16"/>
          <w:szCs w:val="16"/>
          <w:i w:val="1"/>
          <w:iCs w:val="1"/>
          <w:color w:val="auto"/>
        </w:rPr>
        <w: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 description of recently issued accounting pronouncements that may potentially impact our financial position, results of operations or cash flows is disclosed in Note 2 to our consolidated financial statements included in this Annual Report.</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71" w:name="page72"/>
    <w:bookmarkEnd w:id="71"/>
    <w:p>
      <w:pPr>
        <w:ind w:right="3719"/>
        <w:spacing w:after="0" w:line="402" w:lineRule="auto"/>
        <w:rPr>
          <w:sz w:val="20"/>
          <w:szCs w:val="20"/>
          <w:color w:val="auto"/>
        </w:rPr>
      </w:pPr>
      <w:r>
        <w:rPr>
          <w:rFonts w:ascii="Times New Roman" w:cs="Times New Roman" w:eastAsia="Times New Roman" w:hAnsi="Times New Roman"/>
          <w:sz w:val="16"/>
          <w:szCs w:val="16"/>
          <w:b w:val="1"/>
          <w:bCs w:val="1"/>
          <w:color w:val="auto"/>
        </w:rPr>
        <w:t xml:space="preserve">ITEM 7A. QUANTITATIVE AND QUALITATIVE DISCLOSURES ABOUT MARKET RISK </w:t>
      </w:r>
      <w:r>
        <w:rPr>
          <w:rFonts w:ascii="Times New Roman" w:cs="Times New Roman" w:eastAsia="Times New Roman" w:hAnsi="Times New Roman"/>
          <w:sz w:val="16"/>
          <w:szCs w:val="16"/>
          <w:color w:val="auto"/>
        </w:rPr>
        <w:t>Not applicable.</w:t>
      </w:r>
    </w:p>
    <w:p>
      <w:pPr>
        <w:spacing w:after="0" w:line="4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02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2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7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64"/>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(PCAOB ID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7"/>
                <w:szCs w:val="17"/>
                <w:color w:val="000000"/>
              </w:rPr>
              <w:t>238</w:t>
            </w:r>
            <w:r>
              <w:rPr>
                <w:rFonts w:ascii="Times New Roman" w:cs="Times New Roman" w:eastAsia="Times New Roman" w:hAnsi="Times New Roman"/>
                <w:sz w:val="16"/>
                <w:szCs w:val="16"/>
                <w:color w:val="00000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 as of December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Loss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(Deficit)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6"/>
        </w:trPr>
        <w:tc>
          <w:tcPr>
            <w:tcW w:w="10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596"/>
        </w:trPr>
        <w:tc>
          <w:tcPr>
            <w:tcW w:w="2760" w:type="dxa"/>
            <w:vAlign w:val="bottom"/>
            <w:tcBorders>
              <w:top w:val="single" w:sz="8" w:color="0000FF"/>
            </w:tcBorders>
          </w:tcPr>
          <w:p>
            <w:pPr>
              <w:spacing w:after="0"/>
              <w:rPr>
                <w:sz w:val="24"/>
                <w:szCs w:val="24"/>
                <w:color w:val="auto"/>
              </w:rPr>
            </w:pPr>
          </w:p>
        </w:tc>
        <w:tc>
          <w:tcPr>
            <w:tcW w:w="33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70</w:t>
            </w: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5"/>
        </w:trPr>
        <w:tc>
          <w:tcPr>
            <w:tcW w:w="2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73" w:name="page74"/>
    <w:bookmarkEnd w:id="73"/>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Stockholders of Standard BioTools Inc.</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sheets of Standard BioTools Inc. and its subsidiaries (the "Company") as of December 31, 2024 and 2023, and the related consolidated statements of operations, of comprehensive loss, of stockholders’ equity (deficit)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COSO.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0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described in Management’s Annual Report on Internal Control Over Financial Reporting, management has excluded SomaLogic, Inc. from its assessment of internal control over financial reporting as of December 31, 2024, because it was acquired by the Company in a purchase business combination during 2024. We have also excluded SomaLogic, Inc. from our audit of internal control over financial reporting. SomaLogic, Inc. is a wholly-owned subsidiary whose total assets and total revenues excluded from management’s assessment and our audit of internal control over financial reporting represent approximately 51% and 47%, respectively, of the related consolidated financial statement amounts as of and for the year ended December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74" w:name="page75"/>
    <w:bookmarkEnd w:id="74"/>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 – Product and Service Revenues</w:t>
      </w:r>
    </w:p>
    <w:p>
      <w:pPr>
        <w:spacing w:after="0" w:line="10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As described in Notes 2 and 4 to the consolidated financial statements, product and service revenues are recognized when the Company's customers obtain control of promised goods or services, in an amount that reflects the consideration the Company expects to receive in exchange for the products or services. The Company generates product revenue from the sale of instruments and consumables and is generally recognized at the point in time when control of the goods passes to the customer and the Company has an enforceable right to payment. The Company generates service revenue from the sale of (1) lab services where revenue is recognized at a point in time when the analysis data or report is delivered to the customer and (2) field services where revenue is recognized over time using a time-elapsed measure of progress, resulting in straight-line revenue recognition over the term of the agreement. The Company’s revenue related to products and services was $88.6 million and $81.1 million, respectively, for the year ended December 31, 2024.</w:t>
      </w:r>
    </w:p>
    <w:p>
      <w:pPr>
        <w:spacing w:after="0" w:line="16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principal consideration for our determination that performing procedures relating to revenue recognition for product and service revenues is a critical audit matter is a high degree of auditor effort in performing procedures related to the Company’s revenue recognition for product and service revenues.</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product and service revenues, including controls over the recording of revenue upon transfer of control of products and services to the customer. These procedures also included, among others, (i) testing product and service revenues recognized for a sample of revenue transactions by obtaining and inspecting source documents, such as, sales contracts, purchase orders, customer invoices, and proof of delivery; and (ii) confirming a sample of outstanding customer invoice balances as of December 31, 2024 and, for confirmations not returned, obtaining and inspecting source documents, such as, invoices, proof of delivery, and evidence of subsequent cash receipts.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SomaLogic Merger - Determination of Accounting Acquirer and Valuation of Developed Technology Acquired</w:t>
      </w:r>
    </w:p>
    <w:p>
      <w:pPr>
        <w:spacing w:after="0" w:line="1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As described in Notes 2 and 3 to the consolidated financial statements, in 2024 the Company completed the merger (the Merger) with SomaLogic. Upon completion of the Merger, each share of SomaLogic common stock, par value $0.0001 per share (the SomaLogic Common Stock), was exchanged for 1.11 shares of the Company's common stock, par value $0.001 per share. The fair value of the Company's common stock provided in exchange for SomaLogic Common Stock was approximately $419.2 million. Purchase consideration also included replacement of equity awards attributable to pre-combination services. The acquisition-date fair value of consideration transferred in the merger totaled approximately $444.2 million. The Company accounted for the Merger as a business combination, using the acquisition method of accounting, which included determining whether the Company would be the accounting acquirer. When a merger involves exchanging equity interests, determining the accounting acquirer in a business combination involves considering pertinent facts and circumstances. The Company was determined to be the accounting acquirer in connection with the Merger based on management’s evaluation of all the facts and circumstances, including but not limited to: (i) the Company initiated the transaction negotiations; (ii) the Company’s shares were issued to effect the Merger and remain outstanding; (iii) the merged entity retained the Company’s name; (iv) the composition of the combined Company’s board of directors includes a majority of Company appointed members; and (v) the Chief Executive Officer, Chief Financial Officer, and Chief Operating Officer of the Company continued to serve in their respective roles in the combined Company following the Merger. These facts were deemed by management to outweigh</w:t>
      </w:r>
    </w:p>
    <w:p>
      <w:pPr>
        <w:spacing w:after="0" w:line="1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6"/>
          <w:szCs w:val="16"/>
          <w:color w:val="auto"/>
        </w:rPr>
        <w:t>the fact that the holders of shares of SomaLogic common stock that received shares of the Company's common stock in the merger in the aggregate owned a majority of the Company's common stock on a fully diluted basis and associated voting rights after the merger. The identifiable assets acquired and liabilities assumed of SomaLogic were recorded at their estimated fair values as of the acquisition date and consolidated with those of the Company. Of the identifiable intangible assets acquired, $20.0 million of developed technology was recorded. The fair value of the developed technology was estimated by management using the multi-period excess earnings method, which involved significant assumptions related to the cash flow projections, migration curve for technological obsolescence, economic life, and discount rate.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determination of accounting acquiror and valuation of developed technology acquired in the merger with SomaLogic is a critical audit matter are (i) the significant judgment by management in determining whether the Company is the accounting acquirer and developing the fair value estimate of the developed technology acquired; (ii) a high degree of auditor judgment, subjectivity and effort in performing procedures related to management’s determination of the accounting acquirer and, for the developed technology acquired, evaluating management’s significant assumptions related to the cash flow projections, migration curve for technological obsolescence, economic life, and discount rate; and (iii) the audit effort involved the use of professionals with specialized skill and knowledge.</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the control over management’s determination of the accounting acquirer and valuation of the developed technology acquired. These procedures also included, among others, (i) reading the merger agreement; (ii) evaluating the facts and circumstances considered by management in determining that the Company is the accounting acquirer; (iii) testing management’s process for developing the fair value estimate of the developed technology acquired; (iv) evaluating the appropriateness of the multi-period excess earnings method used by management; (v) testing the completeness and accuracy of the underlying data used by management in the multi-period excess earnings method; and (vi) evaluating the reasonableness of the significant assumptions used by management related to the cash flow projections, migration curve for technological obsolescence, economic life, and discount rate for the developed technology acquired. Evaluating management’s assumption related to cash flow projections involved considering (i) the current and past performance of the SomaLogic business; (ii) the consistency with external market and industry data; and (iii) whether the assumption was consistent with evidence obtained in other areas of the audit. Professionals with specialized skill and knowledge were used to assist in evaluating (i) the appropriateness of the multi-period excess earnings method and (ii) the reasonableness of the migration curve for technological obsolescence, economic life, and discount rate assumptions for the developed technology acquired.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2015.</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par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7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720" w:type="dxa"/>
            <w:vAlign w:val="bottom"/>
          </w:tcPr>
          <w:p>
            <w:pPr>
              <w:spacing w:after="0"/>
              <w:rPr>
                <w:sz w:val="10"/>
                <w:szCs w:val="10"/>
                <w:color w:val="auto"/>
              </w:rPr>
            </w:pPr>
          </w:p>
        </w:tc>
        <w:tc>
          <w:tcPr>
            <w:tcW w:w="9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9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7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ASSETS</w:t>
            </w: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Current assets: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Cash and cash equivalents</w:t>
            </w:r>
          </w:p>
        </w:tc>
        <w:tc>
          <w:tcPr>
            <w:tcW w:w="940" w:type="dxa"/>
            <w:vAlign w:val="bottom"/>
            <w:shd w:val="clear" w:color="auto" w:fill="CFF0FC"/>
          </w:tcPr>
          <w:p>
            <w:pPr>
              <w:jc w:val="right"/>
              <w:ind w:right="79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166,728</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51,704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Short-term investments</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126,146</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63,191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Accounts receivable</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33,608</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19,660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Inventory</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40,737</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20,533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9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8,661</w:t>
            </w:r>
          </w:p>
        </w:tc>
        <w:tc>
          <w:tcPr>
            <w:tcW w:w="26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3,127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7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Total current assets</w:t>
            </w:r>
          </w:p>
        </w:tc>
        <w:tc>
          <w:tcPr>
            <w:tcW w:w="94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375,880</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158,215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Inventory, non-current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18,528</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Property and equipment, net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42,556</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24,187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Operating lease right-of-use asset, net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28,828</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30,663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Other non-current assets</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6,301</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Acquired intangible assets, net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28,954</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Goodwill</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111,297</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106,317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72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assets</w:t>
            </w:r>
          </w:p>
        </w:tc>
        <w:tc>
          <w:tcPr>
            <w:tcW w:w="940" w:type="dxa"/>
            <w:vAlign w:val="bottom"/>
            <w:tcBorders>
              <w:bottom w:val="single" w:sz="8" w:color="auto"/>
            </w:tcBorders>
            <w:shd w:val="clear" w:color="auto" w:fill="CFF0FC"/>
          </w:tcPr>
          <w:p>
            <w:pPr>
              <w:jc w:val="right"/>
              <w:ind w:right="794"/>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612,344</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313"/>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323,067</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72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MEZZANINE EQUITY AND STOCKHOLDERS’ EQUITY (DEFICIT)</w:t>
            </w: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Current liabilities:</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Pr>
          <w:p>
            <w:pPr>
              <w:jc w:val="right"/>
              <w:ind w:right="79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12,282</w:t>
            </w:r>
          </w:p>
        </w:tc>
        <w:tc>
          <w:tcPr>
            <w:tcW w:w="260" w:type="dxa"/>
            <w:vAlign w:val="bottom"/>
          </w:tcPr>
          <w:p>
            <w:pPr>
              <w:spacing w:after="0"/>
              <w:rPr>
                <w:sz w:val="12"/>
                <w:szCs w:val="12"/>
                <w:color w:val="auto"/>
              </w:rPr>
            </w:pPr>
          </w:p>
        </w:tc>
        <w:tc>
          <w:tcPr>
            <w:tcW w:w="4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Accrued liabilities</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30,739</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21,019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Operating lease liabilities, 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6,228</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Deferred revenue, 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13,118</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11,607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Deferred grant income, 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3,527</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Term loan, current</w:t>
            </w:r>
          </w:p>
        </w:tc>
        <w:tc>
          <w:tcPr>
            <w:tcW w:w="9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Convertible notes, current</w:t>
            </w:r>
          </w:p>
        </w:tc>
        <w:tc>
          <w:tcPr>
            <w:tcW w:w="940" w:type="dxa"/>
            <w:vAlign w:val="bottom"/>
          </w:tcPr>
          <w:p>
            <w:pPr>
              <w:spacing w:after="0"/>
              <w:rPr>
                <w:sz w:val="12"/>
                <w:szCs w:val="12"/>
                <w:color w:val="auto"/>
              </w:rPr>
            </w:pPr>
          </w:p>
        </w:tc>
        <w:tc>
          <w:tcPr>
            <w:tcW w:w="90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54,530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7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current liabilities</w:t>
            </w:r>
          </w:p>
        </w:tc>
        <w:tc>
          <w:tcPr>
            <w:tcW w:w="9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65,894</w:t>
            </w:r>
          </w:p>
        </w:tc>
        <w:tc>
          <w:tcPr>
            <w:tcW w:w="260" w:type="dxa"/>
            <w:vAlign w:val="bottom"/>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109,327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Convertible notes, non-current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299</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Term loan, non-current</w:t>
            </w:r>
          </w:p>
        </w:tc>
        <w:tc>
          <w:tcPr>
            <w:tcW w:w="9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Deferred tax liability</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1,081</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Operating lease liabilities, non-current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26,469</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30,374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Deferred revenue, non-current</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32,674</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Deferred grant income, non-current</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7,243</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6,962</w:t>
            </w:r>
          </w:p>
        </w:tc>
        <w:tc>
          <w:tcPr>
            <w:tcW w:w="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72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liabilities</w:t>
            </w:r>
          </w:p>
        </w:tc>
        <w:tc>
          <w:tcPr>
            <w:tcW w:w="94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140,622</w:t>
            </w:r>
          </w:p>
        </w:tc>
        <w:tc>
          <w:tcPr>
            <w:tcW w:w="26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159,865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7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Commitments and contingencies (Note 9)</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Mezzanine equity:</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72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auto"/>
              </w:rPr>
              <w:t>Redeemable preferred stock: $0.001 par value; zero and 256 shares authorized, issued and outstanding at December 31, 2024 and 2023,</w:t>
            </w:r>
          </w:p>
        </w:tc>
        <w:tc>
          <w:tcPr>
            <w:tcW w:w="940" w:type="dxa"/>
            <w:vAlign w:val="bottom"/>
          </w:tcPr>
          <w:p>
            <w:pPr>
              <w:spacing w:after="0"/>
              <w:rPr>
                <w:sz w:val="11"/>
                <w:szCs w:val="11"/>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311,253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720" w:type="dxa"/>
            <w:vAlign w:val="bottom"/>
          </w:tcPr>
          <w:p>
            <w:pPr>
              <w:ind w:left="160"/>
              <w:spacing w:after="0" w:line="146" w:lineRule="exact"/>
              <w:rPr>
                <w:sz w:val="20"/>
                <w:szCs w:val="20"/>
                <w:color w:val="auto"/>
              </w:rPr>
            </w:pPr>
            <w:r>
              <w:rPr>
                <w:rFonts w:ascii="Times New Roman" w:cs="Times New Roman" w:eastAsia="Times New Roman" w:hAnsi="Times New Roman"/>
                <w:sz w:val="13"/>
                <w:szCs w:val="13"/>
                <w:color w:val="auto"/>
              </w:rPr>
              <w:t>respectively; aggregate liquidation preference of zero and $255,559 at December 31, 2024 and 2023, respectively</w:t>
            </w:r>
          </w:p>
        </w:tc>
        <w:tc>
          <w:tcPr>
            <w:tcW w:w="9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7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Stockholders’ equity (deficit):</w:t>
            </w:r>
          </w:p>
        </w:tc>
        <w:tc>
          <w:tcPr>
            <w:tcW w:w="94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72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auto"/>
              </w:rPr>
              <w:t>Preferred stock: $0.001 par value, 10,000 and 9,744 shares authorized at December 31, 2024 and 2023, respectively; no shares issued and</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outstanding at December 31, 2024 and 2023</w:t>
            </w:r>
          </w:p>
        </w:tc>
        <w:tc>
          <w:tcPr>
            <w:tcW w:w="94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720" w:type="dxa"/>
            <w:vAlign w:val="bottom"/>
            <w:shd w:val="clear" w:color="auto" w:fill="CFF0FC"/>
          </w:tcPr>
          <w:p>
            <w:pPr>
              <w:ind w:left="160"/>
              <w:spacing w:after="0" w:line="127" w:lineRule="exact"/>
              <w:rPr>
                <w:sz w:val="20"/>
                <w:szCs w:val="20"/>
                <w:color w:val="auto"/>
              </w:rPr>
            </w:pPr>
            <w:r>
              <w:rPr>
                <w:rFonts w:ascii="Times New Roman" w:cs="Times New Roman" w:eastAsia="Times New Roman" w:hAnsi="Times New Roman"/>
                <w:sz w:val="13"/>
                <w:szCs w:val="13"/>
                <w:color w:val="auto"/>
              </w:rPr>
              <w:t>Common stock: $0.001 par value, 600,000 and 400,000 shares authorized at December 31, 2024 and 2023, respectively; 396,110 and</w:t>
            </w: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83,364 shares issued at December 31, 2024 and 2023, respectively; 377,530 and 80,232 shares outstanding at December 31, 2024 and</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2023, respectively</w:t>
            </w:r>
          </w:p>
        </w:tc>
        <w:tc>
          <w:tcPr>
            <w:tcW w:w="9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Additional paid-in capital</w:t>
            </w:r>
          </w:p>
        </w:tc>
        <w:tc>
          <w:tcPr>
            <w:tcW w:w="9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1,702,219</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860,816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1,225</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(2,221 )</w:t>
            </w:r>
          </w:p>
        </w:tc>
        <w:tc>
          <w:tcPr>
            <w:tcW w:w="0" w:type="dxa"/>
            <w:vAlign w:val="bottom"/>
          </w:tcPr>
          <w:p>
            <w:pPr>
              <w:spacing w:after="0"/>
              <w:rPr>
                <w:sz w:val="1"/>
                <w:szCs w:val="1"/>
                <w:color w:val="auto"/>
              </w:rPr>
            </w:pPr>
          </w:p>
        </w:tc>
      </w:tr>
      <w:tr>
        <w:trPr>
          <w:trHeight w:val="142"/>
        </w:trPr>
        <w:tc>
          <w:tcPr>
            <w:tcW w:w="7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Accumulated deficit</w:t>
            </w:r>
          </w:p>
        </w:tc>
        <w:tc>
          <w:tcPr>
            <w:tcW w:w="940" w:type="dxa"/>
            <w:vAlign w:val="bottom"/>
          </w:tcPr>
          <w:p>
            <w:pPr>
              <w:spacing w:after="0"/>
              <w:rPr>
                <w:sz w:val="12"/>
                <w:szCs w:val="12"/>
                <w:color w:val="auto"/>
              </w:rPr>
            </w:pPr>
          </w:p>
        </w:tc>
        <w:tc>
          <w:tcPr>
            <w:tcW w:w="9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(1,185,651 )</w:t>
            </w:r>
          </w:p>
        </w:tc>
        <w:tc>
          <w:tcPr>
            <w:tcW w:w="460" w:type="dxa"/>
            <w:vAlign w:val="bottom"/>
          </w:tcPr>
          <w:p>
            <w:pPr>
              <w:spacing w:after="0"/>
              <w:rPr>
                <w:sz w:val="12"/>
                <w:szCs w:val="12"/>
                <w:color w:val="auto"/>
              </w:rPr>
            </w:pPr>
          </w:p>
        </w:tc>
        <w:tc>
          <w:tcPr>
            <w:tcW w:w="1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(1,000,752 )</w:t>
            </w: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Treasury stock at cost: 18,580 and 3,132 shares at December 31, 2024 and 2023, respectively</w:t>
            </w:r>
          </w:p>
        </w:tc>
        <w:tc>
          <w:tcPr>
            <w:tcW w:w="9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(46,467 )</w:t>
            </w:r>
          </w:p>
        </w:tc>
        <w:tc>
          <w:tcPr>
            <w:tcW w:w="4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(5,977 )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7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Total stockholders’ equity (deficit)</w:t>
            </w:r>
          </w:p>
        </w:tc>
        <w:tc>
          <w:tcPr>
            <w:tcW w:w="94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471,722</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(148,051 )</w:t>
            </w:r>
          </w:p>
        </w:tc>
        <w:tc>
          <w:tcPr>
            <w:tcW w:w="0" w:type="dxa"/>
            <w:vAlign w:val="bottom"/>
          </w:tcPr>
          <w:p>
            <w:pPr>
              <w:spacing w:after="0"/>
              <w:rPr>
                <w:sz w:val="1"/>
                <w:szCs w:val="1"/>
                <w:color w:val="auto"/>
              </w:rPr>
            </w:pPr>
          </w:p>
        </w:tc>
      </w:tr>
      <w:tr>
        <w:trPr>
          <w:trHeight w:val="174"/>
        </w:trPr>
        <w:tc>
          <w:tcPr>
            <w:tcW w:w="772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Total liabilities, mezzanine equity and stockholders’ equity (deficit)</w:t>
            </w:r>
          </w:p>
        </w:tc>
        <w:tc>
          <w:tcPr>
            <w:tcW w:w="940" w:type="dxa"/>
            <w:vAlign w:val="bottom"/>
            <w:tcBorders>
              <w:top w:val="single" w:sz="8" w:color="auto"/>
              <w:bottom w:val="single" w:sz="8" w:color="auto"/>
            </w:tcBorders>
            <w:shd w:val="clear" w:color="auto" w:fill="CFF0FC"/>
          </w:tcPr>
          <w:p>
            <w:pPr>
              <w:jc w:val="right"/>
              <w:ind w:right="794"/>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612,344</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13"/>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323,067</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5899150</wp:posOffset>
            </wp:positionH>
            <wp:positionV relativeFrom="paragraph">
              <wp:posOffset>-3881755</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-3881755</wp:posOffset>
            </wp:positionV>
            <wp:extent cx="7493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-3145790</wp:posOffset>
            </wp:positionV>
            <wp:extent cx="673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-3131185</wp:posOffset>
            </wp:positionV>
            <wp:extent cx="6731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-3145790</wp:posOffset>
            </wp:positionV>
            <wp:extent cx="7493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-3131185</wp:posOffset>
            </wp:positionV>
            <wp:extent cx="7493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-1486535</wp:posOffset>
            </wp:positionV>
            <wp:extent cx="6731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-1486535</wp:posOffset>
            </wp:positionV>
            <wp:extent cx="749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-217170</wp:posOffset>
            </wp:positionV>
            <wp:extent cx="673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-217170</wp:posOffset>
            </wp:positionV>
            <wp:extent cx="749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-21590</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-6985</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77" w:name="page78"/>
    <w:bookmarkEnd w:id="77"/>
    <w:p>
      <w:pPr>
        <w:ind w:left="456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66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2"/>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2"/>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Product 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88,568</w:t>
            </w:r>
          </w:p>
        </w:tc>
        <w:tc>
          <w:tcPr>
            <w:tcW w:w="14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79,198</w:t>
            </w:r>
          </w:p>
        </w:tc>
        <w:tc>
          <w:tcPr>
            <w:tcW w:w="260" w:type="dxa"/>
            <w:vAlign w:val="bottom"/>
          </w:tcPr>
          <w:p>
            <w:pPr>
              <w:spacing w:after="0"/>
              <w:rPr>
                <w:sz w:val="16"/>
                <w:szCs w:val="16"/>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72,454</w:t>
            </w: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81,133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25,980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23,712</w:t>
            </w:r>
          </w:p>
        </w:tc>
        <w:tc>
          <w:tcPr>
            <w:tcW w:w="120" w:type="dxa"/>
            <w:vAlign w:val="bottom"/>
            <w:shd w:val="clear" w:color="auto" w:fill="CFF0FC"/>
          </w:tcPr>
          <w:p>
            <w:pPr>
              <w:spacing w:after="0"/>
              <w:rPr>
                <w:sz w:val="16"/>
                <w:szCs w:val="16"/>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Collaboration and other revenue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20" w:type="dxa"/>
            <w:vAlign w:val="bottom"/>
          </w:tcPr>
          <w:p>
            <w:pPr>
              <w:spacing w:after="0"/>
              <w:rPr>
                <w:sz w:val="16"/>
                <w:szCs w:val="16"/>
                <w:color w:val="auto"/>
              </w:rPr>
            </w:pPr>
          </w:p>
        </w:tc>
      </w:tr>
      <w:tr>
        <w:trPr>
          <w:trHeight w:val="181"/>
        </w:trPr>
        <w:tc>
          <w:tcPr>
            <w:tcW w:w="6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174,432</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97,948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product revenue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47,729</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44,942</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52,555</w:t>
            </w:r>
          </w:p>
        </w:tc>
        <w:tc>
          <w:tcPr>
            <w:tcW w:w="120" w:type="dxa"/>
            <w:vAlign w:val="bottom"/>
            <w:shd w:val="clear" w:color="auto" w:fill="CFF0FC"/>
          </w:tcPr>
          <w:p>
            <w:pPr>
              <w:spacing w:after="0"/>
              <w:rPr>
                <w:sz w:val="16"/>
                <w:szCs w:val="16"/>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service revenue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8,342</w:t>
            </w: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collaboration and other revenue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1"/>
        </w:trPr>
        <w:tc>
          <w:tcPr>
            <w:tcW w:w="66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cost of revenue</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90,170</w:t>
            </w:r>
          </w:p>
        </w:tc>
        <w:tc>
          <w:tcPr>
            <w:tcW w:w="1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55,890</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60,897</w:t>
            </w:r>
          </w:p>
        </w:tc>
        <w:tc>
          <w:tcPr>
            <w:tcW w:w="120" w:type="dxa"/>
            <w:vAlign w:val="bottom"/>
            <w:tcBorders>
              <w:top w:val="single" w:sz="8" w:color="CFF0FC"/>
            </w:tcBorders>
          </w:tcPr>
          <w:p>
            <w:pPr>
              <w:spacing w:after="0"/>
              <w:rPr>
                <w:sz w:val="15"/>
                <w:szCs w:val="15"/>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84,262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50,450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37,051</w:t>
            </w:r>
          </w:p>
        </w:tc>
        <w:tc>
          <w:tcPr>
            <w:tcW w:w="120" w:type="dxa"/>
            <w:vAlign w:val="bottom"/>
            <w:shd w:val="clear" w:color="auto" w:fill="CFF0FC"/>
          </w:tcPr>
          <w:p>
            <w:pPr>
              <w:spacing w:after="0"/>
              <w:rPr>
                <w:sz w:val="15"/>
                <w:szCs w:val="15"/>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62,411</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37,382</w:t>
            </w:r>
          </w:p>
        </w:tc>
        <w:tc>
          <w:tcPr>
            <w:tcW w:w="120" w:type="dxa"/>
            <w:vAlign w:val="bottom"/>
            <w:shd w:val="clear" w:color="auto" w:fill="CFF0FC"/>
          </w:tcPr>
          <w:p>
            <w:pPr>
              <w:spacing w:after="0"/>
              <w:rPr>
                <w:sz w:val="16"/>
                <w:szCs w:val="16"/>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156,608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87,541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102,285</w:t>
            </w: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20" w:type="dxa"/>
            <w:vAlign w:val="bottom"/>
            <w:shd w:val="clear" w:color="auto" w:fill="CFF0FC"/>
          </w:tcPr>
          <w:p>
            <w:pPr>
              <w:spacing w:after="0"/>
              <w:rPr>
                <w:sz w:val="16"/>
                <w:szCs w:val="16"/>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tcPr>
          <w:p>
            <w:pPr>
              <w:spacing w:after="0"/>
              <w:rPr>
                <w:sz w:val="16"/>
                <w:szCs w:val="16"/>
                <w:color w:val="auto"/>
              </w:rPr>
            </w:pPr>
          </w:p>
        </w:tc>
      </w:tr>
      <w:tr>
        <w:trPr>
          <w:trHeight w:val="181"/>
        </w:trPr>
        <w:tc>
          <w:tcPr>
            <w:tcW w:w="6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259,498</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127,050</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153,256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1"/>
        </w:trPr>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Pr>
          <w:p>
            <w:pPr>
              <w:spacing w:after="0"/>
              <w:rPr>
                <w:sz w:val="15"/>
                <w:szCs w:val="15"/>
                <w:color w:val="auto"/>
              </w:rPr>
            </w:pPr>
          </w:p>
        </w:tc>
        <w:tc>
          <w:tcPr>
            <w:tcW w:w="11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(175,236 )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(76,600 )</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(116,205 )</w:t>
            </w: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Loss on forward sale of Series B Preferred Stock</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(60,081 )</w:t>
            </w: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Bridge Loans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(13,719 )</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(3,316 )</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(4,567 )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(4,331 )</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(5,172 )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(818 )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(138,312 )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(74,204 )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(192,928 )</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(573 )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(452 )</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tcPr>
          <w:p>
            <w:pPr>
              <w:spacing w:after="0"/>
              <w:rPr>
                <w:sz w:val="16"/>
                <w:szCs w:val="16"/>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(138,885 )</w:t>
            </w:r>
          </w:p>
        </w:tc>
        <w:tc>
          <w:tcPr>
            <w:tcW w:w="46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(74,656 )</w:t>
            </w: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(190,098 )</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Induced conversion of redeemable preferred stock</w:t>
            </w:r>
          </w:p>
        </w:tc>
        <w:tc>
          <w:tcPr>
            <w:tcW w:w="3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(46,014 )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2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(184,899 )</w:t>
            </w:r>
          </w:p>
        </w:tc>
        <w:tc>
          <w:tcPr>
            <w:tcW w:w="46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(74,656 )</w:t>
            </w: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(190,098 )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65"/>
        </w:trPr>
        <w:tc>
          <w:tcPr>
            <w:tcW w:w="6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320" w:type="dxa"/>
            <w:vAlign w:val="bottom"/>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(0.52 )</w:t>
            </w:r>
          </w:p>
        </w:tc>
        <w:tc>
          <w:tcPr>
            <w:tcW w:w="46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line="165" w:lineRule="exact"/>
              <w:rPr>
                <w:sz w:val="20"/>
                <w:szCs w:val="20"/>
                <w:color w:val="auto"/>
              </w:rPr>
            </w:pPr>
            <w:r>
              <w:rPr>
                <w:rFonts w:ascii="Times New Roman" w:cs="Times New Roman" w:eastAsia="Times New Roman" w:hAnsi="Times New Roman"/>
                <w:sz w:val="16"/>
                <w:szCs w:val="16"/>
                <w:color w:val="auto"/>
              </w:rPr>
              <w:t>(0.94 )</w:t>
            </w:r>
          </w:p>
        </w:tc>
        <w:tc>
          <w:tcPr>
            <w:tcW w:w="300" w:type="dxa"/>
            <w:vAlign w:val="bottom"/>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(2.43 )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664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Shares used in computing net loss per share attributable to common stockholders, basic and diluted</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353,245</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79,160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78,305</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-3251200</wp:posOffset>
            </wp:positionV>
            <wp:extent cx="7493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-3251200</wp:posOffset>
            </wp:positionV>
            <wp:extent cx="673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-3251200</wp:posOffset>
            </wp:positionV>
            <wp:extent cx="673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-2762885</wp:posOffset>
            </wp:positionV>
            <wp:extent cx="7493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-2762885</wp:posOffset>
            </wp:positionV>
            <wp:extent cx="673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-2762885</wp:posOffset>
            </wp:positionV>
            <wp:extent cx="673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-1779270</wp:posOffset>
            </wp:positionV>
            <wp:extent cx="7493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-1779270</wp:posOffset>
            </wp:positionV>
            <wp:extent cx="673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-1779270</wp:posOffset>
            </wp:positionV>
            <wp:extent cx="673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-307340</wp:posOffset>
            </wp:positionV>
            <wp:extent cx="749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-292100</wp:posOffset>
            </wp:positionV>
            <wp:extent cx="749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-307340</wp:posOffset>
            </wp:positionV>
            <wp:extent cx="673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-292100</wp:posOffset>
            </wp:positionV>
            <wp:extent cx="673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-307340</wp:posOffset>
            </wp:positionV>
            <wp:extent cx="6731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-292100</wp:posOffset>
            </wp:positionV>
            <wp:extent cx="673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-21590</wp:posOffset>
            </wp:positionV>
            <wp:extent cx="749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-6985</wp:posOffset>
            </wp:positionV>
            <wp:extent cx="749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-21590</wp:posOffset>
            </wp:positionV>
            <wp:extent cx="673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-6985</wp:posOffset>
            </wp:positionV>
            <wp:extent cx="673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66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(138,885 )</w:t>
            </w:r>
          </w:p>
        </w:tc>
        <w:tc>
          <w:tcPr>
            <w:tcW w:w="46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(74,656 )</w:t>
            </w: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(190,098 )</w:t>
            </w: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3,351</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(849 )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(487 )</w:t>
            </w: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change in unrealized gain (loss) on investments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(502 )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3,446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(325 )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(989 )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1"/>
        </w:trPr>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Comprehensive loss</w:t>
            </w:r>
          </w:p>
        </w:tc>
        <w:tc>
          <w:tcPr>
            <w:tcW w:w="32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(135,439 )</w:t>
            </w:r>
          </w:p>
        </w:tc>
        <w:tc>
          <w:tcPr>
            <w:tcW w:w="46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(74,981 )</w:t>
            </w:r>
          </w:p>
        </w:tc>
        <w:tc>
          <w:tcPr>
            <w:tcW w:w="30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(191,087 )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 (DEFICIT)</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162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1"/>
                <w:szCs w:val="11"/>
                <w:b w:val="1"/>
                <w:bCs w:val="1"/>
                <w:color w:val="auto"/>
              </w:rPr>
              <w:t>Accum.</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24"/>
        </w:trPr>
        <w:tc>
          <w:tcPr>
            <w:tcW w:w="386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8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800" w:type="dxa"/>
            <w:vAlign w:val="bottom"/>
            <w:gridSpan w:val="2"/>
          </w:tcPr>
          <w:p>
            <w:pPr>
              <w:jc w:val="right"/>
              <w:ind w:right="380"/>
              <w:spacing w:after="0" w:line="124" w:lineRule="exact"/>
              <w:rPr>
                <w:sz w:val="20"/>
                <w:szCs w:val="20"/>
                <w:color w:val="auto"/>
              </w:rPr>
            </w:pPr>
            <w:r>
              <w:rPr>
                <w:rFonts w:ascii="Times New Roman" w:cs="Times New Roman" w:eastAsia="Times New Roman" w:hAnsi="Times New Roman"/>
                <w:sz w:val="11"/>
                <w:szCs w:val="11"/>
                <w:b w:val="1"/>
                <w:bCs w:val="1"/>
                <w:color w:val="auto"/>
              </w:rPr>
              <w:t>Accum.</w:t>
            </w:r>
          </w:p>
        </w:tc>
        <w:tc>
          <w:tcPr>
            <w:tcW w:w="18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92"/>
        </w:trPr>
        <w:tc>
          <w:tcPr>
            <w:tcW w:w="38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ind w:right="360"/>
              <w:spacing w:after="0" w:line="92" w:lineRule="exact"/>
              <w:rPr>
                <w:sz w:val="20"/>
                <w:szCs w:val="20"/>
                <w:color w:val="auto"/>
              </w:rPr>
            </w:pPr>
            <w:r>
              <w:rPr>
                <w:rFonts w:ascii="Times New Roman" w:cs="Times New Roman" w:eastAsia="Times New Roman" w:hAnsi="Times New Roman"/>
                <w:sz w:val="10"/>
                <w:szCs w:val="10"/>
                <w:b w:val="1"/>
                <w:bCs w:val="1"/>
                <w:color w:val="auto"/>
              </w:rPr>
              <w:t>Comp.</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1"/>
                <w:szCs w:val="11"/>
                <w:color w:val="auto"/>
              </w:rPr>
            </w:pPr>
          </w:p>
        </w:tc>
        <w:tc>
          <w:tcPr>
            <w:tcW w:w="7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Balance as of December 31, 2021</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76,919</w:t>
            </w:r>
          </w:p>
        </w:tc>
        <w:tc>
          <w:tcPr>
            <w:tcW w:w="340" w:type="dxa"/>
            <w:vAlign w:val="bottom"/>
            <w:gridSpan w:val="2"/>
            <w:shd w:val="clear" w:color="auto" w:fill="CFF0FC"/>
          </w:tcPr>
          <w:p>
            <w:pPr>
              <w:jc w:val="right"/>
              <w:ind w:right="7"/>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77</w:t>
            </w:r>
          </w:p>
        </w:tc>
        <w:tc>
          <w:tcPr>
            <w:tcW w:w="3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831,424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(907 )</w:t>
            </w: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(735,998 )</w:t>
            </w:r>
          </w:p>
        </w:tc>
        <w:tc>
          <w:tcPr>
            <w:tcW w:w="9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94,596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86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Issuance of restricted stock, net of shares withheld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(213 )</w:t>
            </w:r>
          </w:p>
        </w:tc>
        <w:tc>
          <w:tcPr>
            <w:tcW w:w="12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(211 )</w:t>
            </w:r>
          </w:p>
        </w:tc>
        <w:tc>
          <w:tcPr>
            <w:tcW w:w="0" w:type="dxa"/>
            <w:vAlign w:val="bottom"/>
          </w:tcPr>
          <w:p>
            <w:pPr>
              <w:spacing w:after="0"/>
              <w:rPr>
                <w:sz w:val="1"/>
                <w:szCs w:val="1"/>
                <w:color w:val="auto"/>
              </w:rPr>
            </w:pPr>
          </w:p>
        </w:tc>
      </w:tr>
      <w:tr>
        <w:trPr>
          <w:trHeight w:val="150"/>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 taxes, and other</w:t>
            </w: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7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583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819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820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14,880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14,880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Repurchase of common stock</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(422 )</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(563 )</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(563 )</w:t>
            </w:r>
          </w:p>
        </w:tc>
        <w:tc>
          <w:tcPr>
            <w:tcW w:w="0" w:type="dxa"/>
            <w:vAlign w:val="bottom"/>
          </w:tcPr>
          <w:p>
            <w:pPr>
              <w:spacing w:after="0"/>
              <w:rPr>
                <w:sz w:val="1"/>
                <w:szCs w:val="1"/>
                <w:color w:val="auto"/>
              </w:rPr>
            </w:pPr>
          </w:p>
        </w:tc>
      </w:tr>
      <w:tr>
        <w:trPr>
          <w:trHeight w:val="130"/>
        </w:trPr>
        <w:tc>
          <w:tcPr>
            <w:tcW w:w="38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(190,098 )</w:t>
            </w:r>
          </w:p>
        </w:tc>
        <w:tc>
          <w:tcPr>
            <w:tcW w:w="9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(190,098 )</w:t>
            </w:r>
          </w:p>
        </w:tc>
        <w:tc>
          <w:tcPr>
            <w:tcW w:w="0" w:type="dxa"/>
            <w:vAlign w:val="bottom"/>
          </w:tcPr>
          <w:p>
            <w:pPr>
              <w:spacing w:after="0"/>
              <w:rPr>
                <w:sz w:val="1"/>
                <w:szCs w:val="1"/>
                <w:color w:val="auto"/>
              </w:rPr>
            </w:pPr>
          </w:p>
        </w:tc>
      </w:tr>
      <w:tr>
        <w:trPr>
          <w:trHeight w:val="130"/>
        </w:trPr>
        <w:tc>
          <w:tcPr>
            <w:tcW w:w="38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Other comprehensive loss, net of tax</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(989 )</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(989 )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Balance as of December 31, 2022</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79,904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7"/>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847,008</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(1,896 )</w:t>
            </w: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(926,096 )</w:t>
            </w:r>
          </w:p>
        </w:tc>
        <w:tc>
          <w:tcPr>
            <w:tcW w:w="9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(422 )</w:t>
            </w: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(563 )</w:t>
            </w: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3"/>
                <w:szCs w:val="13"/>
                <w:color w:val="auto"/>
              </w:rPr>
              <w:t>(81,467 )</w:t>
            </w:r>
          </w:p>
        </w:tc>
        <w:tc>
          <w:tcPr>
            <w:tcW w:w="0" w:type="dxa"/>
            <w:vAlign w:val="bottom"/>
          </w:tcPr>
          <w:p>
            <w:pPr>
              <w:spacing w:after="0"/>
              <w:rPr>
                <w:sz w:val="1"/>
                <w:szCs w:val="1"/>
                <w:color w:val="auto"/>
              </w:rPr>
            </w:pPr>
          </w:p>
        </w:tc>
      </w:tr>
      <w:tr>
        <w:trPr>
          <w:trHeight w:val="110"/>
        </w:trPr>
        <w:tc>
          <w:tcPr>
            <w:tcW w:w="3860" w:type="dxa"/>
            <w:vAlign w:val="bottom"/>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Issuance of restricted stock, net of shares withheld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(119 )</w:t>
            </w:r>
          </w:p>
        </w:tc>
        <w:tc>
          <w:tcPr>
            <w:tcW w:w="12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(116 )</w:t>
            </w:r>
          </w:p>
        </w:tc>
        <w:tc>
          <w:tcPr>
            <w:tcW w:w="0" w:type="dxa"/>
            <w:vAlign w:val="bottom"/>
          </w:tcPr>
          <w:p>
            <w:pPr>
              <w:spacing w:after="0"/>
              <w:rPr>
                <w:sz w:val="1"/>
                <w:szCs w:val="1"/>
                <w:color w:val="auto"/>
              </w:rPr>
            </w:pPr>
          </w:p>
        </w:tc>
      </w:tr>
      <w:tr>
        <w:trPr>
          <w:trHeight w:val="150"/>
        </w:trPr>
        <w:tc>
          <w:tcPr>
            <w:tcW w:w="38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 taxes, and other</w:t>
            </w: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8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723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13,123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13,123</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Repurchase of common stock</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(2,710 )</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(5,414 )</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(5,414 )</w:t>
            </w:r>
          </w:p>
        </w:tc>
        <w:tc>
          <w:tcPr>
            <w:tcW w:w="0" w:type="dxa"/>
            <w:vAlign w:val="bottom"/>
          </w:tcPr>
          <w:p>
            <w:pPr>
              <w:spacing w:after="0"/>
              <w:rPr>
                <w:sz w:val="1"/>
                <w:szCs w:val="1"/>
                <w:color w:val="auto"/>
              </w:rPr>
            </w:pPr>
          </w:p>
        </w:tc>
      </w:tr>
      <w:tr>
        <w:trPr>
          <w:trHeight w:val="130"/>
        </w:trPr>
        <w:tc>
          <w:tcPr>
            <w:tcW w:w="386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Net loss</w:t>
            </w:r>
          </w:p>
        </w:tc>
        <w:tc>
          <w:tcPr>
            <w:tcW w:w="7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(74,656 )</w:t>
            </w:r>
          </w:p>
        </w:tc>
        <w:tc>
          <w:tcPr>
            <w:tcW w:w="9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(74,656 )</w:t>
            </w:r>
          </w:p>
        </w:tc>
        <w:tc>
          <w:tcPr>
            <w:tcW w:w="0" w:type="dxa"/>
            <w:vAlign w:val="bottom"/>
          </w:tcPr>
          <w:p>
            <w:pPr>
              <w:spacing w:after="0"/>
              <w:rPr>
                <w:sz w:val="1"/>
                <w:szCs w:val="1"/>
                <w:color w:val="auto"/>
              </w:rPr>
            </w:pPr>
          </w:p>
        </w:tc>
      </w:tr>
      <w:tr>
        <w:trPr>
          <w:trHeight w:val="130"/>
        </w:trPr>
        <w:tc>
          <w:tcPr>
            <w:tcW w:w="38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Other comprehensive loss, net of tax</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(325 )</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3"/>
                <w:szCs w:val="13"/>
                <w:color w:val="auto"/>
              </w:rPr>
              <w:t>(325 )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Balance as of December 31, 2023</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83,364</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7"/>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860,816</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(2,221 )</w:t>
            </w: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w w:val="96"/>
              </w:rPr>
              <w:t>(1,000,752 )</w:t>
            </w:r>
          </w:p>
        </w:tc>
        <w:tc>
          <w:tcPr>
            <w:tcW w:w="9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(3,132 )</w:t>
            </w:r>
          </w:p>
        </w:tc>
        <w:tc>
          <w:tcPr>
            <w:tcW w:w="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(5,977 )</w:t>
            </w: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3"/>
                <w:szCs w:val="13"/>
                <w:color w:val="auto"/>
              </w:rPr>
              <w:t>(148,051 )</w:t>
            </w:r>
          </w:p>
        </w:tc>
        <w:tc>
          <w:tcPr>
            <w:tcW w:w="0" w:type="dxa"/>
            <w:vAlign w:val="bottom"/>
          </w:tcPr>
          <w:p>
            <w:pPr>
              <w:spacing w:after="0"/>
              <w:rPr>
                <w:sz w:val="1"/>
                <w:szCs w:val="1"/>
                <w:color w:val="auto"/>
              </w:rPr>
            </w:pPr>
          </w:p>
        </w:tc>
      </w:tr>
      <w:tr>
        <w:trPr>
          <w:trHeight w:val="164"/>
        </w:trPr>
        <w:tc>
          <w:tcPr>
            <w:tcW w:w="3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Conversion of redeemable preferred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92,931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357,174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(46,014 )</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311,253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3860" w:type="dxa"/>
            <w:vAlign w:val="bottom"/>
            <w:shd w:val="clear" w:color="auto" w:fill="CFF0FC"/>
          </w:tcPr>
          <w:p>
            <w:pPr>
              <w:ind w:left="160"/>
              <w:spacing w:after="0" w:line="110" w:lineRule="exact"/>
              <w:rPr>
                <w:sz w:val="20"/>
                <w:szCs w:val="20"/>
                <w:color w:val="auto"/>
              </w:rPr>
            </w:pPr>
            <w:r>
              <w:rPr>
                <w:rFonts w:ascii="Times New Roman" w:cs="Times New Roman" w:eastAsia="Times New Roman" w:hAnsi="Times New Roman"/>
                <w:sz w:val="12"/>
                <w:szCs w:val="12"/>
                <w:color w:val="auto"/>
              </w:rPr>
              <w:t>Issuance of restricted stock, net of shares withheld</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5,519</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(464 )</w:t>
            </w:r>
          </w:p>
        </w:tc>
        <w:tc>
          <w:tcPr>
            <w:tcW w:w="12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(459 )</w:t>
            </w:r>
          </w:p>
        </w:tc>
        <w:tc>
          <w:tcPr>
            <w:tcW w:w="0" w:type="dxa"/>
            <w:vAlign w:val="bottom"/>
          </w:tcPr>
          <w:p>
            <w:pPr>
              <w:spacing w:after="0"/>
              <w:rPr>
                <w:sz w:val="1"/>
                <w:szCs w:val="1"/>
                <w:color w:val="auto"/>
              </w:rPr>
            </w:pPr>
          </w:p>
        </w:tc>
      </w:tr>
      <w:tr>
        <w:trPr>
          <w:trHeight w:val="150"/>
        </w:trPr>
        <w:tc>
          <w:tcPr>
            <w:tcW w:w="3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for taxes, and other</w:t>
            </w:r>
          </w:p>
        </w:tc>
        <w:tc>
          <w:tcPr>
            <w:tcW w:w="70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31,732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31,732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(15,448 )</w:t>
            </w: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(40,490 )</w:t>
            </w:r>
          </w:p>
        </w:tc>
        <w:tc>
          <w:tcPr>
            <w:tcW w:w="8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(40,490 )</w:t>
            </w:r>
          </w:p>
        </w:tc>
        <w:tc>
          <w:tcPr>
            <w:tcW w:w="0" w:type="dxa"/>
            <w:vAlign w:val="bottom"/>
          </w:tcPr>
          <w:p>
            <w:pPr>
              <w:spacing w:after="0"/>
              <w:rPr>
                <w:sz w:val="1"/>
                <w:szCs w:val="1"/>
                <w:color w:val="auto"/>
              </w:rPr>
            </w:pPr>
          </w:p>
        </w:tc>
      </w:tr>
      <w:tr>
        <w:trPr>
          <w:trHeight w:val="164"/>
        </w:trPr>
        <w:tc>
          <w:tcPr>
            <w:tcW w:w="3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relinquished in litigation settlement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Common stock issued as consideration in business combinations </w:t>
            </w:r>
            <w:r>
              <w:rPr>
                <w:rFonts w:ascii="Times New Roman" w:cs="Times New Roman" w:eastAsia="Times New Roman" w:hAnsi="Times New Roman"/>
                <w:sz w:val="19"/>
                <w:szCs w:val="19"/>
                <w:color w:val="auto"/>
                <w:vertAlign w:val="superscript"/>
              </w:rPr>
              <w:t>(1)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213,205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449,884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8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(138,885 )</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(138,885 )</w:t>
            </w:r>
          </w:p>
        </w:tc>
        <w:tc>
          <w:tcPr>
            <w:tcW w:w="0" w:type="dxa"/>
            <w:vAlign w:val="bottom"/>
          </w:tcPr>
          <w:p>
            <w:pPr>
              <w:spacing w:after="0"/>
              <w:rPr>
                <w:sz w:val="1"/>
                <w:szCs w:val="1"/>
                <w:color w:val="auto"/>
              </w:rPr>
            </w:pPr>
          </w:p>
        </w:tc>
      </w:tr>
      <w:tr>
        <w:trPr>
          <w:trHeight w:val="25"/>
        </w:trPr>
        <w:tc>
          <w:tcPr>
            <w:tcW w:w="38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396,110</w:t>
            </w:r>
          </w:p>
        </w:tc>
        <w:tc>
          <w:tcPr>
            <w:tcW w:w="340" w:type="dxa"/>
            <w:vAlign w:val="bottom"/>
            <w:gridSpan w:val="2"/>
          </w:tcPr>
          <w:p>
            <w:pPr>
              <w:jc w:val="right"/>
              <w:ind w:right="7"/>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396</w:t>
            </w:r>
          </w:p>
        </w:tc>
        <w:tc>
          <w:tcPr>
            <w:tcW w:w="3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1,702,219</w:t>
            </w:r>
          </w:p>
        </w:tc>
        <w:tc>
          <w:tcPr>
            <w:tcW w:w="22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1,225</w:t>
            </w:r>
          </w:p>
        </w:tc>
        <w:tc>
          <w:tcPr>
            <w:tcW w:w="22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w w:val="96"/>
              </w:rPr>
              <w:t>(1,185,651 )</w:t>
            </w:r>
          </w:p>
        </w:tc>
        <w:tc>
          <w:tcPr>
            <w:tcW w:w="9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(18,580 )</w:t>
            </w: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3"/>
                <w:szCs w:val="13"/>
                <w:color w:val="auto"/>
              </w:rPr>
              <w:t>(46,467 )</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471,722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-111760</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-111760</wp:posOffset>
            </wp:positionV>
            <wp:extent cx="673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-111760</wp:posOffset>
            </wp:positionV>
            <wp:extent cx="673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4652645</wp:posOffset>
            </wp:positionH>
            <wp:positionV relativeFrom="paragraph">
              <wp:posOffset>-111760</wp:posOffset>
            </wp:positionV>
            <wp:extent cx="673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-111760</wp:posOffset>
            </wp:positionV>
            <wp:extent cx="673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-111760</wp:posOffset>
            </wp:positionV>
            <wp:extent cx="673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-111760</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-111760</wp:posOffset>
            </wp:positionV>
            <wp:extent cx="7493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 xml:space="preserve">(1) Merger (as defined below) consideration included 26,367 shares of common stock that were issued to a related party. See Note 18, </w:t>
      </w:r>
      <w:r>
        <w:rPr>
          <w:rFonts w:ascii="Times New Roman" w:cs="Times New Roman" w:eastAsia="Times New Roman" w:hAnsi="Times New Roman"/>
          <w:sz w:val="13"/>
          <w:szCs w:val="13"/>
          <w:i w:val="1"/>
          <w:iCs w:val="1"/>
          <w:color w:val="auto"/>
        </w:rPr>
        <w:t>Related Parties</w:t>
      </w:r>
      <w:r>
        <w:rPr>
          <w:rFonts w:ascii="Times New Roman" w:cs="Times New Roman" w:eastAsia="Times New Roman" w:hAnsi="Times New Roman"/>
          <w:sz w:val="13"/>
          <w:szCs w:val="13"/>
          <w:color w:val="auto"/>
        </w:rPr>
        <w:t>.</w:t>
      </w:r>
    </w:p>
    <w:p>
      <w:pPr>
        <w:spacing w:after="0" w:line="1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STANDARD BIOTOOLS INC.</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tbl>
      <w:tblPr>
        <w:tblLayout w:type="fixed"/>
        <w:tblInd w:w="0" w:type="dxa"/>
        <w:tblCellMar>
          <w:top w:w="0" w:type="dxa"/>
          <w:left w:w="0" w:type="dxa"/>
          <w:bottom w:w="0" w:type="dxa"/>
          <w:right w:w="0" w:type="dxa"/>
        </w:tblCellMar>
      </w:tblPr>
      <w:tr>
        <w:trPr>
          <w:trHeight w:val="136"/>
        </w:trPr>
        <w:tc>
          <w:tcPr>
            <w:tcW w:w="66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220"/>
              <w:spacing w:after="0" w:line="136" w:lineRule="exact"/>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662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7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53"/>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34"/>
        </w:trPr>
        <w:tc>
          <w:tcPr>
            <w:tcW w:w="6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jc w:val="right"/>
              <w:ind w:right="694"/>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(138,885 )</w:t>
            </w:r>
          </w:p>
        </w:tc>
        <w:tc>
          <w:tcPr>
            <w:tcW w:w="46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(74,656 )</w:t>
            </w:r>
          </w:p>
        </w:tc>
        <w:tc>
          <w:tcPr>
            <w:tcW w:w="3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(190,098 )</w:t>
            </w: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Bargain purchase gain</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(25,213 )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Loss on forward sale of Series B Preferred Stock</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60,081</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Loss on Bridge Loans</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13,719</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31,732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13,123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14,880</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Amortization of acquired intangible assets</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11,200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11,528</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12,515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3,980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3,499</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Accretion of discount on short-term investments, net</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(7,435 )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(1,261 )</w:t>
            </w: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(674 )</w:t>
            </w: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Non-cash lease expense</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5,766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3,864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3,561</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Provision for excess and obsolete inventory</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1,496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7,874</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Change in fair value of warrants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(632 )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Impairment of InstruNor developed technology intangible</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3,526</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Other non-cash items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939</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1,329</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Changes in assets and liabilities: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Accounts receivable, net</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8,967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(2,991 )</w:t>
            </w: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1,063</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Inventory</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(9,879 )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(4,914 )</w:t>
            </w: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(8,470 )</w:t>
            </w: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(1,935 )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960</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(12,975 )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1,618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(2,776 )</w:t>
            </w: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Accrued liabilities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6,183</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4,113</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Deferred revenue</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(4,143 )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884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(3,467 )</w:t>
            </w:r>
          </w:p>
        </w:tc>
      </w:tr>
      <w:tr>
        <w:trPr>
          <w:trHeight w:val="142"/>
        </w:trPr>
        <w:tc>
          <w:tcPr>
            <w:tcW w:w="6620" w:type="dxa"/>
            <w:vAlign w:val="bottom"/>
            <w:shd w:val="clear" w:color="auto" w:fill="CFF0FC"/>
          </w:tcPr>
          <w:p>
            <w:pPr>
              <w:ind w:left="160"/>
              <w:spacing w:after="0" w:line="142" w:lineRule="exact"/>
              <w:rPr>
                <w:sz w:val="20"/>
                <w:szCs w:val="20"/>
                <w:color w:val="auto"/>
              </w:rPr>
            </w:pPr>
            <w:r>
              <w:rPr>
                <w:rFonts w:ascii="Times New Roman" w:cs="Times New Roman" w:eastAsia="Times New Roman" w:hAnsi="Times New Roman"/>
                <w:sz w:val="13"/>
                <w:szCs w:val="13"/>
                <w:color w:val="auto"/>
              </w:rPr>
              <w:t>Operating lease liabilities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(5,863 )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(3,759 )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(3,113 )</w:t>
            </w:r>
          </w:p>
        </w:tc>
      </w:tr>
      <w:tr>
        <w:trPr>
          <w:trHeight w:val="142"/>
        </w:trPr>
        <w:tc>
          <w:tcPr>
            <w:tcW w:w="6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Other liabilities</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(4,184 )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(5,978 )</w:t>
            </w:r>
          </w:p>
        </w:tc>
      </w:tr>
      <w:tr>
        <w:trPr>
          <w:trHeight w:val="20"/>
        </w:trPr>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4"/>
        </w:trPr>
        <w:tc>
          <w:tcPr>
            <w:tcW w:w="6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(143,454 )</w:t>
            </w: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80"/>
              <w:spacing w:after="0" w:line="134" w:lineRule="exact"/>
              <w:rPr>
                <w:sz w:val="20"/>
                <w:szCs w:val="20"/>
                <w:color w:val="auto"/>
              </w:rPr>
            </w:pPr>
            <w:r>
              <w:rPr>
                <w:rFonts w:ascii="Times New Roman" w:cs="Times New Roman" w:eastAsia="Times New Roman" w:hAnsi="Times New Roman"/>
                <w:sz w:val="13"/>
                <w:szCs w:val="13"/>
                <w:color w:val="auto"/>
              </w:rPr>
              <w:t>(43,287 )</w:t>
            </w:r>
          </w:p>
        </w:tc>
        <w:tc>
          <w:tcPr>
            <w:tcW w:w="3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(89,370 )</w:t>
            </w:r>
          </w:p>
        </w:tc>
      </w:tr>
      <w:tr>
        <w:trPr>
          <w:trHeight w:val="134"/>
        </w:trPr>
        <w:tc>
          <w:tcPr>
            <w:tcW w:w="6620" w:type="dxa"/>
            <w:vAlign w:val="bottom"/>
            <w:tcBorders>
              <w:top w:val="single" w:sz="8" w:color="CFF0FC"/>
            </w:tcBorders>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8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and restricted cash acquired in the Merger</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280,033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(1,385 )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Purchases of short-term investments</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(256,119 )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(94,896 )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(137,302 )</w:t>
            </w: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Proceeds from sales and maturities of investments</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349,000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117,964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53,000</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(8,355 )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(2,831 )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(3,825 )</w:t>
            </w:r>
          </w:p>
        </w:tc>
      </w:tr>
      <w:tr>
        <w:trPr>
          <w:trHeight w:val="20"/>
        </w:trPr>
        <w:tc>
          <w:tcPr>
            <w:tcW w:w="66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4"/>
        </w:trPr>
        <w:tc>
          <w:tcPr>
            <w:tcW w:w="66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84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363,174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20,237</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(88,127 )</w:t>
            </w:r>
          </w:p>
        </w:tc>
      </w:tr>
      <w:tr>
        <w:trPr>
          <w:trHeight w:val="134"/>
        </w:trPr>
        <w:tc>
          <w:tcPr>
            <w:tcW w:w="6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84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Proceeds from Bridge Loans</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25,000</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Proceeds from issuance of Series B Preferred Stock</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225,000</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Repayment of term loan and convertible notes</w:t>
            </w:r>
          </w:p>
        </w:tc>
        <w:tc>
          <w:tcPr>
            <w:tcW w:w="840" w:type="dxa"/>
            <w:vAlign w:val="bottom"/>
          </w:tcPr>
          <w:p>
            <w:pPr>
              <w:spacing w:after="0"/>
              <w:rPr>
                <w:sz w:val="12"/>
                <w:szCs w:val="12"/>
                <w:color w:val="auto"/>
              </w:rPr>
            </w:pP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(63,192 )</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(2,083 )</w:t>
            </w: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(6,838 )</w:t>
            </w: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Payment of term loan fee</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(545 )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Payment of debt and equity issuance costs</w:t>
            </w:r>
          </w:p>
        </w:tc>
        <w:tc>
          <w:tcPr>
            <w:tcW w:w="84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(12,547 )</w:t>
            </w: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Repurchase of common stock</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(40,490 )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(5,414 )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(563 )</w:t>
            </w: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Proceeds from ESPP stock issuance</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723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820</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Payments for taxes related to net share settlement of equity awards and other</w:t>
            </w:r>
          </w:p>
        </w:tc>
        <w:tc>
          <w:tcPr>
            <w:tcW w:w="8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(459 )</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(139 )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(211 )</w:t>
            </w: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1,152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2"/>
                <w:szCs w:val="12"/>
                <w:color w:val="auto"/>
              </w:rPr>
            </w:pPr>
          </w:p>
        </w:tc>
      </w:tr>
      <w:tr>
        <w:trPr>
          <w:trHeight w:val="134"/>
        </w:trPr>
        <w:tc>
          <w:tcPr>
            <w:tcW w:w="6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4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(102,616 )</w:t>
            </w: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80"/>
              <w:spacing w:after="0" w:line="134" w:lineRule="exact"/>
              <w:rPr>
                <w:sz w:val="20"/>
                <w:szCs w:val="20"/>
                <w:color w:val="auto"/>
              </w:rPr>
            </w:pPr>
            <w:r>
              <w:rPr>
                <w:rFonts w:ascii="Times New Roman" w:cs="Times New Roman" w:eastAsia="Times New Roman" w:hAnsi="Times New Roman"/>
                <w:sz w:val="13"/>
                <w:szCs w:val="13"/>
                <w:color w:val="auto"/>
              </w:rPr>
              <w:t>(6,809 )</w:t>
            </w:r>
          </w:p>
        </w:tc>
        <w:tc>
          <w:tcPr>
            <w:tcW w:w="3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230,758</w:t>
            </w:r>
          </w:p>
        </w:tc>
        <w:tc>
          <w:tcPr>
            <w:tcW w:w="120" w:type="dxa"/>
            <w:vAlign w:val="bottom"/>
            <w:shd w:val="clear" w:color="auto" w:fill="CFF0FC"/>
          </w:tcPr>
          <w:p>
            <w:pPr>
              <w:spacing w:after="0"/>
              <w:rPr>
                <w:sz w:val="11"/>
                <w:szCs w:val="1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4"/>
        </w:trPr>
        <w:tc>
          <w:tcPr>
            <w:tcW w:w="66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Effect of foreign exchange rate fluctuations on cash and cash equivalents</w:t>
            </w:r>
          </w:p>
        </w:tc>
        <w:tc>
          <w:tcPr>
            <w:tcW w:w="840" w:type="dxa"/>
            <w:vAlign w:val="bottom"/>
          </w:tcPr>
          <w:p>
            <w:pPr>
              <w:spacing w:after="0"/>
              <w:rPr>
                <w:sz w:val="11"/>
                <w:szCs w:val="11"/>
                <w:color w:val="auto"/>
              </w:rPr>
            </w:pPr>
          </w:p>
        </w:tc>
        <w:tc>
          <w:tcPr>
            <w:tcW w:w="64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(785 )</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34</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34" w:lineRule="exact"/>
              <w:rPr>
                <w:sz w:val="20"/>
                <w:szCs w:val="20"/>
                <w:color w:val="auto"/>
              </w:rPr>
            </w:pPr>
            <w:r>
              <w:rPr>
                <w:rFonts w:ascii="Times New Roman" w:cs="Times New Roman" w:eastAsia="Times New Roman" w:hAnsi="Times New Roman"/>
                <w:sz w:val="13"/>
                <w:szCs w:val="13"/>
                <w:color w:val="auto"/>
              </w:rPr>
              <w:t>(404 )</w:t>
            </w:r>
          </w:p>
        </w:tc>
      </w:tr>
      <w:tr>
        <w:trPr>
          <w:trHeight w:val="20"/>
        </w:trPr>
        <w:tc>
          <w:tcPr>
            <w:tcW w:w="6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4"/>
        </w:trPr>
        <w:tc>
          <w:tcPr>
            <w:tcW w:w="6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8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116,319</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80"/>
              <w:spacing w:after="0" w:line="134" w:lineRule="exact"/>
              <w:rPr>
                <w:sz w:val="20"/>
                <w:szCs w:val="20"/>
                <w:color w:val="auto"/>
              </w:rPr>
            </w:pPr>
            <w:r>
              <w:rPr>
                <w:rFonts w:ascii="Times New Roman" w:cs="Times New Roman" w:eastAsia="Times New Roman" w:hAnsi="Times New Roman"/>
                <w:sz w:val="13"/>
                <w:szCs w:val="13"/>
                <w:color w:val="auto"/>
              </w:rPr>
              <w:t>(29,825 )</w:t>
            </w:r>
          </w:p>
        </w:tc>
        <w:tc>
          <w:tcPr>
            <w:tcW w:w="32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52,857</w:t>
            </w:r>
          </w:p>
        </w:tc>
        <w:tc>
          <w:tcPr>
            <w:tcW w:w="120" w:type="dxa"/>
            <w:vAlign w:val="bottom"/>
            <w:shd w:val="clear" w:color="auto" w:fill="CFF0FC"/>
          </w:tcPr>
          <w:p>
            <w:pPr>
              <w:spacing w:after="0"/>
              <w:rPr>
                <w:sz w:val="11"/>
                <w:szCs w:val="1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52,499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82,324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29,467</w:t>
            </w:r>
          </w:p>
        </w:tc>
        <w:tc>
          <w:tcPr>
            <w:tcW w:w="120" w:type="dxa"/>
            <w:vAlign w:val="bottom"/>
          </w:tcPr>
          <w:p>
            <w:pPr>
              <w:spacing w:after="0"/>
              <w:rPr>
                <w:sz w:val="12"/>
                <w:szCs w:val="12"/>
                <w:color w:val="auto"/>
              </w:rPr>
            </w:pPr>
          </w:p>
        </w:tc>
      </w:tr>
      <w:tr>
        <w:trPr>
          <w:trHeight w:val="174"/>
        </w:trPr>
        <w:tc>
          <w:tcPr>
            <w:tcW w:w="662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840" w:type="dxa"/>
            <w:vAlign w:val="bottom"/>
            <w:shd w:val="clear" w:color="auto" w:fill="CFF0FC"/>
          </w:tcPr>
          <w:p>
            <w:pPr>
              <w:jc w:val="right"/>
              <w:ind w:right="694"/>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168,818</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52,499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82,324</w:t>
            </w:r>
          </w:p>
        </w:tc>
        <w:tc>
          <w:tcPr>
            <w:tcW w:w="120" w:type="dxa"/>
            <w:vAlign w:val="bottom"/>
            <w:shd w:val="clear" w:color="auto" w:fill="CFF0FC"/>
          </w:tcPr>
          <w:p>
            <w:pPr>
              <w:spacing w:after="0"/>
              <w:rPr>
                <w:sz w:val="15"/>
                <w:szCs w:val="15"/>
                <w:color w:val="auto"/>
              </w:rPr>
            </w:pPr>
          </w:p>
        </w:tc>
      </w:tr>
      <w:tr>
        <w:trPr>
          <w:trHeight w:val="117"/>
        </w:trPr>
        <w:tc>
          <w:tcPr>
            <w:tcW w:w="662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r>
        <w:trPr>
          <w:trHeight w:val="177"/>
        </w:trPr>
        <w:tc>
          <w:tcPr>
            <w:tcW w:w="66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3"/>
                <w:szCs w:val="13"/>
                <w:color w:val="auto"/>
              </w:rPr>
              <w:t xml:space="preserve">Equity consideration transferred in connection with business combinations </w:t>
            </w:r>
            <w:r>
              <w:rPr>
                <w:rFonts w:ascii="Times New Roman" w:cs="Times New Roman" w:eastAsia="Times New Roman" w:hAnsi="Times New Roman"/>
                <w:sz w:val="19"/>
                <w:szCs w:val="19"/>
                <w:color w:val="auto"/>
                <w:vertAlign w:val="superscript"/>
              </w:rPr>
              <w:t>(1)</w:t>
            </w:r>
          </w:p>
        </w:tc>
        <w:tc>
          <w:tcPr>
            <w:tcW w:w="840" w:type="dxa"/>
            <w:vAlign w:val="bottom"/>
            <w:shd w:val="clear" w:color="auto" w:fill="CFF0FC"/>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450,097</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paid for interest</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3,819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3,493</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paid for income taxes, net of refunds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801</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309</w:t>
            </w:r>
          </w:p>
        </w:tc>
        <w:tc>
          <w:tcPr>
            <w:tcW w:w="120" w:type="dxa"/>
            <w:vAlign w:val="bottom"/>
            <w:shd w:val="clear" w:color="auto" w:fill="CFF0FC"/>
          </w:tcPr>
          <w:p>
            <w:pPr>
              <w:spacing w:after="0"/>
              <w:rPr>
                <w:sz w:val="12"/>
                <w:szCs w:val="12"/>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2,831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3,825</w:t>
            </w:r>
          </w:p>
        </w:tc>
        <w:tc>
          <w:tcPr>
            <w:tcW w:w="120" w:type="dxa"/>
            <w:vAlign w:val="bottom"/>
          </w:tcPr>
          <w:p>
            <w:pPr>
              <w:spacing w:after="0"/>
              <w:rPr>
                <w:sz w:val="12"/>
                <w:szCs w:val="12"/>
                <w:color w:val="auto"/>
              </w:rPr>
            </w:pPr>
          </w:p>
        </w:tc>
      </w:tr>
      <w:tr>
        <w:trPr>
          <w:trHeight w:val="142"/>
        </w:trPr>
        <w:tc>
          <w:tcPr>
            <w:tcW w:w="6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Non-cash right-of-use assets and lease liabilities</w:t>
            </w:r>
          </w:p>
        </w:tc>
        <w:tc>
          <w:tcPr>
            <w:tcW w:w="8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220</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629</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651</w:t>
            </w:r>
          </w:p>
        </w:tc>
        <w:tc>
          <w:tcPr>
            <w:tcW w:w="120" w:type="dxa"/>
            <w:vAlign w:val="bottom"/>
            <w:shd w:val="clear" w:color="auto" w:fill="CFF0FC"/>
          </w:tcPr>
          <w:p>
            <w:pPr>
              <w:spacing w:after="0"/>
              <w:rPr>
                <w:sz w:val="12"/>
                <w:szCs w:val="12"/>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-2730500</wp:posOffset>
            </wp:positionV>
            <wp:extent cx="7493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-2730500</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-2730500</wp:posOffset>
            </wp:positionV>
            <wp:extent cx="673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-2181860</wp:posOffset>
            </wp:positionV>
            <wp:extent cx="7493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-2181860</wp:posOffset>
            </wp:positionV>
            <wp:extent cx="673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-2181860</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-1078230</wp:posOffset>
            </wp:positionV>
            <wp:extent cx="7493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-1078230</wp:posOffset>
            </wp:positionV>
            <wp:extent cx="673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-1078230</wp:posOffset>
            </wp:positionV>
            <wp:extent cx="673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-695325</wp:posOffset>
            </wp:positionV>
            <wp:extent cx="7493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-680085</wp:posOffset>
            </wp:positionV>
            <wp:extent cx="7493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-695325</wp:posOffset>
            </wp:positionV>
            <wp:extent cx="673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-680085</wp:posOffset>
            </wp:positionV>
            <wp:extent cx="673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-695325</wp:posOffset>
            </wp:positionV>
            <wp:extent cx="673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-680085</wp:posOffset>
            </wp:positionV>
            <wp:extent cx="673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color w:val="auto"/>
        </w:rPr>
        <w:t xml:space="preserve">(1) Equity consideration transferred in connection with the Merger (as defined below) included 26,367 shares of common stock that were issued to a related party. See Note 18, </w:t>
      </w:r>
      <w:r>
        <w:rPr>
          <w:rFonts w:ascii="Times New Roman" w:cs="Times New Roman" w:eastAsia="Times New Roman" w:hAnsi="Times New Roman"/>
          <w:sz w:val="13"/>
          <w:szCs w:val="13"/>
          <w:i w:val="1"/>
          <w:iCs w:val="1"/>
          <w:color w:val="auto"/>
        </w:rPr>
        <w:t>Related Parties</w:t>
      </w:r>
      <w:r>
        <w:rPr>
          <w:rFonts w:ascii="Times New Roman" w:cs="Times New Roman" w:eastAsia="Times New Roman" w:hAnsi="Times New Roman"/>
          <w:sz w:val="13"/>
          <w:szCs w:val="13"/>
          <w:color w:val="auto"/>
        </w:rPr>
        <w:t>.</w:t>
      </w:r>
    </w:p>
    <w:p>
      <w:pPr>
        <w:jc w:val="center"/>
        <w:ind w:right="20"/>
        <w:spacing w:after="0"/>
        <w:rPr>
          <w:sz w:val="20"/>
          <w:szCs w:val="20"/>
          <w:color w:val="auto"/>
        </w:rPr>
      </w:pPr>
      <w:r>
        <w:rPr>
          <w:rFonts w:ascii="Times New Roman" w:cs="Times New Roman" w:eastAsia="Times New Roman" w:hAnsi="Times New Roman"/>
          <w:sz w:val="15"/>
          <w:szCs w:val="15"/>
          <w:color w:val="auto"/>
        </w:rPr>
        <w:t>See accompanying notes</w:t>
      </w:r>
    </w:p>
    <w:p>
      <w:pPr>
        <w:spacing w:after="0" w:line="18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Description of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BioTools Inc. ("Standard BioTools" or the "Company") is a Delaware corporation headquartered in South San Francisco, California.</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develops, manufactures and sells a diversified range of instrumentation, consumables, and services that help scientists and biomedical researchers develop better therapeutics faster. Its tools provide unique insights into human health, immune response, and disease state using our proprietary technologies, which serve applications in proteomics and genomics.</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 and Consolidation</w:t>
      </w:r>
    </w:p>
    <w:p>
      <w:pPr>
        <w:spacing w:after="0" w:line="1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consolidated financial statements have been prepared in accordance with principles generally accepted in the United States ("GAAP") and applicable rules and regulations of the U.S. Securities and Exchange Commission (the "SEC") regarding financial reporting. All intercompany transactions and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reclassifications have been made to prior period amounts to conform to the current presentation.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GAAP requires management to make estimates and assumptions that affect the amounts reported in the consolidated financial statements and accompanying notes.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Significant estimates and assumptions which form the basis of amounts reported in the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the fair value of intangible assets acquired in business combinations.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spacing w:after="0" w:line="16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Actual results could differ materially from these estimates. Estimates and assumptions are reviewed quarterly. Any revisions to accounting estimates are recognized in the period in which the estimates are revised and in any future periods affected.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Reporting</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manages its business through two reportable segments: proteomics and genomics. Segment information is consistent with how management reviews the business, makes investing and resource allocation decisions and assesses performance. The Company's chief operating decision maker ("CODM"), its chief executive officer, assesses performance of operating segments and determines the allocation of resources based primarily on segment operating loss.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accounts for business combinations using the acquisition method of accounting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When the fair value of net assets acquired and liabilities assumed exceeds the purchase price, the Company records a gain on bargain purchase in earnings in the period of acquisition. Determining the fair value of assets acquired and liabilities assumed in a business combination</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82" w:name="page83"/>
    <w:bookmarkEnd w:id="82"/>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requires management to use significant judgment and estimates, especially with respect to intangible assets. Transaction costs, including legal, accounting, and integration expenses, are expensed as incurred and are included in operating expenses in the Company's consolidated statements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Assets and liabilities of foreign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 (deficit).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Product Revenue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generates product revenue from the sale of instruments and consumables, including Integrated Fluidic Circuits and reagents.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90 days.</w:t>
      </w:r>
    </w:p>
    <w:p>
      <w:pPr>
        <w:spacing w:after="0" w:line="1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Revenue from the sales of certain instruments that involve significant customization, which primarily includes sales of the SomaScan® equipment bundle, is recognized over time as the Company's performance creates an asset that the customer simultaneously controls (the instrument installation and customization occurs at the customer site). Revenue is recognized based on the progress made toward achieving the performance obligation utilizing an input method of costs incurred relative to total estimated costs.</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sometimes perform shipping and handling activities after control of the product passes to the customer. The Company has made an accounting policy election to account for these activities as product fulfillment activities rather than as separate performance obligations.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Services Revenue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generates services revenue from the sale of lab services and field services. Lab services revenue is generated by performing the SomaScan® assay on customer samples to generate data on protein biomarkers. Lab services revenue is recognized at a point in time when the analysis data or report is delivered to the customer. SomaScan® services are sold at a fixed price per sample without any volume discounts, rebates, or refunds. The delivery of each assay data report is a separate performance obligation.</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Field services revenue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w:t>
      </w:r>
    </w:p>
    <w:p>
      <w:pPr>
        <w:spacing w:after="0" w:line="1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83" w:name="page84"/>
    <w:bookmarkEnd w:id="83"/>
    <w:p>
      <w:pPr>
        <w:jc w:val="both"/>
        <w:spacing w:after="0" w:line="276" w:lineRule="auto"/>
        <w:rPr>
          <w:sz w:val="20"/>
          <w:szCs w:val="20"/>
          <w:color w:val="auto"/>
        </w:rPr>
      </w:pPr>
      <w:r>
        <w:rPr>
          <w:rFonts w:ascii="Times New Roman" w:cs="Times New Roman" w:eastAsia="Times New Roman" w:hAnsi="Times New Roman"/>
          <w:sz w:val="16"/>
          <w:szCs w:val="16"/>
          <w:color w:val="auto"/>
        </w:rPr>
        <w:t>service on a monthly, quarterly, annual or multi-year basis. Payments collected in advance of service are reported on the Company's consolidated balance sheets as deferred revenue.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Collaboration and Other Revenue</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 xml:space="preserve">From time to time the Company enters into collaboration arrangements in which both parties are active participants in the arrangement and are exposed to the significant risks and rewards of the collaboration, in which case the collaboration is within the scope of ASC 808, </w:t>
      </w:r>
      <w:r>
        <w:rPr>
          <w:rFonts w:ascii="Times New Roman" w:cs="Times New Roman" w:eastAsia="Times New Roman" w:hAnsi="Times New Roman"/>
          <w:sz w:val="16"/>
          <w:szCs w:val="16"/>
          <w:i w:val="1"/>
          <w:iCs w:val="1"/>
          <w:color w:val="auto"/>
        </w:rPr>
        <w:t>Collaborative Arrangements</w:t>
      </w:r>
      <w:r>
        <w:rPr>
          <w:rFonts w:ascii="Times New Roman" w:cs="Times New Roman" w:eastAsia="Times New Roman" w:hAnsi="Times New Roman"/>
          <w:sz w:val="16"/>
          <w:szCs w:val="16"/>
          <w:color w:val="auto"/>
        </w:rPr>
        <w:t xml:space="preserve">. With such collaborations, the Company determines if any obligations are an output of the Company's ordinary activities in exchange for consideration, and if so, the Company applies ASC 606, </w:t>
      </w:r>
      <w:r>
        <w:rPr>
          <w:rFonts w:ascii="Times New Roman" w:cs="Times New Roman" w:eastAsia="Times New Roman" w:hAnsi="Times New Roman"/>
          <w:sz w:val="16"/>
          <w:szCs w:val="16"/>
          <w:i w:val="1"/>
          <w:iCs w:val="1"/>
          <w:color w:val="auto"/>
        </w:rPr>
        <w:t>Revenue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Customers </w:t>
      </w:r>
      <w:r>
        <w:rPr>
          <w:rFonts w:ascii="Times New Roman" w:cs="Times New Roman" w:eastAsia="Times New Roman" w:hAnsi="Times New Roman"/>
          <w:sz w:val="16"/>
          <w:szCs w:val="16"/>
          <w:color w:val="auto"/>
        </w:rPr>
        <w:t>("ASC 606"), to such activities.</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For other payments received from collaborative partners for other collaboration activities, which primarily include research and development activities, the Company analogizes to ASC 606. Revenue from such activities is recognized as the Company satisfies its obligations.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 xml:space="preserve">The Company receives grants from various entities to perform research and development activities over contractually defined periods. Grant revenue is not accounted for under ASC 606, as the grant agreement is not with a customer. As there is no authoritative GAAP guidance for grants awarded to for-profit entities, the Company has applied the guidance in ASC 958, </w:t>
      </w:r>
      <w:r>
        <w:rPr>
          <w:rFonts w:ascii="Times New Roman" w:cs="Times New Roman" w:eastAsia="Times New Roman" w:hAnsi="Times New Roman"/>
          <w:sz w:val="16"/>
          <w:szCs w:val="16"/>
          <w:i w:val="1"/>
          <w:iCs w:val="1"/>
          <w:color w:val="auto"/>
        </w:rPr>
        <w:t>Not-for-Profit Entities</w:t>
      </w:r>
      <w:r>
        <w:rPr>
          <w:rFonts w:ascii="Times New Roman" w:cs="Times New Roman" w:eastAsia="Times New Roman" w:hAnsi="Times New Roman"/>
          <w:sz w:val="16"/>
          <w:szCs w:val="16"/>
          <w:color w:val="auto"/>
        </w:rPr>
        <w:t xml:space="preserve"> by analogy. Revenue is generally recognized provided that the conditions under which the grants were provided have been met and any remaining performance obligations are perfunctory.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and cash equivalents consist of cash deposits and short-term, highly liquid investments that are readily convertible into cash, with original maturities of three months or less.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equivalents consist primarily of amounts invested in money market funds and are stated at fair value.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Short-term Investments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Short-term investments consist of U.S. treasury securities that mature within one year. The Company classifies its short-term investments as available-for-sale securities, and reports available-for-sale securities at fair value on the consolidated balance sheets. Realized gains and losses, amortization of premiums and accretion of discounts, and interest and dividends earned on available-for-sale securities are included in interest income and other, net in the consolidated statements of operations. The cost of investments for purposes of computing realized and unrealized gains and losses is based on the specific identification method. The Company determines the appropriate classification of its debt securities at the time of purchase based on their maturities and re-evaluates such classification at each balance sheet date.</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At each reporting date, the Company reviews available-for-sale marketable debt securities in an unrealized loss position to determine whether an allowance for credit loss is required. Specifically, the Company evaluates (i) whether it intends to sell the securities or (ii) whether it is more likely than not that it will be required to sell the securities before recovery of their amortized cost bases. If the aforementioned criteria is met, such marketable debt security's amortized cost basis will be written down to its fair value through earnings along with any existing allowance for credit losses. For available-for-sale securities in an unrealized loss position that do not meet this criteria, the Company will evaluate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in interest income and other, net in the consolidate statements of operations. The Company has not recognized any impairment or credit losses related to its short-term investments during the periods presented.</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Any unrealized losses from declines in fair value below the amortized cost basis as a result of non-credit factors and unrealized gains are recognized in accumulated other comprehensive loss as a separate component of stockholders' equity.</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The Company excludes accrued interest from the fair value and amortized cost basis of its short-term investments.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Accounts receivable consist of trade receivables and are recorded at invoiced amounts, and are presented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The Company writes off accounts receivable against the allowance for expected credit losses when the Company determines the balance is uncollectible and cease collection efforts. The Company did not write off any material accounts receivable during the periods presented.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Concentrations of Business and Credit Risk</w:t>
      </w:r>
    </w:p>
    <w:p>
      <w:pPr>
        <w:spacing w:after="0" w:line="10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credit risk consist of cash, cash equivalents, short-term investments, and accounts receivable. The Company's cash, cash equivalents, and short-term investments may consist of deposits held with banks, money market funds, and other highly liquid investments that may at times exceed federally insured limits. Cash equivalents and short-term investments are financial instruments that potentially subject the Company to concentrations of risk. Under the Company's investment policy, the Company invests exclusively in securities issued by the U.S. government or U.S. government agencies, or in government money-market funds. The goals of the Company's investment policy, in order of priority, are to: preserve capital, meet liquidity needs, and optimize returns. For these reasons, management believes that the Company is not exposed to significant credit risk.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generally does not require collateral to support credit sales. To reduce credit risk, the Company performs credit evaluations of its customers.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Inventory is stated at the lower of cost (on a first-in, first-out basis) or net realizable value. Inventory costs include direct materials, direct labor, and normal manufacturing overhead. The Company regularly reviews inventory to identify inventory that may expire prior to expected usage, no longer meets quality specifications, or has a cost basis in excess of its estimated net realizable value. The Company records a charge to cost of revenue for such inventory as appropriate.</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Inventory that is not expected to be used within 12 months of the balance sheet date is classified as non-current inventory on the consolidated balance sheet as of December 31,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Property and equipment are recorded at cost and stated net of accumulated depreciation and amortization. Property and equipment acquired through business combinations are recorded at fair value at the acquisition date. The cost of additions and improvements that extend the useful lives of the assets are capitalized, while expenditures for routine repairs and maintenance are expensed as incurred.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Costs associated with internal-use software are capitalized during the application development stage. These costs relate to activities such as software design, configuration, coding, and testing. Once the software is complete, costs associated with subsequent additions, modifications, or upgrades to internal-use software are capitalized only to the extent that they allow the software to perform a task it previously did not perform.</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color w:val="auto"/>
        </w:rPr>
        <w:t>Depreciation is calculated using the straight-line method over the estimated useful lives of the assets and over the shorter of lease term or useful life for leasehold improvements.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useful lives of the Company's property and equipment are as follows:</w:t>
      </w:r>
    </w:p>
    <w:p>
      <w:pPr>
        <w:spacing w:after="0" w:line="194" w:lineRule="exact"/>
        <w:rPr>
          <w:sz w:val="20"/>
          <w:szCs w:val="20"/>
          <w:color w:val="auto"/>
        </w:rPr>
      </w:pPr>
    </w:p>
    <w:tbl>
      <w:tblPr>
        <w:tblLayout w:type="fixed"/>
        <w:tblInd w:w="1080" w:type="dxa"/>
        <w:tblCellMar>
          <w:top w:w="0" w:type="dxa"/>
          <w:left w:w="0" w:type="dxa"/>
          <w:bottom w:w="0" w:type="dxa"/>
          <w:right w:w="0" w:type="dxa"/>
        </w:tblCellMar>
      </w:tblPr>
      <w:tr>
        <w:trPr>
          <w:trHeight w:val="18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Laboratory and manufacturing equipment</w:t>
            </w:r>
          </w:p>
        </w:tc>
        <w:tc>
          <w:tcPr>
            <w:tcW w:w="4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1 - 7 years</w:t>
            </w:r>
          </w:p>
        </w:tc>
      </w:tr>
      <w:tr>
        <w:trPr>
          <w:trHeight w:val="189"/>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4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3 - 4 years</w:t>
            </w:r>
          </w:p>
        </w:tc>
      </w:tr>
      <w:tr>
        <w:trPr>
          <w:trHeight w:val="18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Internal-use software</w:t>
            </w:r>
          </w:p>
        </w:tc>
        <w:tc>
          <w:tcPr>
            <w:tcW w:w="4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r>
      <w:tr>
        <w:trPr>
          <w:trHeight w:val="189"/>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4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4 - 5 years</w:t>
            </w:r>
          </w:p>
        </w:tc>
      </w:tr>
      <w:tr>
        <w:trPr>
          <w:trHeight w:val="18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Leaseholder improvements</w:t>
            </w:r>
          </w:p>
        </w:tc>
        <w:tc>
          <w:tcPr>
            <w:tcW w:w="4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Shorter of lease term or estimated useful life</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determines whether an arrangement contains a lease at inception based on whether it has the right to control the asset identified in the contract during the contract period.</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Operating lease right-of-use ("ROU") assets represents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the future minimum lease payments over the lease term. Leases with a term of twelve months or less at inception are not recorded on the consolidated balance sheets and are expensed on a straight-line basis over the lease term in the consolidated statements of operations. Because most of the Company's leases do not provide a readily determinable implicit rate, the Company uses its incremental borrowing rate based on the information available at the commencement date in determining the present value of lease payments. The operating lease ROU asset is also adjusted with any lease payments made or accrued and excludes any remaining lease incentives. Additionally, the balance of ROU assets is also adjusted for the unamortized balance of asset or liability recognized in business combinations relating to favorable or unfavorable lease terms. Lease terms may include options to extend or terminate the lease when management believes it is reasonable certain that the Company will exercise that option. Lease expense is recognized on a straight-line basis over the lease term. Lease and non-lease components are generally accounted for separately.</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has elected not to separate lease and non-lease components for the Company's building leases. The non-lease components are generally variable in nature and are expected to represent most of the Company's variable lease costs. Variable costs are expensed as incurred. The Company uses a portfolio approach for its vehicle leases by country.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Acquired Intangible Assets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Acquired intangible assets consist of finite-lived intangible assets that the Company has acquired in business combinations, including developed technology, trade names, and customer relationships. Acquired intangible assets are recorded at fair value as of the acquisition date, and stated net of accumulated amortization. The cost of identifiable intangible assets with finite lives is generally amortized on a straight-line basis over the assets’ respective estimated useful lives.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estimated useful lives of the Company's acquired intangible assets are as follows:</w:t>
            </w:r>
          </w:p>
        </w:tc>
        <w:tc>
          <w:tcPr>
            <w:tcW w:w="2660" w:type="dxa"/>
            <w:vAlign w:val="bottom"/>
          </w:tcPr>
          <w:p>
            <w:pPr>
              <w:spacing w:after="0"/>
              <w:rPr>
                <w:sz w:val="17"/>
                <w:szCs w:val="17"/>
                <w:color w:val="auto"/>
              </w:rPr>
            </w:pPr>
          </w:p>
        </w:tc>
      </w:tr>
      <w:tr>
        <w:trPr>
          <w:trHeight w:val="189"/>
        </w:trPr>
        <w:tc>
          <w:tcPr>
            <w:tcW w:w="10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89"/>
        </w:trPr>
        <w:tc>
          <w:tcPr>
            <w:tcW w:w="1080" w:type="dxa"/>
            <w:vAlign w:val="bottom"/>
          </w:tcPr>
          <w:p>
            <w:pPr>
              <w:spacing w:after="0"/>
              <w:rPr>
                <w:sz w:val="16"/>
                <w:szCs w:val="16"/>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 years</w:t>
            </w:r>
          </w:p>
        </w:tc>
      </w:tr>
      <w:tr>
        <w:trPr>
          <w:trHeight w:val="189"/>
        </w:trPr>
        <w:tc>
          <w:tcPr>
            <w:tcW w:w="1080" w:type="dxa"/>
            <w:vAlign w:val="bottom"/>
          </w:tcPr>
          <w:p>
            <w:pPr>
              <w:spacing w:after="0"/>
              <w:rPr>
                <w:sz w:val="16"/>
                <w:szCs w:val="16"/>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Trade names</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r>
      <w:tr>
        <w:trPr>
          <w:trHeight w:val="189"/>
        </w:trPr>
        <w:tc>
          <w:tcPr>
            <w:tcW w:w="1080" w:type="dxa"/>
            <w:vAlign w:val="bottom"/>
          </w:tcPr>
          <w:p>
            <w:pPr>
              <w:spacing w:after="0"/>
              <w:rPr>
                <w:sz w:val="16"/>
                <w:szCs w:val="16"/>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years</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Goodwill represents the excess of the purchase price from business combinations over the fair value of the net assets acquired. Goodwill is not amortized but rather tested for impairment at a reporting unit level at least annually during the fourth quarter, or more frequently if events or changes in circumstances indicate that it may be impaired.</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performs impairment testing by first assessing qualitative factors to determine whether it is more likely than not that the fair value of a reporting unit is less than its carrying amount, including goodwill. If the Company concludes that it is more likely than not that the fair value of the reporting unit is less than its carrying amount, then a quantitative test is performed.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the estimated fair value of the reporting unit exceeds its carrying amount, goodwill is not considered to be impaired. If the carrying value exceeds the estimated fair value of the reporting unit, there is an impairment of goodwill and an impairment loss would be recorded. The impairment loss is calculated by comparing the fair value of the reporting unit less its carrying amount, including goodwill. Goodwill</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color w:val="auto"/>
        </w:rPr>
        <w:t>impairment would be limited to the carrying value of goodwill. There were no goodwill impairment losses recorded in any period presented.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has a contingent consideration arrangement under which it is obligated to make cash payments to former owners of an acquired business if certain revenue thresholds are exceeded in specified periods of time. The contingent consideration arrangement is included in other non-current liabilities on the consolidated balance sheet as of December 31, 2024. The contingent consideration liability is re-measured at fair value each reporting period and presented at fair value on the consolidated balance sheet. Changes in the fair value of the contingent consideration liability are recorded in selling, general and administrative expenses in the consolidated statement of operations. See Note 3,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and Note 10, </w:t>
      </w:r>
      <w:r>
        <w:rPr>
          <w:rFonts w:ascii="Times New Roman" w:cs="Times New Roman" w:eastAsia="Times New Roman" w:hAnsi="Times New Roman"/>
          <w:sz w:val="16"/>
          <w:szCs w:val="16"/>
          <w:i w:val="1"/>
          <w:iCs w:val="1"/>
          <w:color w:val="auto"/>
        </w:rPr>
        <w:t>Fair Value of Financial Instruments</w:t>
      </w:r>
      <w:r>
        <w:rPr>
          <w:rFonts w:ascii="Times New Roman" w:cs="Times New Roman" w:eastAsia="Times New Roman" w:hAnsi="Times New Roman"/>
          <w:sz w:val="16"/>
          <w:szCs w:val="16"/>
          <w:color w:val="auto"/>
        </w:rPr>
        <w:t>, for more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 evaluates property and equipment, ROU assets, and finite-lived intangible assets for impairment whenever events or changes in circumstances indicate the carrying amount of an asset (or asset group) may not be recoverable. Recoverability of assets to be held and used is measured by a comparison of the carrying amount of an asset or asset group to future undiscounted cash flows that the asset or asset group is expected to generate. If assets are determined to be impaired, the impairment loss to be recognized equals the amount that the carrying value of the asset or asset group exceeds its fair value. During 2022, the Company recorded an impairment loss of $3.5 million related to developed technology it acquired in connection with the acquisition of InstruNor AS. The Company did not record any impairment losses during the years ended December 31, 2024 and 2023.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Level 1  -  Quoted prices in active markets for identical assets or liabilities.</w:t>
      </w:r>
    </w:p>
    <w:p>
      <w:pPr>
        <w:spacing w:after="0" w:line="1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Level 2  -  Inputs, other than quoted prices in active markets, that are observable either directly or indirectly.</w:t>
      </w:r>
    </w:p>
    <w:p>
      <w:pPr>
        <w:spacing w:after="0" w:line="1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Level 3  -  Unobservable inputs that reflect the Company’s own assumptions incorporated into valuation techniques. These valuations require significant judgment.</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Series B Redeemable Preferred Stock</w:t>
      </w:r>
    </w:p>
    <w:p>
      <w:pPr>
        <w:spacing w:after="0" w:line="10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 xml:space="preserve">The Series B Redeemable Preferred Stock (as defined below) was classified as mezzanine equity and recorded at fair value upon issuance, net of issuance costs, due to its redemption features that are outside of the Company’s control. Mezzanine equity was presented separately on the consolidated balance sheets between liabilities and shareholders’ equity because it shares characteristics of both. In the year ended December 31, 2022, the Company recognized a $60.1 million loss on the forward sales of Series B Redeemable Preferred Stock and a $13.7 million loss on the Bridge Loans due to the increase in the price of the Company's common stock from January 23, 2022 (the date of the Purchase Agreements (as defined below) and the Bridge Loan agreements) to the closing date of the Private Placement Issuance (as defined below). In March 2024, the Company entered into an exchange agreement to exchange all outstanding Series B Redeemable Preferred Stock for the Company's common stock. Subsequent to the closing of the exchange, no shares of Series B Redeemable Preferred Stock remained outstanding and the Company had no amounts recorded in mezzanine equity as of December 31, 2024. See Note 11, </w:t>
      </w:r>
      <w:r>
        <w:rPr>
          <w:rFonts w:ascii="Times New Roman" w:cs="Times New Roman" w:eastAsia="Times New Roman" w:hAnsi="Times New Roman"/>
          <w:sz w:val="16"/>
          <w:szCs w:val="16"/>
          <w:i w:val="1"/>
          <w:iCs w:val="1"/>
          <w:color w:val="auto"/>
        </w:rPr>
        <w:t>Mezzanine Equity</w:t>
      </w:r>
      <w:r>
        <w:rPr>
          <w:rFonts w:ascii="Times New Roman" w:cs="Times New Roman" w:eastAsia="Times New Roman" w:hAnsi="Times New Roman"/>
          <w:sz w:val="16"/>
          <w:szCs w:val="16"/>
          <w:color w:val="auto"/>
        </w:rPr>
        <w:t xml:space="preserve"> for additional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 and Related Charges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Restructuring and related charges include employee separation costs, contract termination costs, and other costs associated with implementing restructuring plans including costs associated with leased facilities (net of sublease income, if applicable) that the Company has vacated as part of a restructuring plan. Employee separation costs principally consist of one-time termination benefits and</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contractual termination benefits for severance, other termination benefit costs, and stock-based compensation expense for the acceleration of equity awards.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The Company records restructuring charges based on whether the termination benefits are provided under an ongoing benefit arrangement or under a one-time benefit arrangement. The Company accounts for ongoing benefit arrangements, such as those documented by employment agreements, in accordance with ASC 712, </w:t>
      </w:r>
      <w:r>
        <w:rPr>
          <w:rFonts w:ascii="Times New Roman" w:cs="Times New Roman" w:eastAsia="Times New Roman" w:hAnsi="Times New Roman"/>
          <w:sz w:val="16"/>
          <w:szCs w:val="16"/>
          <w:i w:val="1"/>
          <w:iCs w:val="1"/>
          <w:color w:val="auto"/>
        </w:rPr>
        <w:t>Compensation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Nonretirement Postemployment Benefits </w:t>
      </w:r>
      <w:r>
        <w:rPr>
          <w:rFonts w:ascii="Times New Roman" w:cs="Times New Roman" w:eastAsia="Times New Roman" w:hAnsi="Times New Roman"/>
          <w:sz w:val="16"/>
          <w:szCs w:val="16"/>
          <w:color w:val="auto"/>
        </w:rPr>
        <w:t>("ASC 712"). Under ASC 712, liabilities for post-employment benefits are recorded at the time the obligations are probable of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incurred and can be reasonably estimated. The Company accounts for one-time employment benefit arrangements in accordance with ASC 420, </w:t>
      </w:r>
      <w:r>
        <w:rPr>
          <w:rFonts w:ascii="Times New Roman" w:cs="Times New Roman" w:eastAsia="Times New Roman" w:hAnsi="Times New Roman"/>
          <w:sz w:val="16"/>
          <w:szCs w:val="16"/>
          <w:i w:val="1"/>
          <w:iCs w:val="1"/>
          <w:color w:val="auto"/>
        </w:rPr>
        <w:t>Exit or Disposal Cost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 One-time termination benefits expenses are recorded at the date the entity notifies the employee, unless the employee must provide future service, in which case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benefits are expensed ratably over the future service period. Other associated costs are recognized in the period in which the liability is incurred.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Grant Income</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Proceeds from the Company's contract with the National Institutes of Health (the "NIH") have been principally recorded as capital expenditures and to offset applicable operating costs. The non-operating income recognized from the grant proceeds received in excess of the amounts spent for capital expenditures and operating expenses is reflected on the consolidated statements of operations as surplus funding from the NIH contract. The NIH contract met the definition of grants related to assets as the primary purpose for the payments was to fund the purchase and construction of capital assets to scale up production capacity. The Company elected to record the grants received as deferred income in accordance with International Accounting Standards (IAS) 20. Deferred grant income related to production capacity expansion is being amortized for the related assets as a reduction of depreciation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Loan, net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term loan was recorded at its carrying value, which included the outstanding principal amount and the cumulative accreted final payment, less unamortized debt issuance costs. Amortization of the debt issuance costs and accretion of the final payment was reflected in interest expense. The final payment was being accreted to the carrying value of the term loan through the expected maturity of July 1, 2025 using the effective interest method. Debt issuance costs were recorded as an offset to the carrying value of the loan and are amortized over the expected term also using the effective interest method. On March 4, 2024, the Company fully repaid all outstanding indebtedness owed pursuant to the $10.0 million term loan facility (the "Term Loan Facility") and terminated the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 net</w:t>
      </w:r>
    </w:p>
    <w:p>
      <w:pPr>
        <w:spacing w:after="0" w:line="1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Company records the convertible notes (as described in Note 7,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at their carrying values, which includes their principal amounts plus accrued and unpaid interest. Offering-related costs, including underwriting costs, on the 2014 Senior Convertible Notes (the "2014 Notes") and 2019 Senior Convertible Notes (the "2019 Notes") were capitalized as debt issuance costs, recorded as an offset to the carrying value of the related Notes, and are amortized over the expected term of the related Notes using the effective interest method. The 2019 Notes matured on December 1, 2024 and were fully repaid by the Company.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Treasury Stock</w:t>
      </w:r>
    </w:p>
    <w:p>
      <w:pPr>
        <w:spacing w:after="0" w:line="10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 xml:space="preserve">The Company uses the cost method to account for the repurchases of its common stock in accordance with ASC 505-30, </w:t>
      </w:r>
      <w:r>
        <w:rPr>
          <w:rFonts w:ascii="Times New Roman" w:cs="Times New Roman" w:eastAsia="Times New Roman" w:hAnsi="Times New Roman"/>
          <w:sz w:val="15"/>
          <w:szCs w:val="15"/>
          <w:i w:val="1"/>
          <w:iCs w:val="1"/>
          <w:color w:val="auto"/>
        </w:rPr>
        <w:t>Equity-Treasury Stock.</w:t>
      </w:r>
      <w:r>
        <w:rPr>
          <w:rFonts w:ascii="Times New Roman" w:cs="Times New Roman" w:eastAsia="Times New Roman" w:hAnsi="Times New Roman"/>
          <w:sz w:val="15"/>
          <w:szCs w:val="15"/>
          <w:color w:val="auto"/>
        </w:rPr>
        <w:t xml:space="preserve"> The direct costs associated with settled share repurchases, including trading commissions, are reported as treasury stock in the shareholders’ equity (deficit) section of the Company's consolidated balance sheets.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Liabilities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connection with the Merger described in Note 3</w:t>
      </w:r>
      <w:r>
        <w:rPr>
          <w:rFonts w:ascii="Times New Roman" w:cs="Times New Roman" w:eastAsia="Times New Roman" w:hAnsi="Times New Roman"/>
          <w:sz w:val="16"/>
          <w:szCs w:val="16"/>
          <w:i w:val="1"/>
          <w:iCs w:val="1"/>
          <w:color w:val="auto"/>
        </w:rPr>
        <w:t>, Business Combinations</w:t>
      </w:r>
      <w:r>
        <w:rPr>
          <w:rFonts w:ascii="Times New Roman" w:cs="Times New Roman" w:eastAsia="Times New Roman" w:hAnsi="Times New Roman"/>
          <w:sz w:val="16"/>
          <w:szCs w:val="16"/>
          <w:color w:val="auto"/>
        </w:rPr>
        <w:t>, the Company assumed warrant liabilities for the warrants issued in connection with the initial public offering CM Life Sciences II Inc ("CMLS II"), the predecessor company of SomaLogic, Inc. ("SomaLogic"). CMLS II issued 5,519,991 warrants (the “Public Warrants”) to purchase shares of SomaLogic common stock, par value $0.0001 per share ("SomaLogic Common Stock"), at $11.50 per share. Simultaneously, with the consummation of the CMLS II initial public offering, CMLS II issued 5,013,333 warrants through a private placement (the “Private Placement Warrants”, and together with the Public Warrants, the “Warrants”) to purchase shares of SomaLogic Common Stock at $11.50 per share. As of January 5, 2024 (the "Closing Date"), the Warrants converted into the right to receive, upon exercise of such Warrant, 1.11 shares of the Company's common stock for each share of SomaLogic Common Stock previously underlying the Warrants. The Public Warrants are no longer publicly traded and are now identical to the Private Placement Warrants. The Warrants will expire in September of 2026.</w:t>
      </w:r>
    </w:p>
    <w:p>
      <w:pPr>
        <w:spacing w:after="0" w:line="1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The Warrants are classified as liabilities on the consolidated balance sheets as these instruments are precluded from being indexed to the Company's own stock given that the terms allow for a settlement adjustment that does not meet the scope for the fixed-for-fixed exception in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Since the Warrants meet the definition of a derivative under ASC 815-40, the Company recorded these warrants as long-term liabilities at fair value as of the Closing Date, with subsequent changes in fair value recognized within other income (expense), net in the consolidated statements of operations for the year ended December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recognizes research and development expenses in the period incurred. Research and development ("R&amp;D") expenses generally consist of personnel costs, independent contractor costs, prototype and materials expenses, allocated facilities and information technology expenses, and related overhead expenses.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Costs</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expenses advertising costs as incurred. The Company incurred advertising costs of $5.9 million and $2.0 million during the years ended December 31, 2024 and 2023,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incurs stock-based compensation expense related to its equity awards granted under its stock-based compensation plans. These awards include stock options, restricted share units ("RSUs"), and performance share units ("PSUs"). Stock-based compensation expense for service-based awards is recognized by amortizing the fair value of each award over the requisite service period on a straight-line basis. The fair value of each service-based RSU award is measured based on the closing market price per share of the Company's common stock on the grant date. The fair value of each PSU award with a market condition is measured using a Monte Carlo simulation pricing model to incorporate the market condition effects at the grant date. The Monte Carlo pricing model requires inputs which are subjective and generally requires judgment. For PSUs with performance conditions, stock-based compensation expense is recognized over the requisite service period when the achievement of each individual performance goal becomes probable.</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fair value of options and stock purchases under the 2017 Employee Stock Purchase Plan (the "ESPP") on the grant date is estimated using the Black-Scholes option-pricing model, which requires the use of certain subjective assumptions, including expected term, volatility, risk-free interest rate and the fair value of the Company's common stock. These assumptions generally require judgment. The Company determines the expected volatility based on the Company's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The Company accounts for forfeitures as they occur.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uses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The Company makes estimates and judgments about its future taxable income that are based on assumptions that are consistent with its plans and estimates. Should the actual amounts differ from the Company's estimates, the amount of the valuation allowance could be materially impacted. Changes in these estimates may result in significant increases or decreases to the Company's tax provision in a period in which such estimates are changed, which in turn would affect net income or loss.</w:t>
      </w:r>
    </w:p>
    <w:p>
      <w:pPr>
        <w:spacing w:after="0" w:line="16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recognizes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Loss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Comprehensive loss is comprised of net loss and other comprehensive income (loss). Other comprehensive income (loss) consists of unrealized gains and losses on the Company's short-term investments and foreign currency translation adjustments. Total comprehensive loss for all periods presented has been disclosed in the consolidated statements of comprehensive loss.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Changes and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Adoption of New Accounting Guidance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From time to time, new accounting standards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 xml:space="preserve">In November 2023, the FASB issued </w:t>
      </w:r>
      <w:r>
        <w:rPr>
          <w:rFonts w:ascii="Times New Roman" w:cs="Times New Roman" w:eastAsia="Times New Roman" w:hAnsi="Times New Roman"/>
          <w:sz w:val="16"/>
          <w:szCs w:val="16"/>
          <w:i w:val="1"/>
          <w:iCs w:val="1"/>
          <w:color w:val="auto"/>
        </w:rPr>
        <w:t>ASU 2023-07, Segment Reporting - Improvements to Reportable Segment Disclosures</w:t>
      </w:r>
      <w:r>
        <w:rPr>
          <w:rFonts w:ascii="Times New Roman" w:cs="Times New Roman" w:eastAsia="Times New Roman" w:hAnsi="Times New Roman"/>
          <w:sz w:val="16"/>
          <w:szCs w:val="16"/>
          <w:color w:val="auto"/>
        </w:rPr>
        <w:t xml:space="preserve">, which requires disclosure of more detailed information about a reportable segment’s expenses. The new standard is effective for fiscal years beginning after December 15, 2023 and interim periods beginning after December 15, 2024. The amendments must be applied retrospectively, and early adoption is permitted. The Company adopted ASU 2023-07 in this Annual Report on Form 10-K and included the additional segment disclosures as a result of the adoption. The adoption of this standard did not have a material impact on the Company's financial position or results of operations. See Note 16,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for details.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Pronouncements</w:t>
      </w:r>
    </w:p>
    <w:p>
      <w:pPr>
        <w:spacing w:after="0" w:line="1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In December 2023, the FASB issued </w:t>
      </w:r>
      <w:r>
        <w:rPr>
          <w:rFonts w:ascii="Times New Roman" w:cs="Times New Roman" w:eastAsia="Times New Roman" w:hAnsi="Times New Roman"/>
          <w:sz w:val="16"/>
          <w:szCs w:val="16"/>
          <w:i w:val="1"/>
          <w:iCs w:val="1"/>
          <w:color w:val="auto"/>
        </w:rPr>
        <w:t>ASU 2023-09, Improvements to Income Tax Disclosures</w:t>
      </w:r>
      <w:r>
        <w:rPr>
          <w:rFonts w:ascii="Times New Roman" w:cs="Times New Roman" w:eastAsia="Times New Roman" w:hAnsi="Times New Roman"/>
          <w:sz w:val="16"/>
          <w:szCs w:val="16"/>
          <w:color w:val="auto"/>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In November 2024, the FASB issued </w:t>
      </w:r>
      <w:r>
        <w:rPr>
          <w:rFonts w:ascii="Times New Roman" w:cs="Times New Roman" w:eastAsia="Times New Roman" w:hAnsi="Times New Roman"/>
          <w:sz w:val="16"/>
          <w:szCs w:val="16"/>
          <w:i w:val="1"/>
          <w:iCs w:val="1"/>
          <w:color w:val="auto"/>
        </w:rPr>
        <w:t>ASU No. 2024-03, Disaggregation of Income Statement Expenses</w:t>
      </w:r>
      <w:r>
        <w:rPr>
          <w:rFonts w:ascii="Times New Roman" w:cs="Times New Roman" w:eastAsia="Times New Roman" w:hAnsi="Times New Roman"/>
          <w:sz w:val="16"/>
          <w:szCs w:val="16"/>
          <w:color w:val="auto"/>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cs="Times New Roman" w:eastAsia="Times New Roman" w:hAnsi="Times New Roman"/>
          <w:sz w:val="16"/>
          <w:szCs w:val="16"/>
          <w:i w:val="1"/>
          <w:iCs w:val="1"/>
          <w:color w:val="auto"/>
        </w:rPr>
        <w:t>ASU 2024-03</w:t>
      </w:r>
      <w:r>
        <w:rPr>
          <w:rFonts w:ascii="Times New Roman" w:cs="Times New Roman" w:eastAsia="Times New Roman" w:hAnsi="Times New Roman"/>
          <w:sz w:val="16"/>
          <w:szCs w:val="16"/>
          <w:color w:val="auto"/>
        </w:rPr>
        <w:t xml:space="preserve"> is effective for fiscal years beginning after December 15, 2026, with early adoption permitted, and may be applied retrospectively or prospectively. The Company is currently evaluating the impact of this standard on its financial statement disclosures.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Business Combinations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SomaLogic</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the Closing Date, the Company completed the merger (the "Merger") with SomaLogic. As a result, SomaLogic and its subsidiaries became wholly owned subsidiaries of Standard BioTools. Upon completion of the Merger, each share of SomaLogic Common Stock, was exchanged for 1.11 shares of the Company's common stock. The fair value of the Company's common stock provided in exchange for SomaLogic Common Stock was approximately $419.2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Purchase consideration also included replacement of equity awards attributable to pre-combination services. The acquisition-date fair value of consideration transferred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Merger totaled approximately $444.2 million, comprising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SomaLogic Common Stock issued and outstanding as of January 5, 2024</w:t>
            </w:r>
          </w:p>
        </w:tc>
        <w:tc>
          <w:tcPr>
            <w:tcW w:w="7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188,808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Fixed exchange ratio</w:t>
            </w: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Shares of Standard BioTools common stock issued to SomaLogic stockholders</w:t>
            </w:r>
          </w:p>
        </w:tc>
        <w:tc>
          <w:tcPr>
            <w:tcW w:w="7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209,577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Standard BioTools common stock price at close of Merger</w:t>
            </w:r>
          </w:p>
        </w:tc>
        <w:tc>
          <w:tcPr>
            <w:tcW w:w="7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Fair value of Standard BioTools common stock issued to SomaLogic stockholders</w:t>
            </w:r>
          </w:p>
        </w:tc>
        <w:tc>
          <w:tcPr>
            <w:tcW w:w="700" w:type="dxa"/>
            <w:vAlign w:val="bottom"/>
            <w:shd w:val="clear" w:color="auto" w:fill="CFF0FC"/>
          </w:tcPr>
          <w:p>
            <w:pPr>
              <w:jc w:val="right"/>
              <w:ind w:right="5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419,154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Standard BioTools replacement equity awards attributable to pre-combination service</w:t>
            </w:r>
          </w:p>
        </w:tc>
        <w:tc>
          <w:tcPr>
            <w:tcW w:w="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Fair value of restricted shares subject to service conditions</w:t>
            </w:r>
          </w:p>
        </w:tc>
        <w:tc>
          <w:tcPr>
            <w:tcW w:w="7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(1,858 )</w:t>
            </w:r>
          </w:p>
        </w:tc>
        <w:tc>
          <w:tcPr>
            <w:tcW w:w="0" w:type="dxa"/>
            <w:vAlign w:val="bottom"/>
          </w:tcPr>
          <w:p>
            <w:pPr>
              <w:spacing w:after="0"/>
              <w:rPr>
                <w:sz w:val="1"/>
                <w:szCs w:val="1"/>
                <w:color w:val="auto"/>
              </w:rPr>
            </w:pPr>
          </w:p>
        </w:tc>
      </w:tr>
      <w:tr>
        <w:trPr>
          <w:trHeight w:val="181"/>
        </w:trPr>
        <w:tc>
          <w:tcPr>
            <w:tcW w:w="930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consideration transferred</w:t>
            </w:r>
          </w:p>
        </w:tc>
        <w:tc>
          <w:tcPr>
            <w:tcW w:w="700" w:type="dxa"/>
            <w:vAlign w:val="bottom"/>
            <w:tcBorders>
              <w:top w:val="single" w:sz="8" w:color="auto"/>
              <w:bottom w:val="single" w:sz="8" w:color="auto"/>
            </w:tcBorders>
          </w:tcPr>
          <w:p>
            <w:pPr>
              <w:jc w:val="right"/>
              <w:ind w:right="5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444,219</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ind w:left="5680"/>
              <w:spacing w:after="0"/>
              <w:rPr>
                <w:sz w:val="20"/>
                <w:szCs w:val="20"/>
                <w:color w:val="auto"/>
              </w:rPr>
            </w:pPr>
            <w:r>
              <w:rPr>
                <w:rFonts w:ascii="Times New Roman" w:cs="Times New Roman" w:eastAsia="Times New Roman" w:hAnsi="Times New Roman"/>
                <w:sz w:val="16"/>
                <w:szCs w:val="16"/>
                <w:color w:val="auto"/>
              </w:rPr>
              <w:t>87</w:t>
            </w: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9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-945515</wp:posOffset>
            </wp:positionV>
            <wp:extent cx="673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02" w:right="319" w:bottom="1440" w:gutter="0" w:footer="0" w:header="0"/>
        </w:sectPr>
      </w:pPr>
    </w:p>
    <w:bookmarkStart w:id="90" w:name="page91"/>
    <w:bookmarkEnd w:id="90"/>
    <w:p>
      <w:pPr>
        <w:jc w:val="both"/>
        <w:spacing w:after="0" w:line="250" w:lineRule="auto"/>
        <w:rPr>
          <w:sz w:val="20"/>
          <w:szCs w:val="20"/>
          <w:color w:val="auto"/>
        </w:rPr>
      </w:pPr>
      <w:r>
        <w:rPr>
          <w:rFonts w:ascii="Times New Roman" w:cs="Times New Roman" w:eastAsia="Times New Roman" w:hAnsi="Times New Roman"/>
          <w:sz w:val="16"/>
          <w:szCs w:val="16"/>
          <w:color w:val="auto"/>
        </w:rPr>
        <w:t>The Company accounted for the Merger as a business combination, using the acquisition method of accounting in accordance with ASC 805. The identifiable assets acquired and liabilities assumed of SomaLogic were recorded at their estimated fair values as of the acquisition date and consolidated with those of the Company. Under ASC 805, the accounting acquirer is usually the entity that issues its equity interest; however, other pertinent facts and circumstances should be considered in identifying the accounting acquirer in a business combination by exchanging equity interest. The Company was determined to be the accounting acquirer at close based on an evaluation of all the facts and circumstances, including but not limited to: (i) the Company initiated the transaction negotiations; (ii) the Company’s shares were issued to effect the Merger and remain outstanding; (iii) the merged entity retained the Company’s name; (iv) the composition of the combined Company’s board of directors (the "Board of Directors") includes a majority of Company appointed members; and (v) the Chief Executive Officer, Chief Financial Officer, and Chief Operating Officer of the Company continued to serve in their respective roles in the combined Company following the Merger. The above facts were deemed to outweigh the fact that the holders of shares of SomaLogic common stock that received shares of the Company's common stock in the merger in the aggregate owned a majority of the Company's common stock on a fully diluted basis and associated voting rights after the merger.</w:t>
      </w:r>
    </w:p>
    <w:p>
      <w:pPr>
        <w:spacing w:after="0" w:line="1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following table reflects the preliminary allocation of consideration transferred to the identifiable assets acquired and liabilities assumed based on the estimated fair values as of the Closing Date: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720" w:type="dxa"/>
            <w:vAlign w:val="bottom"/>
            <w:tcBorders>
              <w:top w:val="single" w:sz="8" w:color="auto"/>
              <w:bottom w:val="single" w:sz="8" w:color="auto"/>
            </w:tcBorders>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444,219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81"/>
        </w:trPr>
        <w:tc>
          <w:tcPr>
            <w:tcW w:w="9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278,857</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Short-term investments</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148,305</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16,430</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14,642</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22,455</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Non-current inventory</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Royalty receivable</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120" w:type="dxa"/>
            <w:vAlign w:val="bottom"/>
          </w:tcPr>
          <w:p>
            <w:pPr>
              <w:spacing w:after="0"/>
              <w:rPr>
                <w:sz w:val="16"/>
                <w:szCs w:val="16"/>
                <w:color w:val="auto"/>
              </w:rPr>
            </w:pPr>
          </w:p>
        </w:tc>
      </w:tr>
      <w:tr>
        <w:trPr>
          <w:trHeight w:val="181"/>
        </w:trPr>
        <w:tc>
          <w:tcPr>
            <w:tcW w:w="9260" w:type="dxa"/>
            <w:vAlign w:val="bottom"/>
            <w:shd w:val="clear" w:color="auto" w:fill="CFF0FC"/>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assets acquired</w:t>
            </w:r>
          </w:p>
        </w:tc>
        <w:tc>
          <w:tcPr>
            <w:tcW w:w="7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533,287</w:t>
            </w:r>
          </w:p>
        </w:tc>
        <w:tc>
          <w:tcPr>
            <w:tcW w:w="120" w:type="dxa"/>
            <w:vAlign w:val="bottom"/>
            <w:shd w:val="clear" w:color="auto" w:fill="CFF0FC"/>
          </w:tcPr>
          <w:p>
            <w:pPr>
              <w:spacing w:after="0"/>
              <w:rPr>
                <w:sz w:val="15"/>
                <w:szCs w:val="15"/>
                <w:color w:val="auto"/>
              </w:rPr>
            </w:pPr>
          </w:p>
        </w:tc>
      </w:tr>
      <w:tr>
        <w:trPr>
          <w:trHeight w:val="189"/>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20,660</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 current</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7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30,667</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7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16"/>
                <w:szCs w:val="16"/>
                <w:color w:val="auto"/>
              </w:rPr>
            </w:pPr>
          </w:p>
        </w:tc>
      </w:tr>
      <w:tr>
        <w:trPr>
          <w:trHeight w:val="189"/>
        </w:trPr>
        <w:tc>
          <w:tcPr>
            <w:tcW w:w="9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7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3"/>
        </w:trPr>
        <w:tc>
          <w:tcPr>
            <w:tcW w:w="9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63,855</w:t>
            </w:r>
          </w:p>
        </w:tc>
        <w:tc>
          <w:tcPr>
            <w:tcW w:w="120" w:type="dxa"/>
            <w:vAlign w:val="bottom"/>
          </w:tcPr>
          <w:p>
            <w:pPr>
              <w:spacing w:after="0"/>
              <w:rPr>
                <w:sz w:val="16"/>
                <w:szCs w:val="16"/>
                <w:color w:val="auto"/>
              </w:rPr>
            </w:pPr>
          </w:p>
        </w:tc>
      </w:tr>
      <w:tr>
        <w:trPr>
          <w:trHeight w:val="193"/>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fair value of net assets acquired</w:t>
            </w:r>
          </w:p>
        </w:tc>
        <w:tc>
          <w:tcPr>
            <w:tcW w:w="720" w:type="dxa"/>
            <w:vAlign w:val="bottom"/>
            <w:tcBorders>
              <w:bottom w:val="single" w:sz="8" w:color="auto"/>
            </w:tcBorders>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469,432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92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Gain on bargain purchase</w:t>
            </w:r>
          </w:p>
        </w:tc>
        <w:tc>
          <w:tcPr>
            <w:tcW w:w="720" w:type="dxa"/>
            <w:vAlign w:val="bottom"/>
          </w:tcPr>
          <w:p>
            <w:pPr>
              <w:jc w:val="right"/>
              <w:ind w:right="5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(25,213 )</w:t>
            </w:r>
          </w:p>
        </w:tc>
      </w:tr>
      <w:tr>
        <w:trPr>
          <w:trHeight w:val="20"/>
        </w:trPr>
        <w:tc>
          <w:tcPr>
            <w:tcW w:w="9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-3078480</wp:posOffset>
            </wp:positionV>
            <wp:extent cx="7493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-419735</wp:posOffset>
            </wp:positionV>
            <wp:extent cx="749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-149860</wp:posOffset>
            </wp:positionV>
            <wp:extent cx="749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fair value of the assets acquired and liabilities assumed exceeded the fair value of the consideration transferred, resulting in a bargain purchase gain. Before recognizing a gain on a bargain purchase, management reassessed the methods used in the acquisition accounting and verified that management had identified all of the assets acquired and all of the liabilities assumed, and that there were no additional assets or liabilities to be considered. Management also reassessed the procedures used to measure amounts recognized at the Closing Date to ensure that the measurements reflected all consideration transferred based on available information as of the Closing Date. Management determined that the bargain purchase gain was primarily attributable to a rapid decline in the price of the Company's common stock in the days following the announcement of the Merger, which persisted through the close of the Merger. The bargain purchase gain is separately stated below income from operations in the accompanying consolidated statements of operations for the year ended December 31, 2024.</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identifiable intangible assets acquired consisted of developed technology, customer relationships, and tradename. The fair value of the developed technology was estimated using a variation of the multi-period excess earnings method, which isolates the net earnings attributable to the asset being measured and involved significant assumptions related to cash flow projections, migration curve for</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91" w:name="page92"/>
    <w:bookmarkEnd w:id="91"/>
    <w:p>
      <w:pPr>
        <w:jc w:val="both"/>
        <w:spacing w:after="0" w:line="256" w:lineRule="auto"/>
        <w:rPr>
          <w:sz w:val="20"/>
          <w:szCs w:val="20"/>
          <w:color w:val="auto"/>
        </w:rPr>
      </w:pPr>
      <w:r>
        <w:rPr>
          <w:rFonts w:ascii="Times New Roman" w:cs="Times New Roman" w:eastAsia="Times New Roman" w:hAnsi="Times New Roman"/>
          <w:sz w:val="16"/>
          <w:szCs w:val="16"/>
          <w:color w:val="auto"/>
        </w:rPr>
        <w:t>technological obsolescence, economic life, and discount rate. The fair value of the SomaLogic trade name was estimated using the relief-from-royalty method, which determines the present value of license fees avoided by owning the trade name. The useful lives of acquired intangibles was estimated based on the contractual terms or period over which approximately 85% to 90% of the cumulative discounted cash flows would be realized, depending on the nature of the asset. The valuation of the intangible assets acquired in connection with the Merger, along with their estimated useful lives,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Useful</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9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Developed technology</w:t>
            </w:r>
          </w:p>
        </w:tc>
        <w:tc>
          <w:tcPr>
            <w:tcW w:w="1120" w:type="dxa"/>
            <w:vAlign w:val="bottom"/>
            <w:shd w:val="clear" w:color="auto" w:fill="CFF0FC"/>
          </w:tcPr>
          <w:p>
            <w:pPr>
              <w:jc w:val="right"/>
              <w:ind w:right="9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20,000</w:t>
            </w:r>
          </w:p>
        </w:tc>
        <w:tc>
          <w:tcPr>
            <w:tcW w:w="164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1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1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2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9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Total intangible assets</w:t>
            </w:r>
          </w:p>
        </w:tc>
        <w:tc>
          <w:tcPr>
            <w:tcW w:w="1120" w:type="dxa"/>
            <w:vAlign w:val="bottom"/>
          </w:tcPr>
          <w:p>
            <w:pPr>
              <w:jc w:val="right"/>
              <w:ind w:right="9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25,500</w:t>
            </w:r>
          </w:p>
        </w:tc>
        <w:tc>
          <w:tcPr>
            <w:tcW w:w="1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6026785</wp:posOffset>
            </wp:positionH>
            <wp:positionV relativeFrom="paragraph">
              <wp:posOffset>-149860</wp:posOffset>
            </wp:positionV>
            <wp:extent cx="673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a result of the Merger, the Company incurred $1.9 million of transaction bonuses recorded in selling, general, and administrative expenses on the consolidated statements of operations. Additionally, the Company incurred $12.3 million of acquisition-related transaction costs reflected in transaction and integration expenses on the consolidated statements of operations for the year ended December 31,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Unaudited Pro Forma Results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unaudited pro forma financial information in the table below summarizes the combined results of operations for the Company and SomaLogic, as if the companies were combined as of January 1, 2023 and January 1, 2022, respectively.</w:t>
      </w:r>
    </w:p>
    <w:p>
      <w:pPr>
        <w:spacing w:after="0" w:line="14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unaudited pro forma financial information for the year ended December 31, 2024 combines the Company's financial results for the year ended December 31, 2024, and the historical results of SomaLogic for the 5-day period ended on the Closing Date. The unaudited pro forma financial information for the years ended December 31, 2023 and 2022 combine the historical results of the Company and SomaLogic for their respective years ended December 31, 2023 and 2022, respectively. The pro forma financial information for the years ended December 31, 2023 and 2022 have been adjusted to include certain nonrecurring impacts associated with the Merger, including the bargain purchase gain and transaction costs. These same impacts have been eliminated from the pro forma financial information for the year ended December 31, 2024.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as presented below is for informational purposes only and is not necessarily indicative of the results of operations that would have been achieved if the acquisitions had taken place on January 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36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6360" w:type="dxa"/>
            <w:vAlign w:val="bottom"/>
          </w:tcPr>
          <w:p>
            <w:pPr>
              <w:spacing w:after="0"/>
              <w:rPr>
                <w:sz w:val="10"/>
                <w:szCs w:val="10"/>
                <w:color w:val="auto"/>
              </w:rPr>
            </w:pPr>
          </w:p>
        </w:tc>
        <w:tc>
          <w:tcPr>
            <w:tcW w:w="1460" w:type="dxa"/>
            <w:vAlign w:val="bottom"/>
            <w:tcBorders>
              <w:bottom w:val="single" w:sz="8" w:color="auto"/>
            </w:tcBorders>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886"/>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6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460" w:type="dxa"/>
            <w:vAlign w:val="bottom"/>
            <w:shd w:val="clear" w:color="auto" w:fill="CFF0FC"/>
          </w:tcPr>
          <w:p>
            <w:pPr>
              <w:jc w:val="right"/>
              <w:ind w:right="1289"/>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175,077</w:t>
            </w:r>
          </w:p>
        </w:tc>
        <w:tc>
          <w:tcPr>
            <w:tcW w:w="3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192,465</w:t>
            </w:r>
          </w:p>
        </w:tc>
        <w:tc>
          <w:tcPr>
            <w:tcW w:w="120" w:type="dxa"/>
            <w:vAlign w:val="bottom"/>
            <w:shd w:val="clear" w:color="auto" w:fill="CFF0FC"/>
          </w:tcPr>
          <w:p>
            <w:pPr>
              <w:spacing w:after="0"/>
              <w:rPr>
                <w:sz w:val="15"/>
                <w:szCs w:val="15"/>
                <w:color w:val="auto"/>
              </w:rPr>
            </w:pPr>
          </w:p>
        </w:tc>
      </w:tr>
      <w:tr>
        <w:trPr>
          <w:trHeight w:val="206"/>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6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(168,654 )</w:t>
            </w:r>
          </w:p>
        </w:tc>
        <w:tc>
          <w:tcPr>
            <w:tcW w:w="76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(164,280 )</w:t>
            </w:r>
          </w:p>
        </w:tc>
      </w:tr>
    </w:tbl>
    <w:p>
      <w:pPr>
        <w:spacing w:after="0" w:line="15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results of SomaLogic have been consolidated with the Company's results since the Closing Date. For the period of January 6, 2024 to December 31, 2024, SomaLogic contributed revenue and loss of $82.3 million and $36.4 million,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Sengenics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November 21, 2024, the Company acquired 100% of the equity interests in Sengenics Corporation Pte Ltd (“Sengenics”) for a total purchase price of $13.7 million. Sengenics is a functional proteomics company focused on the detection of autoantibody biomarkers and protein interactions. The acquisition of Sengenics enabled the Company to add the KREX™ precision antibody profiling services and kits to its SomaScan™ suite of solutions. The Company incurred $1.4 million of costs to execute the acquisition, which are recorded within transaction and integration expenses on the consolidated statements of operations for the year ended December 31, 2024.</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6"/>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The consideration transferred to the sellers of Sengenics comprised the following:</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9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Standard BioTools Common Stock</w:t>
            </w:r>
          </w:p>
        </w:tc>
        <w:tc>
          <w:tcPr>
            <w:tcW w:w="740" w:type="dxa"/>
            <w:vAlign w:val="bottom"/>
            <w:shd w:val="clear" w:color="auto" w:fill="CFF0FC"/>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20" w:type="dxa"/>
            <w:vAlign w:val="bottom"/>
            <w:shd w:val="clear" w:color="auto" w:fill="CFF0FC"/>
          </w:tcPr>
          <w:p>
            <w:pPr>
              <w:spacing w:after="0"/>
              <w:rPr>
                <w:sz w:val="16"/>
                <w:szCs w:val="16"/>
                <w:color w:val="auto"/>
              </w:rPr>
            </w:pPr>
          </w:p>
        </w:tc>
      </w:tr>
      <w:tr>
        <w:trPr>
          <w:trHeight w:val="189"/>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tcPr>
          <w:p>
            <w:pPr>
              <w:spacing w:after="0"/>
              <w:rPr>
                <w:sz w:val="16"/>
                <w:szCs w:val="16"/>
                <w:color w:val="auto"/>
              </w:rPr>
            </w:pPr>
          </w:p>
        </w:tc>
      </w:tr>
      <w:tr>
        <w:trPr>
          <w:trHeight w:val="189"/>
        </w:trPr>
        <w:tc>
          <w:tcPr>
            <w:tcW w:w="9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7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8"/>
        </w:trPr>
        <w:tc>
          <w:tcPr>
            <w:tcW w:w="930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 transferred</w:t>
            </w:r>
          </w:p>
        </w:tc>
        <w:tc>
          <w:tcPr>
            <w:tcW w:w="74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13,690</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-137795</wp:posOffset>
            </wp:positionV>
            <wp:extent cx="6731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Consideration issued to the sellers included 3,627,959 shares of the Company's common stock. The fair value of the Company's common stock was based on a per share price of $1.62 (the opening price of the Company's common stock on the Nasdaq Global Select Market on November 21, 2024). Additionally, the 2024 Share Purchase Agreement (as defined below) provides for the sellers to receive one or more contingent payments up to a maximum aggregate amount of $21.0 million, if certain revenue thresholds are exceeded before December 31, 2028. The contingent payments owed will be determined as of the last day of each calendar quarter, based on the amount of trailing-twelve-month revenue generated from the sales of products or services that incorporate acquired Sengenics products. No contingent payment will be made if the Company does not generate $10.0 million of revenue from Sengenics products in a single twelve-month period before December 31, 2028.</w:t>
      </w:r>
    </w:p>
    <w:p>
      <w:pPr>
        <w:spacing w:after="0" w:line="16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fair value of the contingent consideration is estimated using a Monte Carlo simulation, which relies on management's revenue projections and the estimated probability of exceeding the defined revenue thresholds.</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Pursuant to ASC 805, the identifiable assets acquired and liabilities assumed of Sengenics were recorded at their estimated fair values as of the acquisition date and consolidated with those of the Company. The following table reflects the preliminary allocation of consideration transferred to the identifiable assets acquired and liabilities assumed based on the estimated fair values as of November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7058025</wp:posOffset>
            </wp:positionH>
            <wp:positionV relativeFrom="paragraph">
              <wp:posOffset>97155</wp:posOffset>
            </wp:positionV>
            <wp:extent cx="100330" cy="160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0330" cy="1606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760" w:type="dxa"/>
            <w:vAlign w:val="bottom"/>
            <w:tcBorders>
              <w:top w:val="single" w:sz="8" w:color="auto"/>
              <w:bottom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13,690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81"/>
        </w:trPr>
        <w:tc>
          <w:tcPr>
            <w:tcW w:w="9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20" w:type="dxa"/>
            <w:vAlign w:val="bottom"/>
          </w:tcPr>
          <w:p>
            <w:pPr>
              <w:spacing w:after="0"/>
              <w:rPr>
                <w:sz w:val="16"/>
                <w:szCs w:val="16"/>
                <w:color w:val="auto"/>
              </w:rPr>
            </w:pPr>
          </w:p>
        </w:tc>
      </w:tr>
      <w:tr>
        <w:trPr>
          <w:trHeight w:val="189"/>
        </w:trPr>
        <w:tc>
          <w:tcPr>
            <w:tcW w:w="9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7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926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assets acquired</w:t>
            </w:r>
          </w:p>
        </w:tc>
        <w:tc>
          <w:tcPr>
            <w:tcW w:w="76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9,706</w:t>
            </w:r>
          </w:p>
        </w:tc>
        <w:tc>
          <w:tcPr>
            <w:tcW w:w="120" w:type="dxa"/>
            <w:vAlign w:val="bottom"/>
          </w:tcPr>
          <w:p>
            <w:pPr>
              <w:spacing w:after="0"/>
              <w:rPr>
                <w:sz w:val="15"/>
                <w:szCs w:val="15"/>
                <w:color w:val="auto"/>
              </w:rPr>
            </w:pPr>
          </w:p>
        </w:tc>
      </w:tr>
      <w:tr>
        <w:trPr>
          <w:trHeight w:val="18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 w:type="dxa"/>
            <w:vAlign w:val="bottom"/>
          </w:tcPr>
          <w:p>
            <w:pPr>
              <w:spacing w:after="0"/>
              <w:rPr>
                <w:sz w:val="16"/>
                <w:szCs w:val="16"/>
                <w:color w:val="auto"/>
              </w:rPr>
            </w:pPr>
          </w:p>
        </w:tc>
      </w:tr>
      <w:tr>
        <w:trPr>
          <w:trHeight w:val="189"/>
        </w:trPr>
        <w:tc>
          <w:tcPr>
            <w:tcW w:w="9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FF0FC"/>
          </w:tcPr>
          <w:p>
            <w:pPr>
              <w:spacing w:after="0"/>
              <w:rPr>
                <w:sz w:val="16"/>
                <w:szCs w:val="16"/>
                <w:color w:val="auto"/>
              </w:rPr>
            </w:pPr>
          </w:p>
        </w:tc>
      </w:tr>
      <w:tr>
        <w:trPr>
          <w:trHeight w:val="189"/>
        </w:trPr>
        <w:tc>
          <w:tcPr>
            <w:tcW w:w="9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7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6"/>
                <w:szCs w:val="16"/>
                <w:color w:val="auto"/>
              </w:rPr>
            </w:pPr>
          </w:p>
        </w:tc>
      </w:tr>
      <w:tr>
        <w:trPr>
          <w:trHeight w:val="189"/>
        </w:trPr>
        <w:tc>
          <w:tcPr>
            <w:tcW w:w="92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7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93"/>
        </w:trPr>
        <w:tc>
          <w:tcPr>
            <w:tcW w:w="92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20" w:type="dxa"/>
            <w:vAlign w:val="bottom"/>
          </w:tcPr>
          <w:p>
            <w:pPr>
              <w:spacing w:after="0"/>
              <w:rPr>
                <w:sz w:val="16"/>
                <w:szCs w:val="16"/>
                <w:color w:val="auto"/>
              </w:rPr>
            </w:pPr>
          </w:p>
        </w:tc>
      </w:tr>
      <w:tr>
        <w:trPr>
          <w:trHeight w:val="193"/>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fair value of net assets acquired</w:t>
            </w:r>
          </w:p>
        </w:tc>
        <w:tc>
          <w:tcPr>
            <w:tcW w:w="760" w:type="dxa"/>
            <w:vAlign w:val="bottom"/>
            <w:tcBorders>
              <w:bottom w:val="single" w:sz="8" w:color="auto"/>
            </w:tcBorders>
            <w:shd w:val="clear" w:color="auto" w:fill="CFF0FC"/>
          </w:tcPr>
          <w:p>
            <w:pPr>
              <w:jc w:val="right"/>
              <w:ind w:right="60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92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Goodwill</w:t>
            </w:r>
          </w:p>
        </w:tc>
        <w:tc>
          <w:tcPr>
            <w:tcW w:w="760" w:type="dxa"/>
            <w:vAlign w:val="bottom"/>
            <w:tcBorders>
              <w:bottom w:val="single" w:sz="8" w:color="auto"/>
            </w:tcBorders>
          </w:tcPr>
          <w:p>
            <w:pPr>
              <w:jc w:val="right"/>
              <w:ind w:right="6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5,110</w:t>
            </w:r>
          </w:p>
        </w:tc>
        <w:tc>
          <w:tcPr>
            <w:tcW w:w="12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-1148080</wp:posOffset>
            </wp:positionV>
            <wp:extent cx="7493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-419735</wp:posOffset>
            </wp:positionV>
            <wp:extent cx="7493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-149860</wp:posOffset>
            </wp:positionV>
            <wp:extent cx="7493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goodwill is generated from operational synergies and cost savings the Company expects to achieve from the combined operations and Sengenics' knowledgeable and experienced workforce. The goodwill generated was fully allocated to the Proteomics reporting segment.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identifiable intangible assets acquired consisted of developed technology, customer relationships, and tradename. The fair values of the developed technology and customer relationships were estimated using variations of the multi-period excess earnings method, which isolates the net earnings attributable to the asset being measured. The fair value of the KREX™ trade name was estimated using the relief-from-royalty method, which determines the present value of license fees avoided by owning the trade name. The useful lives of acquired intangibles was estimated based on the period over which approximately 85% to 90% of the cumulative discounted cash</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color w:val="auto"/>
        </w:rPr>
        <w:t>flows would be realized, depending on the nature of the asset. The valuation of the intangible assets acquired, along with their estimated useful lives,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2"/>
                <w:szCs w:val="12"/>
                <w:color w:val="auto"/>
              </w:rPr>
            </w:pPr>
          </w:p>
        </w:tc>
        <w:tc>
          <w:tcPr>
            <w:tcW w:w="1160" w:type="dxa"/>
            <w:vAlign w:val="bottom"/>
            <w:vMerge w:val="restart"/>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Useful</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9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Developed technology</w:t>
            </w:r>
          </w:p>
        </w:tc>
        <w:tc>
          <w:tcPr>
            <w:tcW w:w="1160" w:type="dxa"/>
            <w:vAlign w:val="bottom"/>
            <w:shd w:val="clear" w:color="auto" w:fill="CFF0FC"/>
          </w:tcPr>
          <w:p>
            <w:pPr>
              <w:jc w:val="right"/>
              <w:ind w:right="98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5,800</w:t>
            </w:r>
          </w:p>
        </w:tc>
        <w:tc>
          <w:tcPr>
            <w:tcW w:w="164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1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16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900" w:type="dxa"/>
            <w:vAlign w:val="bottom"/>
          </w:tcPr>
          <w:p>
            <w:pPr>
              <w:ind w:left="80"/>
              <w:spacing w:after="0" w:line="181" w:lineRule="exact"/>
              <w:rPr>
                <w:sz w:val="20"/>
                <w:szCs w:val="20"/>
                <w:color w:val="auto"/>
              </w:rPr>
            </w:pPr>
            <w:r>
              <w:rPr>
                <w:rFonts w:ascii="Times New Roman" w:cs="Times New Roman" w:eastAsia="Times New Roman" w:hAnsi="Times New Roman"/>
                <w:sz w:val="16"/>
                <w:szCs w:val="16"/>
                <w:color w:val="auto"/>
              </w:rPr>
              <w:t>Total intangible assets</w:t>
            </w:r>
          </w:p>
        </w:tc>
        <w:tc>
          <w:tcPr>
            <w:tcW w:w="1160" w:type="dxa"/>
            <w:vAlign w:val="bottom"/>
          </w:tcPr>
          <w:p>
            <w:pPr>
              <w:jc w:val="right"/>
              <w:ind w:right="98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6,400</w:t>
            </w:r>
          </w:p>
        </w:tc>
        <w:tc>
          <w:tcPr>
            <w:tcW w:w="16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6026785</wp:posOffset>
            </wp:positionH>
            <wp:positionV relativeFrom="paragraph">
              <wp:posOffset>-149860</wp:posOffset>
            </wp:positionV>
            <wp:extent cx="6731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Sengenics revenue and loss from operations is not material to the Company's consolidated financial statements for any of the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and Geographic Area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Disaggregation of Revenue by Product Type and Geographic Area</w:t>
      </w:r>
    </w:p>
    <w:p>
      <w:pPr>
        <w:spacing w:after="0" w:line="10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following tables present the Company's revenue for the years ended December 31, 2024, 2023, and 2022, respectively, based on product type and the geographic location of customers’ facilities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664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3"/>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Product revenue:</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Instruments</w:t>
            </w:r>
          </w:p>
        </w:tc>
        <w:tc>
          <w:tcPr>
            <w:tcW w:w="800" w:type="dxa"/>
            <w:vAlign w:val="bottom"/>
          </w:tcPr>
          <w:p>
            <w:pPr>
              <w:jc w:val="right"/>
              <w:ind w:right="62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28,504</w:t>
            </w:r>
          </w:p>
        </w:tc>
        <w:tc>
          <w:tcPr>
            <w:tcW w:w="60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37,459</w:t>
            </w:r>
          </w:p>
        </w:tc>
        <w:tc>
          <w:tcPr>
            <w:tcW w:w="260" w:type="dxa"/>
            <w:vAlign w:val="bottom"/>
          </w:tcPr>
          <w:p>
            <w:pPr>
              <w:spacing w:after="0"/>
              <w:rPr>
                <w:sz w:val="16"/>
                <w:szCs w:val="16"/>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25,664</w:t>
            </w:r>
          </w:p>
        </w:tc>
        <w:tc>
          <w:tcPr>
            <w:tcW w:w="120" w:type="dxa"/>
            <w:vAlign w:val="bottom"/>
          </w:tcPr>
          <w:p>
            <w:pPr>
              <w:spacing w:after="0"/>
              <w:rPr>
                <w:sz w:val="16"/>
                <w:szCs w:val="16"/>
                <w:color w:val="auto"/>
              </w:rPr>
            </w:pPr>
          </w:p>
        </w:tc>
      </w:tr>
      <w:tr>
        <w:trPr>
          <w:trHeight w:val="189"/>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Consumables</w:t>
            </w: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60,064</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41,739</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46,790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4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product revenue</w:t>
            </w:r>
          </w:p>
        </w:tc>
        <w:tc>
          <w:tcPr>
            <w:tcW w:w="800" w:type="dxa"/>
            <w:vAlign w:val="bottom"/>
          </w:tcPr>
          <w:p>
            <w:pPr>
              <w:spacing w:after="0"/>
              <w:rPr>
                <w:sz w:val="15"/>
                <w:szCs w:val="15"/>
                <w:color w:val="auto"/>
              </w:rPr>
            </w:pP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88,568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79,198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72,454</w:t>
            </w:r>
          </w:p>
        </w:tc>
        <w:tc>
          <w:tcPr>
            <w:tcW w:w="120" w:type="dxa"/>
            <w:vAlign w:val="bottom"/>
          </w:tcPr>
          <w:p>
            <w:pPr>
              <w:spacing w:after="0"/>
              <w:rPr>
                <w:sz w:val="15"/>
                <w:szCs w:val="15"/>
                <w:color w:val="auto"/>
              </w:rPr>
            </w:pP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6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Lab services</w:t>
            </w:r>
          </w:p>
        </w:tc>
        <w:tc>
          <w:tcPr>
            <w:tcW w:w="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Pr>
          <w:p>
            <w:pPr>
              <w:spacing w:after="0"/>
              <w:rPr>
                <w:sz w:val="16"/>
                <w:szCs w:val="16"/>
                <w:color w:val="auto"/>
              </w:rPr>
            </w:pPr>
          </w:p>
        </w:tc>
      </w:tr>
      <w:tr>
        <w:trPr>
          <w:trHeight w:val="189"/>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Field services</w:t>
            </w: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24,649</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25,274</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23,219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40" w:type="dxa"/>
            <w:vAlign w:val="bottom"/>
          </w:tcPr>
          <w:p>
            <w:pPr>
              <w:ind w:left="320"/>
              <w:spacing w:after="0" w:line="181" w:lineRule="exact"/>
              <w:rPr>
                <w:sz w:val="20"/>
                <w:szCs w:val="20"/>
                <w:color w:val="auto"/>
              </w:rPr>
            </w:pPr>
            <w:r>
              <w:rPr>
                <w:rFonts w:ascii="Times New Roman" w:cs="Times New Roman" w:eastAsia="Times New Roman" w:hAnsi="Times New Roman"/>
                <w:sz w:val="16"/>
                <w:szCs w:val="16"/>
                <w:color w:val="auto"/>
              </w:rPr>
              <w:t>Total service revenue</w:t>
            </w: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81,133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25,980</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23,712</w:t>
            </w:r>
          </w:p>
        </w:tc>
        <w:tc>
          <w:tcPr>
            <w:tcW w:w="120" w:type="dxa"/>
            <w:vAlign w:val="bottom"/>
          </w:tcPr>
          <w:p>
            <w:pPr>
              <w:spacing w:after="0"/>
              <w:rPr>
                <w:sz w:val="15"/>
                <w:szCs w:val="15"/>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Product and service revenue</w:t>
            </w: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169,701</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105,178</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96,166</w:t>
            </w:r>
          </w:p>
        </w:tc>
        <w:tc>
          <w:tcPr>
            <w:tcW w:w="120" w:type="dxa"/>
            <w:vAlign w:val="bottom"/>
            <w:shd w:val="clear" w:color="auto" w:fill="CFF0FC"/>
          </w:tcPr>
          <w:p>
            <w:pPr>
              <w:spacing w:after="0"/>
              <w:rPr>
                <w:sz w:val="15"/>
                <w:szCs w:val="15"/>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Collaboration and other revenue</w:t>
            </w:r>
          </w:p>
        </w:tc>
        <w:tc>
          <w:tcPr>
            <w:tcW w:w="8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20" w:type="dxa"/>
            <w:vAlign w:val="bottom"/>
          </w:tcPr>
          <w:p>
            <w:pPr>
              <w:spacing w:after="0"/>
              <w:rPr>
                <w:sz w:val="16"/>
                <w:szCs w:val="16"/>
                <w:color w:val="auto"/>
              </w:rPr>
            </w:pPr>
          </w:p>
        </w:tc>
      </w:tr>
      <w:tr>
        <w:trPr>
          <w:trHeight w:val="221"/>
        </w:trPr>
        <w:tc>
          <w:tcPr>
            <w:tcW w:w="6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bottom w:val="single" w:sz="8" w:color="auto"/>
            </w:tcBorders>
            <w:shd w:val="clear" w:color="auto" w:fill="CFF0FC"/>
          </w:tcPr>
          <w:p>
            <w:pPr>
              <w:jc w:val="right"/>
              <w:ind w:right="62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174,432</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97,948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95"/>
        </w:trPr>
        <w:tc>
          <w:tcPr>
            <w:tcW w:w="66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2"/>
        </w:trPr>
        <w:tc>
          <w:tcPr>
            <w:tcW w:w="6640" w:type="dxa"/>
            <w:vAlign w:val="bottom"/>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3"/>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Americas</w:t>
            </w:r>
          </w:p>
        </w:tc>
        <w:tc>
          <w:tcPr>
            <w:tcW w:w="800" w:type="dxa"/>
            <w:vAlign w:val="bottom"/>
            <w:shd w:val="clear" w:color="auto" w:fill="CFF0FC"/>
          </w:tcPr>
          <w:p>
            <w:pPr>
              <w:jc w:val="right"/>
              <w:ind w:right="62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93,462</w:t>
            </w:r>
          </w:p>
        </w:tc>
        <w:tc>
          <w:tcPr>
            <w:tcW w:w="60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46,196</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43,982</w:t>
            </w:r>
          </w:p>
        </w:tc>
        <w:tc>
          <w:tcPr>
            <w:tcW w:w="120" w:type="dxa"/>
            <w:vAlign w:val="bottom"/>
            <w:shd w:val="clear" w:color="auto" w:fill="CFF0FC"/>
          </w:tcPr>
          <w:p>
            <w:pPr>
              <w:spacing w:after="0"/>
              <w:rPr>
                <w:sz w:val="15"/>
                <w:szCs w:val="15"/>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Europe, Middle East and Africa (EMEA)</w:t>
            </w:r>
          </w:p>
        </w:tc>
        <w:tc>
          <w:tcPr>
            <w:tcW w:w="8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33,136</w:t>
            </w:r>
          </w:p>
        </w:tc>
        <w:tc>
          <w:tcPr>
            <w:tcW w:w="120" w:type="dxa"/>
            <w:vAlign w:val="bottom"/>
          </w:tcPr>
          <w:p>
            <w:pPr>
              <w:spacing w:after="0"/>
              <w:rPr>
                <w:sz w:val="16"/>
                <w:szCs w:val="16"/>
                <w:color w:val="auto"/>
              </w:rPr>
            </w:pPr>
          </w:p>
        </w:tc>
      </w:tr>
      <w:tr>
        <w:trPr>
          <w:trHeight w:val="18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Asia-Pacific</w:t>
            </w: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28,651</w:t>
            </w:r>
          </w:p>
        </w:tc>
        <w:tc>
          <w:tcPr>
            <w:tcW w:w="2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23,943</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20,830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Pr>
          <w:p>
            <w:pPr>
              <w:jc w:val="right"/>
              <w:ind w:right="62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174,432</w:t>
            </w:r>
          </w:p>
        </w:tc>
        <w:tc>
          <w:tcPr>
            <w:tcW w:w="600" w:type="dxa"/>
            <w:vAlign w:val="bottom"/>
            <w:gridSpan w:val="2"/>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106,340</w:t>
            </w:r>
          </w:p>
        </w:tc>
        <w:tc>
          <w:tcPr>
            <w:tcW w:w="260" w:type="dxa"/>
            <w:vAlign w:val="bottom"/>
          </w:tcPr>
          <w:p>
            <w:pPr>
              <w:spacing w:after="0"/>
              <w:rPr>
                <w:sz w:val="15"/>
                <w:szCs w:val="15"/>
                <w:color w:val="auto"/>
              </w:rPr>
            </w:pPr>
          </w:p>
        </w:tc>
        <w:tc>
          <w:tcPr>
            <w:tcW w:w="30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97,948</w:t>
            </w:r>
          </w:p>
        </w:tc>
        <w:tc>
          <w:tcPr>
            <w:tcW w:w="12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-1824355</wp:posOffset>
            </wp:positionV>
            <wp:extent cx="7493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-1824355</wp:posOffset>
            </wp:positionV>
            <wp:extent cx="6731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-1824355</wp:posOffset>
            </wp:positionV>
            <wp:extent cx="673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-1336040</wp:posOffset>
            </wp:positionV>
            <wp:extent cx="7493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-1336040</wp:posOffset>
            </wp:positionV>
            <wp:extent cx="6731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-1336040</wp:posOffset>
            </wp:positionV>
            <wp:extent cx="673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-833120</wp:posOffset>
            </wp:positionV>
            <wp:extent cx="7493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-817880</wp:posOffset>
            </wp:positionV>
            <wp:extent cx="7493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-833120</wp:posOffset>
            </wp:positionV>
            <wp:extent cx="673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-817880</wp:posOffset>
            </wp:positionV>
            <wp:extent cx="673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-833120</wp:posOffset>
            </wp:positionV>
            <wp:extent cx="673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-817880</wp:posOffset>
            </wp:positionV>
            <wp:extent cx="673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 xml:space="preserve">Most of the Company's principal operations, other than manufacturing, are located in the United States. Revenue from customers in the United States represented $89.9 million, or 52%, of total revenues for the year ended December 31, 2024, $44.1 million, or 41%, of total revenues for the year ended December 31, 2023, and $41.0 million, or 42%, of total revenues for the year ended December 31, 2022. Refer to Note 16,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for additional information on revenue by reporting segment.</w:t>
      </w:r>
    </w:p>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Revenue from customers in China represented $11.8 million, or 7%, of total revenues for the year ended December 31, 2024, 15% of total revenues for the year ended December 31, 2023, and 11% of total revenues for the year ended December 31, 2022. With the exception of China in 2024, 2023, and 2022, no foreign country or jurisdiction had revenue in excess of 10% of the Company's total revenue during the years ended December 31, 2024, 2023, and 2022.</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One genomics customer accounted for 6%, 10%, and 11% of the Company's total revenue for the years ended December 31, 2024, 2023, and 2022, respectively, and 5% and 14% of outstanding net trade receivables at December 31, 2024 and 2023, respectively. No other customer represented more than 10% of the Company's total revenue for the fiscal years ended December 31, 2024, 2023, and 2022. Revenue from the Company's five largest customers represented 22% of total revenue for the year ended December 31, 2024, 24% of total revenue for the year ended December 31, 2023, and 19% of total revenue for the year ended December 31, 2022</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i w:val="1"/>
          <w:iCs w:val="1"/>
          <w:color w:val="auto"/>
        </w:rPr>
        <w:t>Collaboration and License Agreements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Illumina Cambridge, Ltd.</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connection with the Merger, the Company assumed a multi-year arrangement with Illumina Cambridge, Ltd. ("Illumina"), originally entered into by SomaLogic and Illumina in December 2021 (the "Illumina Agreement"), to jointly develop and commercialize co-branded kits to combine Illumina's Next Generation Sequencing ("NGS") technology with SomaScan® technology (the "Co-Branded Kits"). Pursuant to the Illumina Agreement, SomaLogic received a non-refundable upfront payment of $30.0 million in January 2022. Subsequent to executing the Illumina Agreement, Illumina paid an additional $0.5 million to purchase the equipment, supplies and training necessary to run the SomaScan® assay at their facilities, representing a modification to the Illumina Agreement. As of the Closing Date, the Company determined that the transaction price of the Illumina Agreement was $30.5 million. Subsequent to commercialization of the Co-Branded Kits, the Company is entitled to receive $124.5 million of minimum guaranteed royalties through the term of the Illumina Agreement. No royalties were included in the Illumina transaction price as probability of commercialization had not been achieved as of the Closing Date.</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Subsequent to commercialization of the Co-Branded Kits, Illumina has the right to purchase SOMAmer reagents below SSP through the remaining term of the Illumina Agreement, which will continue for approximately 8 years following commercialization. Illumina's option to purchase SOMAmer reagents below SSP for this period represents a significant material right (the "Material Right"). As of the Closing Date, the Company allocated $30.4 million of the Illumina transaction price to the Material Right, which will be recognized as revenue as Illumina purchases SOMAmer reagents post commercialization.</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During the first quarter of 2024, the Company determined that commercialization of the Co-Branded Kits is probable due to the launch of an early-access program, and adjusted the transaction price to include $127.9 million of royalties expected to be received from 2025 through 2032. The Company allocated $0.4 million of the adjusted transaction price to satisfied performance obligations, and recognized that amount as revenue on a cumulative catch-up basis. The total transaction price of the Illumina Agreement as adjusted is $158.4 million. Substantially all of the transaction price is allocated to the Material Right, which the Company expects to recognize as revenue over an 8-year period from 2025 through 2032.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NEC Corporation</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Additionally, in connection with the Merger, the Company assumed a joint development and commercialization agreement (the "JDCA") with NEC Solution Innovators, Ltd. ("NEC"), originally entered into by SomaLogic and NEC in March 2020, to develop and commercialize SomaScan® services in Japan. The JDCA is within the scope of ASC 808 as both companies are active participants and are exposed to significant rewards and risks dependent on commercial failure or success, and is accounted for by analogy to ASC 606.</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connection with the Merger, the Company assumed certain contract liabilities and recorded $1.8 million of deferred revenue as of the Closing Date. Under the JDCA, the Company was entitled to receive $2.0 million in exchange for research and development services, which was received in April 2024. As of December 31, 2024, deferred revenue related to the JDCA was $0.8 million, which is expected to be fully recognized by March 31,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New England Biolabs, Inc.</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Also in connection with the Merger, the Company assumed a non-exclusive licensing agreement with New England Biolabs, Inc. ("NEB"), originally entered into by SomaLogic and NEB in September 2022 (the "NEB Agreement"), whereby the Company provides a license to use certain proprietary information and know-how relating to SomaLogic's aptamer technology. Under the NEB Agreement, the Company is guaranteed fixed minimum royalties of $5.0 million to be received through September 2025. No revenue related to the guaranteed fixed minimum royalties will be recognized, as all revenue related to the receivable was recognized by SomaLogic prior to the Merger. Any revenue above the guaranteed fixed minimum royalties will be recognized in the period in which the subsequent sale or usage has occurred. As of December 31, 2024, royalties receivable related to this agreement were $4.7 million, included in accounts receivable within current assets on the consolidated balance sheets.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1" w:right="319" w:bottom="1440" w:gutter="0" w:footer="0" w:header="0"/>
        </w:sectPr>
      </w:pPr>
    </w:p>
    <w:bookmarkStart w:id="95" w:name="page96"/>
    <w:bookmarkEnd w:id="95"/>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Unfulfilled Performance Obligations</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 summary of the change in deferred revenue is as follows (in thousands):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57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NEC</w:t>
            </w:r>
          </w:p>
        </w:tc>
        <w:tc>
          <w:tcPr>
            <w:tcW w:w="4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Illumina</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r>
      <w:tr>
        <w:trPr>
          <w:trHeight w:val="181"/>
        </w:trPr>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2021</w:t>
            </w:r>
          </w:p>
        </w:tc>
        <w:tc>
          <w:tcPr>
            <w:tcW w:w="740" w:type="dxa"/>
            <w:vAlign w:val="bottom"/>
            <w:shd w:val="clear" w:color="auto" w:fill="CFF0FC"/>
          </w:tcPr>
          <w:p>
            <w:pPr>
              <w:jc w:val="right"/>
              <w:ind w:right="58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17,913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17,913</w:t>
            </w:r>
          </w:p>
        </w:tc>
        <w:tc>
          <w:tcPr>
            <w:tcW w:w="120" w:type="dxa"/>
            <w:vAlign w:val="bottom"/>
            <w:shd w:val="clear" w:color="auto" w:fill="CFF0FC"/>
          </w:tcPr>
          <w:p>
            <w:pPr>
              <w:spacing w:after="0"/>
              <w:rPr>
                <w:sz w:val="15"/>
                <w:szCs w:val="15"/>
                <w:color w:val="auto"/>
              </w:rPr>
            </w:pP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Recognition of revenue from beginning deferred revenue balances</w:t>
            </w:r>
          </w:p>
        </w:tc>
        <w:tc>
          <w:tcPr>
            <w:tcW w:w="74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(10,848 )</w:t>
            </w:r>
          </w:p>
        </w:tc>
        <w:tc>
          <w:tcPr>
            <w:tcW w:w="26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(10,848 )</w:t>
            </w:r>
          </w:p>
        </w:tc>
      </w:tr>
      <w:tr>
        <w:trPr>
          <w:trHeight w:val="18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deferred during the period, net of revenue recognized</w:t>
            </w:r>
          </w:p>
        </w:tc>
        <w:tc>
          <w:tcPr>
            <w:tcW w:w="74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2022</w:t>
            </w:r>
          </w:p>
        </w:tc>
        <w:tc>
          <w:tcPr>
            <w:tcW w:w="740" w:type="dxa"/>
            <w:vAlign w:val="bottom"/>
          </w:tcPr>
          <w:p>
            <w:pPr>
              <w:spacing w:after="0"/>
              <w:rPr>
                <w:sz w:val="15"/>
                <w:szCs w:val="15"/>
                <w:color w:val="auto"/>
              </w:rPr>
            </w:pPr>
          </w:p>
        </w:tc>
        <w:tc>
          <w:tcPr>
            <w:tcW w:w="70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14,608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14,608</w:t>
            </w:r>
          </w:p>
        </w:tc>
        <w:tc>
          <w:tcPr>
            <w:tcW w:w="120" w:type="dxa"/>
            <w:vAlign w:val="bottom"/>
          </w:tcPr>
          <w:p>
            <w:pPr>
              <w:spacing w:after="0"/>
              <w:rPr>
                <w:sz w:val="15"/>
                <w:szCs w:val="15"/>
                <w:color w:val="auto"/>
              </w:rPr>
            </w:pPr>
          </w:p>
        </w:tc>
      </w:tr>
      <w:tr>
        <w:trPr>
          <w:trHeight w:val="18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Recognition of revenue from beginning deferred revenue balances</w:t>
            </w:r>
          </w:p>
        </w:tc>
        <w:tc>
          <w:tcPr>
            <w:tcW w:w="7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(10,565 )</w:t>
            </w: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(10,565 )</w:t>
            </w: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Revenue deferred during the period, net of revenue recognized</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11,084</w:t>
            </w:r>
          </w:p>
        </w:tc>
        <w:tc>
          <w:tcPr>
            <w:tcW w:w="120" w:type="dxa"/>
            <w:vAlign w:val="bottom"/>
          </w:tcPr>
          <w:p>
            <w:pPr>
              <w:spacing w:after="0"/>
              <w:rPr>
                <w:sz w:val="16"/>
                <w:szCs w:val="16"/>
                <w:color w:val="auto"/>
              </w:rPr>
            </w:pPr>
          </w:p>
        </w:tc>
      </w:tr>
      <w:tr>
        <w:trPr>
          <w:trHeight w:val="181"/>
        </w:trPr>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2023</w:t>
            </w:r>
          </w:p>
        </w:tc>
        <w:tc>
          <w:tcPr>
            <w:tcW w:w="7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15,127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15,127</w:t>
            </w:r>
          </w:p>
        </w:tc>
        <w:tc>
          <w:tcPr>
            <w:tcW w:w="120" w:type="dxa"/>
            <w:vAlign w:val="bottom"/>
            <w:shd w:val="clear" w:color="auto" w:fill="CFF0FC"/>
          </w:tcPr>
          <w:p>
            <w:pPr>
              <w:spacing w:after="0"/>
              <w:rPr>
                <w:sz w:val="15"/>
                <w:szCs w:val="15"/>
                <w:color w:val="auto"/>
              </w:rPr>
            </w:pP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assumed in business combinations</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34,608</w:t>
            </w:r>
          </w:p>
        </w:tc>
        <w:tc>
          <w:tcPr>
            <w:tcW w:w="120" w:type="dxa"/>
            <w:vAlign w:val="bottom"/>
          </w:tcPr>
          <w:p>
            <w:pPr>
              <w:spacing w:after="0"/>
              <w:rPr>
                <w:sz w:val="16"/>
                <w:szCs w:val="16"/>
                <w:color w:val="auto"/>
              </w:rPr>
            </w:pPr>
          </w:p>
        </w:tc>
      </w:tr>
      <w:tr>
        <w:trPr>
          <w:trHeight w:val="18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Recognition of revenue from beginning or assumed deferred revenue balances</w:t>
            </w:r>
          </w:p>
        </w:tc>
        <w:tc>
          <w:tcPr>
            <w:tcW w:w="7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4"/>
              </w:rPr>
              <w:t>(1,510 )</w:t>
            </w:r>
          </w:p>
        </w:tc>
        <w:tc>
          <w:tcPr>
            <w:tcW w:w="2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(406 )</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(12,667 )</w:t>
            </w: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(14,583 )</w:t>
            </w:r>
          </w:p>
        </w:tc>
      </w:tr>
      <w:tr>
        <w:trPr>
          <w:trHeight w:val="189"/>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Revenue deferred during the period, net of revenue recognized</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10,640</w:t>
            </w:r>
          </w:p>
        </w:tc>
        <w:tc>
          <w:tcPr>
            <w:tcW w:w="120" w:type="dxa"/>
            <w:vAlign w:val="bottom"/>
          </w:tcPr>
          <w:p>
            <w:pPr>
              <w:spacing w:after="0"/>
              <w:rPr>
                <w:sz w:val="16"/>
                <w:szCs w:val="16"/>
                <w:color w:val="auto"/>
              </w:rPr>
            </w:pPr>
          </w:p>
        </w:tc>
      </w:tr>
      <w:tr>
        <w:trPr>
          <w:trHeight w:val="221"/>
        </w:trPr>
        <w:tc>
          <w:tcPr>
            <w:tcW w:w="57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Deferred revenue at December 31, 2024</w:t>
            </w:r>
          </w:p>
        </w:tc>
        <w:tc>
          <w:tcPr>
            <w:tcW w:w="740" w:type="dxa"/>
            <w:vAlign w:val="bottom"/>
            <w:tcBorders>
              <w:top w:val="single" w:sz="8" w:color="auto"/>
              <w:bottom w:val="single" w:sz="8" w:color="auto"/>
            </w:tcBorders>
            <w:shd w:val="clear" w:color="auto" w:fill="CFF0FC"/>
          </w:tcPr>
          <w:p>
            <w:pPr>
              <w:jc w:val="right"/>
              <w:ind w:right="58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763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30,012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15,017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45,792</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-1005840</wp:posOffset>
            </wp:positionV>
            <wp:extent cx="7493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-1005840</wp:posOffset>
            </wp:positionV>
            <wp:extent cx="7493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-1005840</wp:posOffset>
            </wp:positionV>
            <wp:extent cx="673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-1005840</wp:posOffset>
            </wp:positionV>
            <wp:extent cx="673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-21590</wp:posOffset>
            </wp:positionV>
            <wp:extent cx="7493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-6985</wp:posOffset>
            </wp:positionV>
            <wp:extent cx="7493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-21590</wp:posOffset>
            </wp:positionV>
            <wp:extent cx="7493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-6985</wp:posOffset>
            </wp:positionV>
            <wp:extent cx="7493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-21590</wp:posOffset>
            </wp:positionV>
            <wp:extent cx="673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6217920</wp:posOffset>
            </wp:positionH>
            <wp:positionV relativeFrom="paragraph">
              <wp:posOffset>-6985</wp:posOffset>
            </wp:positionV>
            <wp:extent cx="673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73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73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The Company expects to recognize revenue from unfulfilled performance obligations associated with service contracts that were partially completed as of December 31, 2024 in the following periods (in thousands):</w:t>
      </w:r>
    </w:p>
    <w:p>
      <w:pPr>
        <w:spacing w:after="0" w:line="107"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 xml:space="preserve">Expected Revenue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6"/>
                <w:szCs w:val="16"/>
                <w:color w:val="auto"/>
              </w:rPr>
            </w:pPr>
          </w:p>
        </w:tc>
      </w:tr>
      <w:tr>
        <w:trPr>
          <w:trHeight w:val="181"/>
        </w:trPr>
        <w:tc>
          <w:tcPr>
            <w:tcW w:w="90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10,763</w:t>
            </w:r>
          </w:p>
        </w:tc>
        <w:tc>
          <w:tcPr>
            <w:tcW w:w="120" w:type="dxa"/>
            <w:vAlign w:val="bottom"/>
            <w:shd w:val="clear" w:color="auto" w:fill="CFF0FC"/>
          </w:tcPr>
          <w:p>
            <w:pPr>
              <w:spacing w:after="0"/>
              <w:rPr>
                <w:sz w:val="15"/>
                <w:szCs w:val="15"/>
                <w:color w:val="auto"/>
              </w:rPr>
            </w:pPr>
          </w:p>
        </w:tc>
      </w:tr>
      <w:tr>
        <w:trPr>
          <w:trHeight w:val="189"/>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20" w:type="dxa"/>
            <w:vAlign w:val="bottom"/>
          </w:tcPr>
          <w:p>
            <w:pPr>
              <w:spacing w:after="0"/>
              <w:rPr>
                <w:sz w:val="16"/>
                <w:szCs w:val="16"/>
                <w:color w:val="auto"/>
              </w:rPr>
            </w:pPr>
          </w:p>
        </w:tc>
      </w:tr>
      <w:tr>
        <w:trPr>
          <w:trHeight w:val="189"/>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20" w:type="dxa"/>
            <w:vAlign w:val="bottom"/>
            <w:shd w:val="clear" w:color="auto" w:fill="CFF0FC"/>
          </w:tcPr>
          <w:p>
            <w:pPr>
              <w:spacing w:after="0"/>
              <w:rPr>
                <w:sz w:val="16"/>
                <w:szCs w:val="16"/>
                <w:color w:val="auto"/>
              </w:rPr>
            </w:pPr>
          </w:p>
        </w:tc>
      </w:tr>
      <w:tr>
        <w:trPr>
          <w:trHeight w:val="189"/>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Pr>
          <w:p>
            <w:pPr>
              <w:spacing w:after="0"/>
              <w:rPr>
                <w:sz w:val="16"/>
                <w:szCs w:val="16"/>
                <w:color w:val="auto"/>
              </w:rPr>
            </w:pPr>
          </w:p>
        </w:tc>
      </w:tr>
      <w:tr>
        <w:trPr>
          <w:trHeight w:val="221"/>
        </w:trPr>
        <w:tc>
          <w:tcPr>
            <w:tcW w:w="90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16,603</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7074535</wp:posOffset>
            </wp:positionH>
            <wp:positionV relativeFrom="paragraph">
              <wp:posOffset>-21590</wp:posOffset>
            </wp:positionV>
            <wp:extent cx="7493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-6985</wp:posOffset>
            </wp:positionV>
            <wp:extent cx="7493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20" w:hanging="505"/>
        <w:spacing w:after="0" w:line="261" w:lineRule="auto"/>
        <w:tabs>
          <w:tab w:leader="none" w:pos="50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revenue includes both billed amounts included in deferred revenue and unbilled amounts that are not reflected in the Company's consolidated financial statements and are subject to change if the Company's customers decide to cancel or modify their contracts. Purchase orders for instrument service contracts can generally be canceled before the service period begins.</w:t>
      </w:r>
    </w:p>
    <w:p>
      <w:pPr>
        <w:spacing w:after="0" w:line="15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 also has unsatisfied performance obligations for service contracts with an expected term of one year or less not included in the amounts above.</w:t>
      </w: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by Geographical Area</w:t>
      </w:r>
    </w:p>
    <w:p>
      <w:pPr>
        <w:spacing w:after="0" w:line="104" w:lineRule="exact"/>
        <w:rPr>
          <w:sz w:val="20"/>
          <w:szCs w:val="20"/>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The Company had long-lived assets consisting of property and equipment, net of accumulated depreciation, and operating lease ROU assets, net of accumulated amortization, in the following geographic areas for each year presented (in thousands):</w:t>
      </w:r>
    </w:p>
    <w:p>
      <w:pPr>
        <w:spacing w:after="0" w:line="13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34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000" w:type="dxa"/>
            <w:vAlign w:val="bottom"/>
            <w:tcBorders>
              <w:bottom w:val="single" w:sz="8" w:color="auto"/>
            </w:tcBorders>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6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4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United States</w:t>
            </w:r>
          </w:p>
        </w:tc>
        <w:tc>
          <w:tcPr>
            <w:tcW w:w="5320" w:type="dxa"/>
            <w:vAlign w:val="bottom"/>
            <w:gridSpan w:val="2"/>
            <w:shd w:val="clear" w:color="auto" w:fill="CFF0FC"/>
          </w:tcPr>
          <w:p>
            <w:pPr>
              <w:jc w:val="right"/>
              <w:ind w:right="85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51,794</w:t>
            </w:r>
          </w:p>
        </w:tc>
        <w:tc>
          <w:tcPr>
            <w:tcW w:w="720" w:type="dxa"/>
            <w:vAlign w:val="bottom"/>
            <w:gridSpan w:val="2"/>
            <w:shd w:val="clear" w:color="auto" w:fill="CFF0FC"/>
          </w:tcPr>
          <w:p>
            <w:pPr>
              <w:jc w:val="right"/>
              <w:ind w:right="3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29,646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4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13,042</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Canada</w:t>
            </w:r>
          </w:p>
        </w:tc>
        <w:tc>
          <w:tcPr>
            <w:tcW w:w="4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Other Asia-Pacific</w:t>
            </w:r>
          </w:p>
        </w:tc>
        <w:tc>
          <w:tcPr>
            <w:tcW w:w="4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EMEA</w:t>
            </w:r>
          </w:p>
        </w:tc>
        <w:tc>
          <w:tcPr>
            <w:tcW w:w="4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5320" w:type="dxa"/>
            <w:vAlign w:val="bottom"/>
            <w:gridSpan w:val="2"/>
          </w:tcPr>
          <w:p>
            <w:pPr>
              <w:jc w:val="right"/>
              <w:ind w:right="85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71,384</w:t>
            </w:r>
          </w:p>
        </w:tc>
        <w:tc>
          <w:tcPr>
            <w:tcW w:w="720" w:type="dxa"/>
            <w:vAlign w:val="bottom"/>
            <w:gridSpan w:val="2"/>
          </w:tcPr>
          <w:p>
            <w:pPr>
              <w:jc w:val="right"/>
              <w:ind w:right="3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54,850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320" w:type="dxa"/>
            <w:vAlign w:val="bottom"/>
            <w:vMerge w:val="restart"/>
          </w:tcPr>
          <w:p>
            <w:pPr>
              <w:jc w:val="right"/>
              <w:ind w:right="1841"/>
              <w:spacing w:after="0"/>
              <w:rPr>
                <w:sz w:val="20"/>
                <w:szCs w:val="20"/>
                <w:color w:val="auto"/>
              </w:rPr>
            </w:pPr>
            <w:r>
              <w:rPr>
                <w:rFonts w:ascii="Times New Roman" w:cs="Times New Roman" w:eastAsia="Times New Roman" w:hAnsi="Times New Roman"/>
                <w:sz w:val="16"/>
                <w:szCs w:val="16"/>
                <w:color w:val="auto"/>
              </w:rPr>
              <w:t>93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4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34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-945515</wp:posOffset>
            </wp:positionV>
            <wp:extent cx="673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-945515</wp:posOffset>
            </wp:positionV>
            <wp:extent cx="673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30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color w:val="auto"/>
        </w:rPr>
        <w:t>5. Goodwill and Acquired Intangible Assets, net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carrying value of goodwill by segment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Proteomics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Genomics</w:t>
            </w:r>
          </w:p>
        </w:tc>
        <w:tc>
          <w:tcPr>
            <w:tcW w:w="260" w:type="dxa"/>
            <w:vAlign w:val="bottom"/>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2021</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85,855</w:t>
            </w:r>
          </w:p>
        </w:tc>
        <w:tc>
          <w:tcPr>
            <w:tcW w:w="160" w:type="dxa"/>
            <w:vAlign w:val="bottom"/>
            <w:shd w:val="clear" w:color="auto" w:fill="CFF0FC"/>
          </w:tcPr>
          <w:p>
            <w:pPr>
              <w:spacing w:after="0"/>
              <w:rPr>
                <w:sz w:val="15"/>
                <w:szCs w:val="15"/>
                <w:color w:val="auto"/>
              </w:rPr>
            </w:pPr>
          </w:p>
        </w:tc>
        <w:tc>
          <w:tcPr>
            <w:tcW w:w="420" w:type="dxa"/>
            <w:vAlign w:val="bottom"/>
            <w:gridSpan w:val="3"/>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20,524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106,379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2022</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85,752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20,499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106,251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2023</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85,798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20,519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106,317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 of Sengenics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(25 )</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181"/>
        </w:trPr>
        <w:tc>
          <w:tcPr>
            <w:tcW w:w="266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Balance as of December 31, 2024</w:t>
            </w:r>
          </w:p>
        </w:tc>
        <w:tc>
          <w:tcPr>
            <w:tcW w:w="14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7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90,803</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20,494</w:t>
            </w: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111,297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Acquired intangible assets, net, consisted of the following (in thousands):</w:t>
            </w: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20" w:type="dxa"/>
            <w:vAlign w:val="bottom"/>
            <w:gridSpan w:val="7"/>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right"/>
              <w:ind w:right="148"/>
              <w:spacing w:after="0" w:line="100"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tcPr>
          <w:p>
            <w:pPr>
              <w:ind w:left="1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300" w:type="dxa"/>
            <w:vAlign w:val="bottom"/>
          </w:tcPr>
          <w:p>
            <w:pPr>
              <w:spacing w:after="0"/>
              <w:rPr>
                <w:sz w:val="8"/>
                <w:szCs w:val="8"/>
                <w:color w:val="auto"/>
              </w:rPr>
            </w:pPr>
          </w:p>
        </w:tc>
        <w:tc>
          <w:tcPr>
            <w:tcW w:w="94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Net</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Gross Carrying</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tcPr>
          <w:p>
            <w:pPr>
              <w:jc w:val="right"/>
              <w:ind w:right="34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restart"/>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142,839</w:t>
            </w:r>
          </w:p>
        </w:tc>
        <w:tc>
          <w:tcPr>
            <w:tcW w:w="36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(119,333 )</w:t>
            </w:r>
          </w:p>
        </w:tc>
        <w:tc>
          <w:tcPr>
            <w:tcW w:w="30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23,506</w:t>
            </w:r>
          </w:p>
        </w:tc>
        <w:tc>
          <w:tcPr>
            <w:tcW w:w="38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4"/>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117,354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(115,954 )</w:t>
            </w:r>
          </w:p>
        </w:tc>
        <w:tc>
          <w:tcPr>
            <w:tcW w:w="38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(401 )</w:t>
            </w:r>
          </w:p>
        </w:tc>
        <w:tc>
          <w:tcPr>
            <w:tcW w:w="3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(251 )</w:t>
            </w:r>
          </w:p>
        </w:tc>
        <w:tc>
          <w:tcPr>
            <w:tcW w:w="3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Acquired intangible assets,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148,939</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(119,985 )</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28,954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117,354</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(115,954 )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-1287145</wp:posOffset>
            </wp:positionV>
            <wp:extent cx="7493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-1287145</wp:posOffset>
            </wp:positionV>
            <wp:extent cx="6731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-1287145</wp:posOffset>
            </wp:positionV>
            <wp:extent cx="6731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-137795</wp:posOffset>
            </wp:positionV>
            <wp:extent cx="7493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-137795</wp:posOffset>
            </wp:positionV>
            <wp:extent cx="7493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-137795</wp:posOffset>
            </wp:positionV>
            <wp:extent cx="7493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-137795</wp:posOffset>
            </wp:positionV>
            <wp:extent cx="673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-137795</wp:posOffset>
            </wp:positionV>
            <wp:extent cx="6731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-137795</wp:posOffset>
            </wp:positionV>
            <wp:extent cx="673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Total amortization expense of the Company's acquired intangible assets was $4.3 million, $11.2 million, and $11.5 million for the years ended December 31, 2024, 2023, and 2022, respectively. There were no indicators of impairment of long-lived assets or acquired intangible assets during the year ended December 31, 2024. During the second quarter of 2022, the Company discontinued the sale of products that utilized the developed technology acquired from InstruNor and recorded a $3.5 million impairment charge to write-off the unamortized portion of the related acquired intangible asset.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future expected amortization expense of acquired intangible assets, net was as follows (in thousands):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6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2025</w:t>
            </w:r>
          </w:p>
        </w:tc>
        <w:tc>
          <w:tcPr>
            <w:tcW w:w="15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gridSpan w:val="3"/>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3,589</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2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5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2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5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120" w:type="dxa"/>
            <w:vAlign w:val="bottom"/>
          </w:tcPr>
          <w:p>
            <w:pPr>
              <w:spacing w:after="0"/>
              <w:rPr>
                <w:sz w:val="16"/>
                <w:szCs w:val="16"/>
                <w:color w:val="auto"/>
              </w:rPr>
            </w:pPr>
          </w:p>
        </w:tc>
      </w:tr>
      <w:tr>
        <w:trPr>
          <w:trHeight w:val="22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5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28,954</w:t>
            </w:r>
          </w:p>
        </w:tc>
        <w:tc>
          <w:tcPr>
            <w:tcW w:w="120" w:type="dxa"/>
            <w:vAlign w:val="bottom"/>
            <w:shd w:val="clear" w:color="auto" w:fill="CFF0FC"/>
          </w:tcPr>
          <w:p>
            <w:pPr>
              <w:spacing w:after="0"/>
              <w:rPr>
                <w:sz w:val="19"/>
                <w:szCs w:val="19"/>
                <w:color w:val="auto"/>
              </w:rPr>
            </w:pPr>
          </w:p>
        </w:tc>
      </w:tr>
      <w:tr>
        <w:trPr>
          <w:trHeight w:val="485"/>
        </w:trPr>
        <w:tc>
          <w:tcPr>
            <w:tcW w:w="6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6. Balance Sheet Details</w:t>
            </w:r>
          </w:p>
        </w:tc>
        <w:tc>
          <w:tcPr>
            <w:tcW w:w="158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84"/>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Cash, Cash Equivalents and Restricted Cash</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consisted of the following (in thousands):</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9"/>
        </w:trPr>
        <w:tc>
          <w:tcPr>
            <w:tcW w:w="666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24"/>
                <w:szCs w:val="24"/>
                <w:color w:val="auto"/>
              </w:rPr>
            </w:pPr>
          </w:p>
        </w:tc>
      </w:tr>
      <w:tr>
        <w:trPr>
          <w:trHeight w:val="18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Cash and cash equivalents</w:t>
            </w:r>
          </w:p>
        </w:tc>
        <w:tc>
          <w:tcPr>
            <w:tcW w:w="1580" w:type="dxa"/>
            <w:vAlign w:val="bottom"/>
            <w:shd w:val="clear" w:color="auto" w:fill="CFF0FC"/>
          </w:tcPr>
          <w:p>
            <w:pPr>
              <w:jc w:val="right"/>
              <w:ind w:right="140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166,728</w:t>
            </w:r>
          </w:p>
        </w:tc>
        <w:tc>
          <w:tcPr>
            <w:tcW w:w="44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51,704</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5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6"/>
                <w:szCs w:val="16"/>
                <w:color w:val="auto"/>
              </w:rPr>
            </w:pPr>
          </w:p>
        </w:tc>
      </w:tr>
      <w:tr>
        <w:trPr>
          <w:trHeight w:val="221"/>
        </w:trPr>
        <w:tc>
          <w:tcPr>
            <w:tcW w:w="66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580" w:type="dxa"/>
            <w:vAlign w:val="bottom"/>
            <w:tcBorders>
              <w:bottom w:val="single" w:sz="8" w:color="auto"/>
            </w:tcBorders>
            <w:shd w:val="clear" w:color="auto" w:fill="CFF0FC"/>
          </w:tcPr>
          <w:p>
            <w:pPr>
              <w:jc w:val="right"/>
              <w:ind w:right="140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168,818</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52,499</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-1306195</wp:posOffset>
            </wp:positionV>
            <wp:extent cx="673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-1290955</wp:posOffset>
            </wp:positionV>
            <wp:extent cx="673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-21590</wp:posOffset>
            </wp:positionV>
            <wp:extent cx="7493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-6985</wp:posOffset>
            </wp:positionV>
            <wp:extent cx="7493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 of $2.1 million and $0.8 million is included in other non-current assets on the consolidated balance sheets as of December 31, 2024 and 2023, respectively.</w:t>
      </w:r>
    </w:p>
    <w:p>
      <w:pPr>
        <w:spacing w:after="0" w:line="1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5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 net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6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Trade receivables</w:t>
            </w:r>
          </w:p>
        </w:tc>
        <w:tc>
          <w:tcPr>
            <w:tcW w:w="1620" w:type="dxa"/>
            <w:vAlign w:val="bottom"/>
            <w:tcBorders>
              <w:top w:val="single" w:sz="8" w:color="auto"/>
            </w:tcBorders>
            <w:shd w:val="clear" w:color="auto" w:fill="CFF0FC"/>
          </w:tcPr>
          <w:p>
            <w:pPr>
              <w:jc w:val="right"/>
              <w:ind w:right="1445"/>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29,890</w:t>
            </w:r>
          </w:p>
        </w:tc>
        <w:tc>
          <w:tcPr>
            <w:tcW w:w="3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19,972</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Royalty receivable, current</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16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expected credit losses</w:t>
            </w:r>
          </w:p>
        </w:tc>
        <w:tc>
          <w:tcPr>
            <w:tcW w:w="16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(1,204 )</w:t>
            </w:r>
          </w:p>
        </w:tc>
        <w:tc>
          <w:tcPr>
            <w:tcW w:w="320" w:type="dxa"/>
            <w:vAlign w:val="bottom"/>
          </w:tcPr>
          <w:p>
            <w:pPr>
              <w:spacing w:after="0"/>
              <w:rPr>
                <w:sz w:val="16"/>
                <w:szCs w:val="16"/>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(312 )</w:t>
            </w:r>
          </w:p>
        </w:tc>
      </w:tr>
      <w:tr>
        <w:trPr>
          <w:trHeight w:val="221"/>
        </w:trPr>
        <w:tc>
          <w:tcPr>
            <w:tcW w:w="66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Accounts receivable, net</w:t>
            </w:r>
          </w:p>
        </w:tc>
        <w:tc>
          <w:tcPr>
            <w:tcW w:w="1620" w:type="dxa"/>
            <w:vAlign w:val="bottom"/>
            <w:tcBorders>
              <w:top w:val="single" w:sz="8" w:color="auto"/>
              <w:bottom w:val="single" w:sz="8" w:color="auto"/>
            </w:tcBorders>
            <w:shd w:val="clear" w:color="auto" w:fill="CFF0FC"/>
          </w:tcPr>
          <w:p>
            <w:pPr>
              <w:jc w:val="right"/>
              <w:ind w:right="1445"/>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33,608</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19,660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449"/>
        </w:trPr>
        <w:tc>
          <w:tcPr>
            <w:tcW w:w="66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Inventory consisted of the following (in thousands):</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9"/>
        </w:trPr>
        <w:tc>
          <w:tcPr>
            <w:tcW w:w="666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Raw materials</w:t>
            </w:r>
          </w:p>
        </w:tc>
        <w:tc>
          <w:tcPr>
            <w:tcW w:w="1620" w:type="dxa"/>
            <w:vAlign w:val="bottom"/>
            <w:tcBorders>
              <w:top w:val="single" w:sz="8" w:color="auto"/>
            </w:tcBorders>
            <w:shd w:val="clear" w:color="auto" w:fill="CFF0FC"/>
          </w:tcPr>
          <w:p>
            <w:pPr>
              <w:jc w:val="right"/>
              <w:ind w:right="1445"/>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21,304</w:t>
            </w:r>
          </w:p>
        </w:tc>
        <w:tc>
          <w:tcPr>
            <w:tcW w:w="3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12,140</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28,199</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6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3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inventory</w:t>
            </w:r>
          </w:p>
        </w:tc>
        <w:tc>
          <w:tcPr>
            <w:tcW w:w="1620" w:type="dxa"/>
            <w:vAlign w:val="bottom"/>
            <w:tcBorders>
              <w:bottom w:val="single" w:sz="8" w:color="auto"/>
            </w:tcBorders>
          </w:tcPr>
          <w:p>
            <w:pPr>
              <w:jc w:val="right"/>
              <w:ind w:right="1445"/>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59,265</w:t>
            </w:r>
          </w:p>
        </w:tc>
        <w:tc>
          <w:tcPr>
            <w:tcW w:w="30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20,533</w:t>
            </w:r>
          </w:p>
        </w:tc>
        <w:tc>
          <w:tcPr>
            <w:tcW w:w="12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666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Inventory, current</w:t>
            </w:r>
          </w:p>
        </w:tc>
        <w:tc>
          <w:tcPr>
            <w:tcW w:w="1620" w:type="dxa"/>
            <w:vAlign w:val="bottom"/>
            <w:shd w:val="clear" w:color="auto" w:fill="CFF0FC"/>
          </w:tcPr>
          <w:p>
            <w:pPr>
              <w:jc w:val="right"/>
              <w:ind w:right="1445"/>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40,737</w:t>
            </w: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20,533</w:t>
            </w:r>
          </w:p>
        </w:tc>
        <w:tc>
          <w:tcPr>
            <w:tcW w:w="120" w:type="dxa"/>
            <w:vAlign w:val="bottom"/>
            <w:shd w:val="clear" w:color="auto" w:fill="CFF0FC"/>
          </w:tcPr>
          <w:p>
            <w:pPr>
              <w:spacing w:after="0"/>
              <w:rPr>
                <w:sz w:val="14"/>
                <w:szCs w:val="14"/>
                <w:color w:val="auto"/>
              </w:rPr>
            </w:pPr>
          </w:p>
        </w:tc>
      </w:tr>
      <w:tr>
        <w:trPr>
          <w:trHeight w:val="27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Inventory, non-current </w:t>
            </w:r>
            <w:r>
              <w:rPr>
                <w:rFonts w:ascii="Times New Roman" w:cs="Times New Roman" w:eastAsia="Times New Roman" w:hAnsi="Times New Roman"/>
                <w:sz w:val="21"/>
                <w:szCs w:val="21"/>
                <w:color w:val="auto"/>
                <w:vertAlign w:val="superscript"/>
              </w:rPr>
              <w:t>(1)</w:t>
            </w:r>
          </w:p>
        </w:tc>
        <w:tc>
          <w:tcPr>
            <w:tcW w:w="1620" w:type="dxa"/>
            <w:vAlign w:val="bottom"/>
          </w:tcPr>
          <w:p>
            <w:pPr>
              <w:jc w:val="right"/>
              <w:ind w:right="144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18,528</w:t>
            </w:r>
          </w:p>
        </w:tc>
        <w:tc>
          <w:tcPr>
            <w:tcW w:w="300" w:type="dxa"/>
            <w:vAlign w:val="bottom"/>
          </w:tcPr>
          <w:p>
            <w:pPr>
              <w:spacing w:after="0"/>
              <w:rPr>
                <w:sz w:val="24"/>
                <w:szCs w:val="24"/>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-1520825</wp:posOffset>
            </wp:positionV>
            <wp:extent cx="7493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-1506220</wp:posOffset>
            </wp:positionV>
            <wp:extent cx="7493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-1520825</wp:posOffset>
            </wp:positionV>
            <wp:extent cx="673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-1506220</wp:posOffset>
            </wp:positionV>
            <wp:extent cx="6731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-447040</wp:posOffset>
            </wp:positionV>
            <wp:extent cx="7493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-447040</wp:posOffset>
            </wp:positionV>
            <wp:extent cx="6731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value of inventory that is not expected to be used within 12 months of the balance sheet date is classified as non-current inventory on the consolidated balance sheets.</w:t>
      </w:r>
    </w:p>
    <w:p>
      <w:pPr>
        <w:spacing w:after="0" w:line="1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Company recorded charges for excess and obsolete inventory of $2.5 million, $1.5 million, and $7.9 million for the years ended December 31, 2024, 2023, and 2022,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Laboratory and manufacturing equipment</w:t>
            </w:r>
          </w:p>
        </w:tc>
        <w:tc>
          <w:tcPr>
            <w:tcW w:w="1580" w:type="dxa"/>
            <w:vAlign w:val="bottom"/>
            <w:tcBorders>
              <w:top w:val="single" w:sz="8" w:color="auto"/>
            </w:tcBorders>
            <w:shd w:val="clear" w:color="auto" w:fill="CFF0FC"/>
          </w:tcPr>
          <w:p>
            <w:pPr>
              <w:jc w:val="right"/>
              <w:ind w:right="140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60,638</w:t>
            </w:r>
          </w:p>
        </w:tc>
        <w:tc>
          <w:tcPr>
            <w:tcW w:w="3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35,563</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13,785</w:t>
            </w:r>
          </w:p>
        </w:tc>
        <w:tc>
          <w:tcPr>
            <w:tcW w:w="12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5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Internal-use software</w:t>
            </w:r>
          </w:p>
        </w:tc>
        <w:tc>
          <w:tcPr>
            <w:tcW w:w="1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15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3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Property and equipment, gross</w:t>
            </w:r>
          </w:p>
        </w:tc>
        <w:tc>
          <w:tcPr>
            <w:tcW w:w="15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106,340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57,342</w:t>
            </w:r>
          </w:p>
        </w:tc>
        <w:tc>
          <w:tcPr>
            <w:tcW w:w="120" w:type="dxa"/>
            <w:vAlign w:val="bottom"/>
          </w:tcPr>
          <w:p>
            <w:pPr>
              <w:spacing w:after="0"/>
              <w:rPr>
                <w:sz w:val="15"/>
                <w:szCs w:val="15"/>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5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(73,244 )</w:t>
            </w:r>
          </w:p>
        </w:tc>
        <w:tc>
          <w:tcPr>
            <w:tcW w:w="320" w:type="dxa"/>
            <w:vAlign w:val="bottom"/>
            <w:shd w:val="clear" w:color="auto" w:fill="CFF0FC"/>
          </w:tcPr>
          <w:p>
            <w:pPr>
              <w:spacing w:after="0"/>
              <w:rPr>
                <w:sz w:val="16"/>
                <w:szCs w:val="16"/>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(35,489 )</w:t>
            </w: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Construction-in-progress</w:t>
            </w:r>
          </w:p>
        </w:tc>
        <w:tc>
          <w:tcPr>
            <w:tcW w:w="15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Pr>
          <w:p>
            <w:pPr>
              <w:spacing w:after="0"/>
              <w:rPr>
                <w:sz w:val="16"/>
                <w:szCs w:val="16"/>
                <w:color w:val="auto"/>
              </w:rPr>
            </w:pPr>
          </w:p>
        </w:tc>
      </w:tr>
      <w:tr>
        <w:trPr>
          <w:trHeight w:val="221"/>
        </w:trPr>
        <w:tc>
          <w:tcPr>
            <w:tcW w:w="66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Property and equipment, net</w:t>
            </w:r>
          </w:p>
        </w:tc>
        <w:tc>
          <w:tcPr>
            <w:tcW w:w="1580" w:type="dxa"/>
            <w:vAlign w:val="bottom"/>
            <w:tcBorders>
              <w:bottom w:val="single" w:sz="8" w:color="auto"/>
            </w:tcBorders>
            <w:shd w:val="clear" w:color="auto" w:fill="CFF0FC"/>
          </w:tcPr>
          <w:p>
            <w:pPr>
              <w:jc w:val="right"/>
              <w:ind w:right="140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42,556</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24,187</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-517525</wp:posOffset>
            </wp:positionV>
            <wp:extent cx="7493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-517525</wp:posOffset>
            </wp:positionV>
            <wp:extent cx="6731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-21590</wp:posOffset>
            </wp:positionV>
            <wp:extent cx="7493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-6985</wp:posOffset>
            </wp:positionV>
            <wp:extent cx="7493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$12.3 million, $3.4 million, and $2.8 million for the years ended December 31, 2024, 2023, and 2022, respectively.</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1" w:right="319" w:bottom="1440" w:gutter="0" w:footer="0" w:header="0"/>
        </w:sectPr>
      </w:pPr>
    </w:p>
    <w:bookmarkStart w:id="98" w:name="page99"/>
    <w:bookmarkEnd w:id="98"/>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Accrued Liabilities</w:t>
      </w:r>
    </w:p>
    <w:p>
      <w:pPr>
        <w:spacing w:after="0" w:line="10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Accrued liabilities, which are included in current liabilities on the consolidated balance sheets consisted of the following (in thousands):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6660" w:type="dxa"/>
            <w:vAlign w:val="bottom"/>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3"/>
                <w:szCs w:val="13"/>
                <w:color w:val="auto"/>
              </w:rPr>
            </w:pPr>
          </w:p>
        </w:tc>
      </w:tr>
      <w:tr>
        <w:trPr>
          <w:trHeight w:val="181"/>
        </w:trPr>
        <w:tc>
          <w:tcPr>
            <w:tcW w:w="6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Accrued compensation and related benefits</w:t>
            </w:r>
          </w:p>
        </w:tc>
        <w:tc>
          <w:tcPr>
            <w:tcW w:w="1620" w:type="dxa"/>
            <w:vAlign w:val="bottom"/>
            <w:shd w:val="clear" w:color="auto" w:fill="CFF0FC"/>
          </w:tcPr>
          <w:p>
            <w:pPr>
              <w:jc w:val="right"/>
              <w:ind w:right="14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14,706</w:t>
            </w:r>
          </w:p>
        </w:tc>
        <w:tc>
          <w:tcPr>
            <w:tcW w:w="62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12,052</w:t>
            </w:r>
          </w:p>
        </w:tc>
        <w:tc>
          <w:tcPr>
            <w:tcW w:w="12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 xml:space="preserve">Loss contingency accruals </w:t>
            </w:r>
            <w:r>
              <w:rPr>
                <w:rFonts w:ascii="Times New Roman" w:cs="Times New Roman" w:eastAsia="Times New Roman" w:hAnsi="Times New Roman"/>
                <w:sz w:val="21"/>
                <w:szCs w:val="21"/>
                <w:color w:val="auto"/>
                <w:vertAlign w:val="superscript"/>
              </w:rPr>
              <w:t>(1)</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warranties</w:t>
            </w:r>
          </w:p>
        </w:tc>
        <w:tc>
          <w:tcPr>
            <w:tcW w:w="16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Accrued restructuring</w:t>
            </w:r>
          </w:p>
        </w:tc>
        <w:tc>
          <w:tcPr>
            <w:tcW w:w="16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Uninvoiced receipts</w:t>
            </w:r>
          </w:p>
        </w:tc>
        <w:tc>
          <w:tcPr>
            <w:tcW w:w="16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6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6,902</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20" w:type="dxa"/>
            <w:vAlign w:val="bottom"/>
          </w:tcPr>
          <w:p>
            <w:pPr>
              <w:spacing w:after="0"/>
              <w:rPr>
                <w:sz w:val="16"/>
                <w:szCs w:val="16"/>
                <w:color w:val="auto"/>
              </w:rPr>
            </w:pPr>
          </w:p>
        </w:tc>
      </w:tr>
      <w:tr>
        <w:trPr>
          <w:trHeight w:val="221"/>
        </w:trPr>
        <w:tc>
          <w:tcPr>
            <w:tcW w:w="66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Accrued liabilities</w:t>
            </w:r>
          </w:p>
        </w:tc>
        <w:tc>
          <w:tcPr>
            <w:tcW w:w="1620" w:type="dxa"/>
            <w:vAlign w:val="bottom"/>
            <w:tcBorders>
              <w:bottom w:val="single" w:sz="8" w:color="auto"/>
            </w:tcBorders>
            <w:shd w:val="clear" w:color="auto" w:fill="CFF0FC"/>
          </w:tcPr>
          <w:p>
            <w:pPr>
              <w:jc w:val="right"/>
              <w:ind w:right="14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30,739</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21,019</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-21590</wp:posOffset>
            </wp:positionV>
            <wp:extent cx="7493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-6985</wp:posOffset>
            </wp:positionV>
            <wp:extent cx="7493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731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731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76" w:lineRule="exact"/>
        <w:rPr>
          <w:sz w:val="20"/>
          <w:szCs w:val="20"/>
          <w:color w:val="auto"/>
        </w:rPr>
      </w:pPr>
    </w:p>
    <w:p>
      <w:pPr>
        <w:ind w:left="505" w:right="20" w:hanging="505"/>
        <w:spacing w:after="0" w:line="276" w:lineRule="auto"/>
        <w:tabs>
          <w:tab w:leader="none" w:pos="505"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primarily relates to a historical contingent consideration arrangement with former shareholders of SomaLogic, which remains recorded due to ongoing litigation; however, based on current assessments, the Company does not believe the loss will be realized.</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xml:space="preserve">Refer to Note 17, </w:t>
      </w:r>
      <w:r>
        <w:rPr>
          <w:rFonts w:ascii="Times New Roman" w:cs="Times New Roman" w:eastAsia="Times New Roman" w:hAnsi="Times New Roman"/>
          <w:sz w:val="16"/>
          <w:szCs w:val="16"/>
          <w:i w:val="1"/>
          <w:iCs w:val="1"/>
          <w:color w:val="auto"/>
        </w:rPr>
        <w:t>Restructuring and Related Charges</w:t>
      </w:r>
      <w:r>
        <w:rPr>
          <w:rFonts w:ascii="Times New Roman" w:cs="Times New Roman" w:eastAsia="Times New Roman" w:hAnsi="Times New Roman"/>
          <w:sz w:val="16"/>
          <w:szCs w:val="16"/>
          <w:color w:val="auto"/>
        </w:rPr>
        <w:t xml:space="preserve"> for additional information on restructuring.</w:t>
      </w:r>
    </w:p>
    <w:p>
      <w:pPr>
        <w:spacing w:after="0" w:line="28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Deferred Grant Income</w:t>
      </w:r>
    </w:p>
    <w:p>
      <w:pPr>
        <w:spacing w:after="0" w:line="104" w:lineRule="exact"/>
        <w:rPr>
          <w:sz w:val="20"/>
          <w:szCs w:val="20"/>
          <w:color w:val="auto"/>
        </w:rPr>
      </w:pPr>
    </w:p>
    <w:p>
      <w:pPr>
        <w:jc w:val="both"/>
        <w:ind w:left="5"/>
        <w:spacing w:after="0" w:line="252" w:lineRule="auto"/>
        <w:rPr>
          <w:sz w:val="20"/>
          <w:szCs w:val="20"/>
          <w:color w:val="auto"/>
        </w:rPr>
      </w:pPr>
      <w:r>
        <w:rPr>
          <w:rFonts w:ascii="Times New Roman" w:cs="Times New Roman" w:eastAsia="Times New Roman" w:hAnsi="Times New Roman"/>
          <w:sz w:val="16"/>
          <w:szCs w:val="16"/>
          <w:color w:val="auto"/>
        </w:rPr>
        <w:t>In September 2020, the Company executed a contract with the NIH under the NIH’s Rapid Acceleration of Diagnostics program to support the expansion of the Company’s production capacity for its COVID-19 test products. Under the now-completed contract, the Company received $34.0 million of funding from the NIH and used $22.2 million on capital expenditures for its Singapore manufacturing facility. The amortization of the deferred income, which is offset against depreciation, was $3.6 million, $3.6 million, and $3.5 million for the years ended December 31, 2024, 2023, and 2022, respectively. Cumulative amounts applied against depreciation expense for these assets placed in service were $11.4 million and $7.8 million as of December 31, 2024 and 2023, respectively, and the carrying values of these assets were $10.8 million and $14.4 million, respectively, as of these same dates, respectively.</w:t>
      </w:r>
    </w:p>
    <w:p>
      <w:pPr>
        <w:spacing w:after="0" w:line="165"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The current portion of deferred grant income on the Company’s consolidated balance sheets represents amounts expected to be offset against depreciation expense over the next twelve months. The non-current portion of deferred grant income includes amounts expected to be offset against depreciation expense in later periods.</w:t>
      </w:r>
    </w:p>
    <w:p>
      <w:pPr>
        <w:spacing w:after="0" w:line="23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Total carrying value of debt consists of the following (in thousands):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50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740" w:type="dxa"/>
            <w:vAlign w:val="bottom"/>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1"/>
        </w:trPr>
        <w:tc>
          <w:tcPr>
            <w:tcW w:w="666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Convertible notes:</w:t>
            </w:r>
          </w:p>
        </w:tc>
        <w:tc>
          <w:tcPr>
            <w:tcW w:w="174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8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2014</w:t>
            </w:r>
          </w:p>
        </w:tc>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740" w:type="dxa"/>
            <w:vAlign w:val="bottom"/>
          </w:tcPr>
          <w:p>
            <w:pPr>
              <w:jc w:val="right"/>
              <w:ind w:right="1586"/>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54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16"/>
                <w:szCs w:val="16"/>
                <w:color w:val="auto"/>
              </w:rPr>
            </w:pPr>
          </w:p>
        </w:tc>
      </w:tr>
      <w:tr>
        <w:trPr>
          <w:trHeight w:val="189"/>
        </w:trPr>
        <w:tc>
          <w:tcPr>
            <w:tcW w:w="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99"/>
              </w:rPr>
              <w:t>2019</w:t>
            </w:r>
          </w:p>
        </w:tc>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 current</w:t>
            </w:r>
          </w:p>
        </w:tc>
        <w:tc>
          <w:tcPr>
            <w:tcW w:w="174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54,530</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Total convertible notes, net</w:t>
            </w:r>
          </w:p>
        </w:tc>
        <w:tc>
          <w:tcPr>
            <w:tcW w:w="1740" w:type="dxa"/>
            <w:vAlign w:val="bottom"/>
          </w:tcPr>
          <w:p>
            <w:pPr>
              <w:spacing w:after="0"/>
              <w:rPr>
                <w:sz w:val="15"/>
                <w:szCs w:val="15"/>
                <w:color w:val="auto"/>
              </w:rPr>
            </w:pPr>
          </w:p>
        </w:tc>
        <w:tc>
          <w:tcPr>
            <w:tcW w:w="4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299</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55,099</w:t>
            </w:r>
          </w:p>
        </w:tc>
        <w:tc>
          <w:tcPr>
            <w:tcW w:w="120" w:type="dxa"/>
            <w:vAlign w:val="bottom"/>
          </w:tcPr>
          <w:p>
            <w:pPr>
              <w:spacing w:after="0"/>
              <w:rPr>
                <w:sz w:val="15"/>
                <w:szCs w:val="15"/>
                <w:color w:val="auto"/>
              </w:rPr>
            </w:pPr>
          </w:p>
        </w:tc>
      </w:tr>
      <w:tr>
        <w:trPr>
          <w:trHeight w:val="189"/>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 non-current</w:t>
            </w:r>
          </w:p>
        </w:tc>
        <w:tc>
          <w:tcPr>
            <w:tcW w:w="17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20" w:type="dxa"/>
            <w:vAlign w:val="bottom"/>
            <w:shd w:val="clear" w:color="auto" w:fill="CFF0FC"/>
          </w:tcPr>
          <w:p>
            <w:pPr>
              <w:spacing w:after="0"/>
              <w:rPr>
                <w:sz w:val="16"/>
                <w:szCs w:val="16"/>
                <w:color w:val="auto"/>
              </w:rPr>
            </w:pPr>
          </w:p>
        </w:tc>
      </w:tr>
      <w:tr>
        <w:trPr>
          <w:trHeight w:val="189"/>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 loan, current</w:t>
            </w:r>
          </w:p>
        </w:tc>
        <w:tc>
          <w:tcPr>
            <w:tcW w:w="1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6"/>
                <w:szCs w:val="16"/>
                <w:color w:val="auto"/>
              </w:rPr>
            </w:pPr>
          </w:p>
        </w:tc>
      </w:tr>
      <w:tr>
        <w:trPr>
          <w:trHeight w:val="221"/>
        </w:trPr>
        <w:tc>
          <w:tcPr>
            <w:tcW w:w="6660" w:type="dxa"/>
            <w:vAlign w:val="bottom"/>
            <w:tcBorders>
              <w:bottom w:val="single" w:sz="8" w:color="CFF0FC"/>
            </w:tcBorders>
            <w:gridSpan w:val="2"/>
            <w:shd w:val="clear" w:color="auto" w:fill="CFF0FC"/>
          </w:tcPr>
          <w:p>
            <w:pPr>
              <w:ind w:left="160"/>
              <w:spacing w:after="0" w:line="181" w:lineRule="exact"/>
              <w:rPr>
                <w:sz w:val="20"/>
                <w:szCs w:val="20"/>
                <w:color w:val="auto"/>
              </w:rPr>
            </w:pPr>
            <w:r>
              <w:rPr>
                <w:rFonts w:ascii="Times New Roman" w:cs="Times New Roman" w:eastAsia="Times New Roman" w:hAnsi="Times New Roman"/>
                <w:sz w:val="16"/>
                <w:szCs w:val="16"/>
                <w:color w:val="auto"/>
              </w:rPr>
              <w:t>Total debt</w:t>
            </w:r>
          </w:p>
        </w:tc>
        <w:tc>
          <w:tcPr>
            <w:tcW w:w="1740" w:type="dxa"/>
            <w:vAlign w:val="bottom"/>
            <w:tcBorders>
              <w:bottom w:val="single" w:sz="8" w:color="auto"/>
            </w:tcBorders>
            <w:shd w:val="clear" w:color="auto" w:fill="CFF0FC"/>
          </w:tcPr>
          <w:p>
            <w:pPr>
              <w:jc w:val="right"/>
              <w:ind w:right="158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299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63,513</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-517525</wp:posOffset>
            </wp:positionV>
            <wp:extent cx="6731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-517525</wp:posOffset>
            </wp:positionV>
            <wp:extent cx="6731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-21590</wp:posOffset>
            </wp:positionV>
            <wp:extent cx="6731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5594985</wp:posOffset>
            </wp:positionH>
            <wp:positionV relativeFrom="paragraph">
              <wp:posOffset>-6985</wp:posOffset>
            </wp:positionV>
            <wp:extent cx="6731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73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731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04"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In February 2014, the Company closed an underwritten public offering of the 2014 Notes, which will mature on February 1, 2034, unless earlier converted, redeemed or repurchased in accordance with the terms of the 2014 Notes. Holders may require the Company to repurchase all or a portion of their outstanding 2014 Notes at a repurchase price in cash equal to 100% of the principal amount of the 2014 Notes plus accrued and unpaid interest. On February 6, 2024, one holder of the 2014 Notes exercised their repurchase right available at such time, and the Company repurchased an immaterial amount of principal and accrued interest.</w:t>
      </w:r>
    </w:p>
    <w:p>
      <w:pPr>
        <w:spacing w:after="0" w:line="350"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02" w:right="319" w:bottom="1440"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16"/>
          <w:szCs w:val="16"/>
          <w:color w:val="auto"/>
        </w:rPr>
        <w:t>In November 2019, the Company issued $55.0 million aggregate principal amount of the 2019 Notes. Net proceeds from the 2019 Notes issuance of $52.7 million, after deductions for commissions and other debt issuance costs, were used to retire all but $1.1 million of the aggregate principal value of the 2014 Notes then outstanding. The 2019 Notes bore interest at 5.25% per annum and were payable semiannually on June 1 and December 1 of each year. The 2019 Notes matured on December 1, 2024 and were fully repaid by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 Loan Facility, net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August 2, 2021, the Company amended its revolving credit facility to, amongst other things, provide for the Term Loan Facility. As of December 31, 2023, the Term Loan Facility was fully drawn with an outstanding principal balance of $7.9 million and a carrying value of $8.4 million. The interest rate on the Term Loan Facility was the greater of 4.0% per annum or a floating per annum rate equal to the prime rate plus 0.75%. Interest on any outstanding term loan advances was due and payable monthly. In addition to the monthly interest payments, a final payment equal to 6.5% of the original principal amount of each advance was due the earlier of the maturity date or the date the advance is repaid. Principal balances were required to be repaid in 24 equal installments which began on August 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4, 2024, the Company fully repaid all outstanding indebtedness owed pursuant to the Term Loan Facility and terminated the agreement.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Bridge Loans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January 23, 2022, the Company entered into separate loan agreements (collectively, the "Bridge Loan Agreements") with various investors for the Bridge Loans. The Bridge Loans were fully drawn on January 24, 2022, and automatically converted into Series B Redeemable Preferred Stock upon the subsequent closing of the Private Placement Issuance on April 4, 2022 (the "Private Placement Issuance closing date").</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Applying the guidance in ASC 825 Financial Instruments, the Company elected to record the Bridge Loans at their fair value using a probability-weighted expected return method for the valuation analysis of the Bridge Loans. This resulted in a $13.7 million change in fair value of the Bridge Loans from $25.0 million at inception to $38.7 million as of the Private Placement Issuance closing date, including the portion attributable to accrued interest, which is reflected as a non-operating unrealized loss on the Bridge Loans in the accompanying consolidated statements of operations for the year ended December 31,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Leases</w:t>
      </w:r>
    </w:p>
    <w:p>
      <w:pPr>
        <w:spacing w:after="0" w:line="102"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The Company has operating leases for buildings, equipment and vehicles. Existing leases have remaining terms ranging from less than one year to approximately 5 years. Some leases contain options to extend the lease, usually for up to five years, along with termination options. The Company’s facility lease has an expiration date of April 30, 2030 and contains an option to extend the lease, for up to five years, along with termination options. The Company is utilizing one floor (19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for its corporate operations with all expense for this floor included within selling, general and administrative expense on the Company’s consolidated statements of operations for the years ended December 31, 2024 and 2023.</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connection with the Merger, the Company assumed three leases for office and laboratory space, with lease terms of three to five years. One of the assumed leases expired on June 30, 2024 and has not been renewed. The remaining leases require monthly lease payments that may be subject to annual increases throughout the lease term. The remaining leases also include renewal options at the Company's election to renew or extend the leases for additional periods ranging from three to ten years.</w:t>
      </w:r>
    </w:p>
    <w:p>
      <w:pPr>
        <w:spacing w:after="0" w:line="15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As part of the Company’s restructuring plan discussed further in Note 17, in August 2022, the Company entered into an agreement to sublease approximately 25% of its corporate headquarters space (18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in South San Francisco, California for a period of 39 months, which commenced in October 2022. The Company expects to recognize $4.8 million of sublease income over the lease term. As of December 31, 2024, 12 months were remaining on the sublease. The Company expects to recognize $1.6 million of sublease income over the remaining lease term. In addition, on February 28, 2023, the Company signed a second agreement to sublease an additional 25% of its corporate headquarters (21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floor) for a period of 77 months, which commenced on December 1, 2023. The Company expects to recognize additional sublease income of $9.1 million over the lease term. At December 31, 2024, $7.7 million of sublease income is expected to be recognized over the remaining 64 months of the lease term.</w:t>
      </w:r>
    </w:p>
    <w:p>
      <w:pPr>
        <w:spacing w:after="0" w:line="1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color w:val="auto"/>
        </w:rPr>
        <w:t>Rent expense, net of sublease income, is reported within restructuring and related charges for the year ended December 31, 2024, in the consolidated statements of operations.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fully vacated and is in the process of potentially subleasing an additional floor (20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Costs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Lease costs for operating leases are recognized on a straight-line basis over the lease term. The total lease cost for the period, including the Company's historical leases and those assumed in connection with the Merger, was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9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5940" w:type="dxa"/>
            <w:vAlign w:val="bottom"/>
          </w:tcPr>
          <w:p>
            <w:pPr>
              <w:spacing w:after="0"/>
              <w:rPr>
                <w:sz w:val="10"/>
                <w:szCs w:val="10"/>
                <w:color w:val="auto"/>
              </w:rPr>
            </w:pPr>
          </w:p>
        </w:tc>
        <w:tc>
          <w:tcPr>
            <w:tcW w:w="1020" w:type="dxa"/>
            <w:vAlign w:val="bottom"/>
            <w:tcBorders>
              <w:bottom w:val="single" w:sz="8" w:color="auto"/>
            </w:tcBorders>
          </w:tcPr>
          <w:p>
            <w:pPr>
              <w:jc w:val="right"/>
              <w:ind w:right="26"/>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6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64"/>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81"/>
        </w:trPr>
        <w:tc>
          <w:tcPr>
            <w:tcW w:w="5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lease cost</w:t>
            </w:r>
          </w:p>
        </w:tc>
        <w:tc>
          <w:tcPr>
            <w:tcW w:w="1020" w:type="dxa"/>
            <w:vAlign w:val="bottom"/>
            <w:shd w:val="clear" w:color="auto" w:fill="CFF0FC"/>
          </w:tcPr>
          <w:p>
            <w:pPr>
              <w:jc w:val="right"/>
              <w:ind w:right="8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9,873</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7,995</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7,987</w:t>
            </w:r>
          </w:p>
        </w:tc>
        <w:tc>
          <w:tcPr>
            <w:tcW w:w="120" w:type="dxa"/>
            <w:vAlign w:val="bottom"/>
            <w:shd w:val="clear" w:color="auto" w:fill="CFF0FC"/>
          </w:tcPr>
          <w:p>
            <w:pPr>
              <w:spacing w:after="0"/>
              <w:rPr>
                <w:sz w:val="15"/>
                <w:szCs w:val="15"/>
                <w:color w:val="auto"/>
              </w:rPr>
            </w:pPr>
          </w:p>
        </w:tc>
      </w:tr>
      <w:tr>
        <w:trPr>
          <w:trHeight w:val="189"/>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20" w:type="dxa"/>
            <w:vAlign w:val="bottom"/>
          </w:tcPr>
          <w:p>
            <w:pPr>
              <w:spacing w:after="0"/>
              <w:rPr>
                <w:sz w:val="16"/>
                <w:szCs w:val="16"/>
                <w:color w:val="auto"/>
              </w:rPr>
            </w:pPr>
          </w:p>
        </w:tc>
      </w:tr>
      <w:tr>
        <w:trPr>
          <w:trHeight w:val="18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Sublease income</w:t>
            </w:r>
          </w:p>
        </w:tc>
        <w:tc>
          <w:tcPr>
            <w:tcW w:w="10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(4,304 )</w:t>
            </w:r>
          </w:p>
        </w:tc>
        <w:tc>
          <w:tcPr>
            <w:tcW w:w="38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(2,679 )</w:t>
            </w:r>
          </w:p>
        </w:tc>
        <w:tc>
          <w:tcPr>
            <w:tcW w:w="38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(189 )</w:t>
            </w:r>
          </w:p>
        </w:tc>
      </w:tr>
      <w:tr>
        <w:trPr>
          <w:trHeight w:val="181"/>
        </w:trPr>
        <w:tc>
          <w:tcPr>
            <w:tcW w:w="5940" w:type="dxa"/>
            <w:vAlign w:val="bottom"/>
            <w:tcBorders>
              <w:top w:val="single" w:sz="8" w:color="CFF0FC"/>
            </w:tcBorders>
          </w:tcPr>
          <w:p>
            <w:pPr>
              <w:ind w:left="160"/>
              <w:spacing w:after="0" w:line="181" w:lineRule="exact"/>
              <w:rPr>
                <w:sz w:val="20"/>
                <w:szCs w:val="20"/>
                <w:color w:val="auto"/>
              </w:rPr>
            </w:pPr>
            <w:r>
              <w:rPr>
                <w:rFonts w:ascii="Times New Roman" w:cs="Times New Roman" w:eastAsia="Times New Roman" w:hAnsi="Times New Roman"/>
                <w:sz w:val="16"/>
                <w:szCs w:val="16"/>
                <w:color w:val="auto"/>
              </w:rPr>
              <w:t>Total lease cost</w:t>
            </w:r>
          </w:p>
        </w:tc>
        <w:tc>
          <w:tcPr>
            <w:tcW w:w="1020" w:type="dxa"/>
            <w:vAlign w:val="bottom"/>
            <w:tcBorders>
              <w:top w:val="single" w:sz="8" w:color="auto"/>
              <w:bottom w:val="single" w:sz="8" w:color="auto"/>
            </w:tcBorders>
          </w:tcPr>
          <w:p>
            <w:pPr>
              <w:jc w:val="right"/>
              <w:ind w:right="8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10,571</w:t>
            </w: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0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8,480</w:t>
            </w: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10,728</w:t>
            </w:r>
          </w:p>
        </w:tc>
        <w:tc>
          <w:tcPr>
            <w:tcW w:w="120" w:type="dxa"/>
            <w:vAlign w:val="bottom"/>
            <w:tcBorders>
              <w:top w:val="single" w:sz="8" w:color="CFF0FC"/>
            </w:tcBorders>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-149860</wp:posOffset>
            </wp:positionV>
            <wp:extent cx="6731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-149860</wp:posOffset>
            </wp:positionV>
            <wp:extent cx="6731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Maturities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and sublease income as of December 31, 2024 under commenced non-cancelable operating leases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Minimum Lease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Net Minimum Lease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gridSpan w:val="3"/>
          </w:tcPr>
          <w:p>
            <w:pPr>
              <w:jc w:val="center"/>
              <w:ind w:right="280"/>
              <w:spacing w:after="0" w:line="130" w:lineRule="exact"/>
              <w:rPr>
                <w:sz w:val="20"/>
                <w:szCs w:val="20"/>
                <w:color w:val="auto"/>
              </w:rPr>
            </w:pPr>
            <w:r>
              <w:rPr>
                <w:rFonts w:ascii="Times New Roman" w:cs="Times New Roman" w:eastAsia="Times New Roman" w:hAnsi="Times New Roman"/>
                <w:sz w:val="13"/>
                <w:szCs w:val="13"/>
                <w:b w:val="1"/>
                <w:bCs w:val="1"/>
                <w:color w:val="auto"/>
                <w:w w:val="97"/>
              </w:rPr>
              <w:t>Payments for</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w w:val="96"/>
              </w:rPr>
              <w:t>Sublease Income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3"/>
                <w:szCs w:val="13"/>
                <w:b w:val="1"/>
                <w:bCs w:val="1"/>
                <w:color w:val="auto"/>
                <w:w w:val="96"/>
              </w:rPr>
              <w:t>Payments for Operating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Operating Leases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7"/>
              </w:rPr>
              <w:t>Leases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2025</w:t>
            </w:r>
          </w:p>
        </w:tc>
        <w:tc>
          <w:tcPr>
            <w:tcW w:w="360" w:type="dxa"/>
            <w:vAlign w:val="bottom"/>
            <w:gridSpan w:val="2"/>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9,717</w:t>
            </w:r>
          </w:p>
        </w:tc>
        <w:tc>
          <w:tcPr>
            <w:tcW w:w="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4"/>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(2,953 )</w:t>
            </w:r>
          </w:p>
        </w:tc>
        <w:tc>
          <w:tcPr>
            <w:tcW w:w="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right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6,764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(1,381 )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(1,430 )</w:t>
            </w:r>
          </w:p>
        </w:tc>
        <w:tc>
          <w:tcPr>
            <w:tcW w:w="100" w:type="dxa"/>
            <w:vAlign w:val="bottom"/>
            <w:shd w:val="clear" w:color="auto" w:fill="CFF0FC"/>
          </w:tcPr>
          <w:p>
            <w:pPr>
              <w:spacing w:after="0"/>
              <w:rPr>
                <w:sz w:val="16"/>
                <w:szCs w:val="16"/>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(1,480 )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(1,532 )</w:t>
            </w:r>
          </w:p>
        </w:tc>
        <w:tc>
          <w:tcPr>
            <w:tcW w:w="100" w:type="dxa"/>
            <w:vAlign w:val="bottom"/>
            <w:shd w:val="clear" w:color="auto" w:fill="CFF0FC"/>
          </w:tcPr>
          <w:p>
            <w:pPr>
              <w:spacing w:after="0"/>
              <w:rPr>
                <w:sz w:val="16"/>
                <w:szCs w:val="16"/>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3"/>
              </w:rPr>
              <w:t>(527 )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future minimum payments (receipts)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43,481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4"/>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(9,303 )</w:t>
            </w:r>
          </w:p>
        </w:tc>
        <w:tc>
          <w:tcPr>
            <w:tcW w:w="1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right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60" w:type="dxa"/>
            <w:vAlign w:val="bottom"/>
            <w:tcBorders>
              <w:top w:val="single" w:sz="8" w:color="CFF0FC"/>
            </w:tcBorders>
          </w:tcPr>
          <w:p>
            <w:pPr>
              <w:spacing w:after="0" w:line="177" w:lineRule="exact"/>
              <w:rPr>
                <w:sz w:val="20"/>
                <w:szCs w:val="20"/>
                <w:color w:val="auto"/>
              </w:rPr>
            </w:pPr>
            <w:r>
              <w:rPr>
                <w:rFonts w:ascii="Times New Roman" w:cs="Times New Roman" w:eastAsia="Times New Roman" w:hAnsi="Times New Roman"/>
                <w:sz w:val="16"/>
                <w:szCs w:val="16"/>
                <w:color w:val="auto"/>
              </w:rPr>
              <w:t>Imputed interest</w:t>
            </w: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440" w:type="dxa"/>
            <w:vAlign w:val="bottom"/>
            <w:tcBorders>
              <w:top w:val="single" w:sz="8" w:color="CFF0FC"/>
            </w:tcBorders>
            <w:gridSpan w:val="3"/>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(10,784 )</w:t>
            </w:r>
          </w:p>
        </w:tc>
        <w:tc>
          <w:tcPr>
            <w:tcW w:w="1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operating lease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(6,228 )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7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lease liabilities, non-current</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26,469</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Lease Information</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Supplemental information related to the Company's operating leases was as follows: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w w:val="95"/>
              </w:rPr>
              <w:t>December 31, 2023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ind w:left="440"/>
              <w:spacing w:after="0" w:line="181" w:lineRule="exact"/>
              <w:rPr>
                <w:sz w:val="20"/>
                <w:szCs w:val="20"/>
                <w:color w:val="auto"/>
              </w:rPr>
            </w:pPr>
            <w:r>
              <w:rPr>
                <w:rFonts w:ascii="Times New Roman" w:cs="Times New Roman" w:eastAsia="Times New Roman" w:hAnsi="Times New Roman"/>
                <w:sz w:val="16"/>
                <w:szCs w:val="16"/>
                <w:color w:val="auto"/>
              </w:rPr>
              <w:t>4.7 years</w:t>
            </w:r>
          </w:p>
        </w:tc>
        <w:tc>
          <w:tcPr>
            <w:tcW w:w="3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5.9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 per annum</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FF0FC"/>
          </w:tcPr>
          <w:p>
            <w:pPr>
              <w:spacing w:after="0" w:line="173" w:lineRule="exact"/>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9,924</w:t>
            </w:r>
          </w:p>
        </w:tc>
        <w:tc>
          <w:tcPr>
            <w:tcW w:w="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5922010</wp:posOffset>
            </wp:positionH>
            <wp:positionV relativeFrom="paragraph">
              <wp:posOffset>-1741805</wp:posOffset>
            </wp:positionV>
            <wp:extent cx="6731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-1726565</wp:posOffset>
            </wp:positionV>
            <wp:extent cx="6731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-1741805</wp:posOffset>
            </wp:positionV>
            <wp:extent cx="6731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-1726565</wp:posOffset>
            </wp:positionV>
            <wp:extent cx="6731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-1193165</wp:posOffset>
            </wp:positionV>
            <wp:extent cx="673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4765040</wp:posOffset>
            </wp:positionH>
            <wp:positionV relativeFrom="paragraph">
              <wp:posOffset>-1178560</wp:posOffset>
            </wp:positionV>
            <wp:extent cx="6731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Commitments and Contingencies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connection with the Illumina Agreement, SomaLogic, and now the Company, is required to engage with two contract manufacturing organizations in order to ensure manufacturing capacity. In 2023, SomaLogic contracted with Integrated DNA Technologies, Inc. (“IDT”) to manufacture custom products. Under the contract manufacturing agreement with IDT, SomaLogic committed to minimum annual purchases of $2.3 million, which the Company subsumed in connection with the Merger. As the minimum contract term is three years, the total purchase commitment related to the IDT agreement is $6.9 million. In 2024, the Company contracted with LGC Genomics ("LGC") to satisfy the manufacturing capacity requirement of the Illumina Agreement. Under the LGC agreement, the</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6"/>
          <w:szCs w:val="16"/>
          <w:color w:val="auto"/>
        </w:rPr>
        <w:t>Company committed to minimum annual purchases of $1.0 million over a two-year minimum contract term, resulting in a total purchase commitment of $2.0 million. The Company placed initial orders in the fourth quarter of 2024, but does not expect to receive shipments until early 2025. As of December 31, 2024, the Company does not have additional material purchase commitments with remaining terms in excess of one year.</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The Company does not expect the license payments to be material in any particular year.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Indemnification</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the Company’s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To date, the Company has not yet paid any claims or been required to defend any action related to its indemnification obligations. However, the Company may record charges in the future as a result of these indemnification obligations.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Proceedings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Stockholder Litigation</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is due on November 1, 2024, and the defendants’ reply brief is due on December 13, 2024.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16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Between October 24, 2023 and January 3, 2024, SomaLogic received 18 letters from purported stockholders demanding that SomaLogic allow the inspection of its books and records and/or make corrective disclosures to its registration statement. The Company has resolved fee disputes with all but two stockholder’s counsel.</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February 2024, the Company settled previously outstanding litigation with a former stockholder of SomaLogic, whereby the Company relinquished 422,048 shares of the Company's common stock that were subject to vesting conditions.</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16" w:right="319" w:bottom="1440" w:gutter="0" w:footer="0" w:header="0"/>
        </w:sectPr>
      </w:pPr>
    </w:p>
    <w:bookmarkStart w:id="102" w:name="page103"/>
    <w:bookmarkEnd w:id="102"/>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year ended December 31, 2024.</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June 4, 2024, the Company received a demand pursuant to Section 220 of the Delaware General Corporation Law from a stockholder to inspect the Company’s books and records relating to the prior conversion of the Company’s Series B Redeemable Preferred Stock. The Company has responded to the demand and has produced documents.</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4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6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5"/>
          <w:szCs w:val="15"/>
          <w:color w:val="auto"/>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Contingencies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Following the Merger, the Company is responsible for SomaLogic’s liabilities and obligations, including with respect to legal, financial, regulatory, and compliance matters. These liabilities and obligations will result in additional cost and expense by the Company and, if the Company has underestimated the amount of these costs and expenses or if the Company fails to satisfy any such liabilities or obligations, the Company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the Company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 of Financial Instruments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0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following tables summarize the Company's assets and liabilities measured at fair value on a recurring basis within the fair value hierarchy as of December 31,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7"/>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Fair Value Measurements At Reporting Date Using</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4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ind w:right="48"/>
              <w:spacing w:after="0" w:line="100"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30"/>
        </w:trPr>
        <w:tc>
          <w:tcPr>
            <w:tcW w:w="4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60" w:type="dxa"/>
            <w:vAlign w:val="bottom"/>
          </w:tcPr>
          <w:p>
            <w:pPr>
              <w:jc w:val="center"/>
              <w:ind w:right="68"/>
              <w:spacing w:after="0" w:line="130"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240" w:type="dxa"/>
            <w:vAlign w:val="bottom"/>
          </w:tcPr>
          <w:p>
            <w:pPr>
              <w:spacing w:after="0"/>
              <w:rPr>
                <w:sz w:val="11"/>
                <w:szCs w:val="11"/>
                <w:color w:val="auto"/>
              </w:rPr>
            </w:pPr>
          </w:p>
        </w:tc>
        <w:tc>
          <w:tcPr>
            <w:tcW w:w="11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24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0" w:type="dxa"/>
            <w:vAlign w:val="bottom"/>
          </w:tcPr>
          <w:p>
            <w:pPr>
              <w:spacing w:after="0"/>
              <w:rPr>
                <w:sz w:val="1"/>
                <w:szCs w:val="1"/>
                <w:color w:val="auto"/>
              </w:rPr>
            </w:pPr>
          </w:p>
        </w:tc>
      </w:tr>
      <w:tr>
        <w:trPr>
          <w:trHeight w:val="152"/>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81"/>
        </w:trPr>
        <w:tc>
          <w:tcPr>
            <w:tcW w:w="44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16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equivalents—U.S. treasury securities</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13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1640" w:type="dxa"/>
            <w:vAlign w:val="bottom"/>
            <w:gridSpan w:val="2"/>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271,078</w:t>
            </w:r>
          </w:p>
        </w:tc>
        <w:tc>
          <w:tcPr>
            <w:tcW w:w="220" w:type="dxa"/>
            <w:vAlign w:val="bottom"/>
          </w:tcPr>
          <w:p>
            <w:pPr>
              <w:spacing w:after="0"/>
              <w:rPr>
                <w:sz w:val="15"/>
                <w:szCs w:val="15"/>
                <w:color w:val="auto"/>
              </w:rPr>
            </w:pP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141,942</w:t>
            </w:r>
          </w:p>
        </w:tc>
        <w:tc>
          <w:tcPr>
            <w:tcW w:w="3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129,136</w:t>
            </w:r>
          </w:p>
        </w:tc>
        <w:tc>
          <w:tcPr>
            <w:tcW w:w="42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Liabilities:</w:t>
            </w: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 liabilities</w:t>
            </w:r>
          </w:p>
        </w:tc>
        <w:tc>
          <w:tcPr>
            <w:tcW w:w="16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3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measured at fair value</w:t>
            </w:r>
          </w:p>
        </w:tc>
        <w:tc>
          <w:tcPr>
            <w:tcW w:w="1380" w:type="dxa"/>
            <w:vAlign w:val="bottom"/>
          </w:tcPr>
          <w:p>
            <w:pPr>
              <w:spacing w:after="0"/>
              <w:rPr>
                <w:sz w:val="15"/>
                <w:szCs w:val="15"/>
                <w:color w:val="auto"/>
              </w:rPr>
            </w:pPr>
          </w:p>
        </w:tc>
        <w:tc>
          <w:tcPr>
            <w:tcW w:w="260" w:type="dxa"/>
            <w:vAlign w:val="bottom"/>
            <w:tcBorders>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5,874</w:t>
            </w:r>
          </w:p>
        </w:tc>
        <w:tc>
          <w:tcPr>
            <w:tcW w:w="220" w:type="dxa"/>
            <w:vAlign w:val="bottom"/>
          </w:tcPr>
          <w:p>
            <w:pPr>
              <w:spacing w:after="0"/>
              <w:rPr>
                <w:sz w:val="15"/>
                <w:szCs w:val="15"/>
                <w:color w:val="auto"/>
              </w:rPr>
            </w:pPr>
          </w:p>
        </w:tc>
        <w:tc>
          <w:tcPr>
            <w:tcW w:w="100" w:type="dxa"/>
            <w:vAlign w:val="bottom"/>
            <w:tcBorders>
              <w:bottom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5,874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460" w:type="dxa"/>
            <w:vAlign w:val="bottom"/>
          </w:tcPr>
          <w:p>
            <w:pPr>
              <w:spacing w:after="0"/>
              <w:rPr>
                <w:sz w:val="24"/>
                <w:szCs w:val="24"/>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100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4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-1576705</wp:posOffset>
            </wp:positionV>
            <wp:extent cx="6731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-1576705</wp:posOffset>
            </wp:positionV>
            <wp:extent cx="6731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-1576705</wp:posOffset>
            </wp:positionV>
            <wp:extent cx="6731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-1576705</wp:posOffset>
            </wp:positionV>
            <wp:extent cx="7493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-945515</wp:posOffset>
            </wp:positionV>
            <wp:extent cx="6731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-945515</wp:posOffset>
            </wp:positionV>
            <wp:extent cx="6731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-945515</wp:posOffset>
            </wp:positionV>
            <wp:extent cx="6731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-945515</wp:posOffset>
            </wp:positionV>
            <wp:extent cx="7493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03" w:name="page104"/>
    <w:bookmarkEnd w:id="103"/>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following tables summarize the Company’s assets and liabilities measured at fair value on a recurring basis within the fair value hierarchy as of December 31, 2023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 Measurements At Reporting Date Using</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5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jc w:val="center"/>
              <w:ind w:right="52"/>
              <w:spacing w:after="0" w:line="100"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vMerge w:val="restart"/>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240" w:type="dxa"/>
            <w:vAlign w:val="bottom"/>
          </w:tcPr>
          <w:p>
            <w:pPr>
              <w:spacing w:after="0"/>
              <w:rPr>
                <w:sz w:val="8"/>
                <w:szCs w:val="8"/>
                <w:color w:val="auto"/>
              </w:rPr>
            </w:pPr>
          </w:p>
        </w:tc>
        <w:tc>
          <w:tcPr>
            <w:tcW w:w="920" w:type="dxa"/>
            <w:vAlign w:val="bottom"/>
            <w:vMerge w:val="restart"/>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5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Active Markets 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1060" w:type="dxa"/>
            <w:vAlign w:val="bottom"/>
          </w:tcPr>
          <w:p>
            <w:pPr>
              <w:jc w:val="center"/>
              <w:ind w:right="72"/>
              <w:spacing w:after="0" w:line="130" w:lineRule="exact"/>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240" w:type="dxa"/>
            <w:vAlign w:val="bottom"/>
          </w:tcPr>
          <w:p>
            <w:pPr>
              <w:spacing w:after="0"/>
              <w:rPr>
                <w:sz w:val="11"/>
                <w:szCs w:val="11"/>
                <w:color w:val="auto"/>
              </w:rPr>
            </w:pPr>
          </w:p>
        </w:tc>
        <w:tc>
          <w:tcPr>
            <w:tcW w:w="11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24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40" w:type="dxa"/>
            <w:vAlign w:val="bottom"/>
          </w:tcPr>
          <w:p>
            <w:pPr>
              <w:spacing w:after="0"/>
              <w:rPr>
                <w:sz w:val="13"/>
                <w:szCs w:val="13"/>
                <w:color w:val="auto"/>
              </w:rPr>
            </w:pPr>
          </w:p>
        </w:tc>
        <w:tc>
          <w:tcPr>
            <w:tcW w:w="920" w:type="dxa"/>
            <w:vAlign w:val="bottom"/>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8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63,191</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63,191</w:t>
            </w:r>
          </w:p>
        </w:tc>
        <w:tc>
          <w:tcPr>
            <w:tcW w:w="2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260" w:type="dxa"/>
            <w:vAlign w:val="bottom"/>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98,576</w:t>
            </w:r>
          </w:p>
        </w:tc>
        <w:tc>
          <w:tcPr>
            <w:tcW w:w="22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35,385</w:t>
            </w:r>
          </w:p>
        </w:tc>
        <w:tc>
          <w:tcPr>
            <w:tcW w:w="3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63,191</w:t>
            </w:r>
          </w:p>
        </w:tc>
        <w:tc>
          <w:tcPr>
            <w:tcW w:w="116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-149860</wp:posOffset>
            </wp:positionV>
            <wp:extent cx="6731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5306060</wp:posOffset>
            </wp:positionH>
            <wp:positionV relativeFrom="paragraph">
              <wp:posOffset>-149860</wp:posOffset>
            </wp:positionV>
            <wp:extent cx="6731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-149860</wp:posOffset>
            </wp:positionV>
            <wp:extent cx="6731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-149860</wp:posOffset>
            </wp:positionV>
            <wp:extent cx="7493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transfers within the hierarchy and no changes in the valuation techniques used during the year ended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available-for-sale-securities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2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Estimated Fair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180" w:type="dxa"/>
            <w:vAlign w:val="bottom"/>
          </w:tcPr>
          <w:p>
            <w:pPr>
              <w:jc w:val="center"/>
              <w:ind w:left="749"/>
              <w:spacing w:after="0"/>
              <w:rPr>
                <w:sz w:val="20"/>
                <w:szCs w:val="20"/>
                <w:color w:val="auto"/>
              </w:rPr>
            </w:pPr>
            <w:r>
              <w:rPr>
                <w:rFonts w:ascii="Times New Roman" w:cs="Times New Roman" w:eastAsia="Times New Roman" w:hAnsi="Times New Roman"/>
                <w:sz w:val="13"/>
                <w:szCs w:val="13"/>
                <w:b w:val="1"/>
                <w:bCs w:val="1"/>
                <w:color w:val="auto"/>
                <w:w w:val="97"/>
              </w:rPr>
              <w:t>Maturity (in years)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2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1"/>
        </w:trPr>
        <w:tc>
          <w:tcPr>
            <w:tcW w:w="4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18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2180" w:type="dxa"/>
            <w:vAlign w:val="bottom"/>
          </w:tcPr>
          <w:p>
            <w:pPr>
              <w:spacing w:after="0"/>
              <w:rPr>
                <w:sz w:val="16"/>
                <w:szCs w:val="16"/>
                <w:color w:val="auto"/>
              </w:rPr>
            </w:pPr>
          </w:p>
        </w:tc>
        <w:tc>
          <w:tcPr>
            <w:tcW w:w="30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260" w:type="dxa"/>
            <w:vAlign w:val="bottom"/>
          </w:tcPr>
          <w:p>
            <w:pPr>
              <w:spacing w:after="0"/>
              <w:rPr>
                <w:sz w:val="16"/>
                <w:szCs w:val="16"/>
                <w:color w:val="auto"/>
              </w:rPr>
            </w:pPr>
          </w:p>
        </w:tc>
        <w:tc>
          <w:tcPr>
            <w:tcW w:w="420" w:type="dxa"/>
            <w:vAlign w:val="bottom"/>
          </w:tcPr>
          <w:p>
            <w:pPr>
              <w:jc w:val="right"/>
              <w:ind w:right="26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equivalents—U.S. treasury securities</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2180" w:type="dxa"/>
            <w:vAlign w:val="bottom"/>
          </w:tcPr>
          <w:p>
            <w:pPr>
              <w:jc w:val="center"/>
              <w:ind w:left="749"/>
              <w:spacing w:after="0"/>
              <w:rPr>
                <w:sz w:val="20"/>
                <w:szCs w:val="20"/>
                <w:color w:val="auto"/>
              </w:rPr>
            </w:pPr>
            <w:r>
              <w:rPr>
                <w:rFonts w:ascii="Times New Roman" w:cs="Times New Roman" w:eastAsia="Times New Roman" w:hAnsi="Times New Roman"/>
                <w:sz w:val="16"/>
                <w:szCs w:val="16"/>
                <w:color w:val="auto"/>
                <w:w w:val="97"/>
              </w:rPr>
              <w:t>1 or less</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125,975</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270,906</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172</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FF0FC"/>
          </w:tcPr>
          <w:p>
            <w:pPr>
              <w:ind w:left="36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271,078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Estimated Fair</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180" w:type="dxa"/>
            <w:vAlign w:val="bottom"/>
          </w:tcPr>
          <w:p>
            <w:pPr>
              <w:jc w:val="center"/>
              <w:ind w:left="749"/>
              <w:spacing w:after="0"/>
              <w:rPr>
                <w:sz w:val="20"/>
                <w:szCs w:val="20"/>
                <w:color w:val="auto"/>
              </w:rPr>
            </w:pPr>
            <w:r>
              <w:rPr>
                <w:rFonts w:ascii="Times New Roman" w:cs="Times New Roman" w:eastAsia="Times New Roman" w:hAnsi="Times New Roman"/>
                <w:sz w:val="13"/>
                <w:szCs w:val="13"/>
                <w:b w:val="1"/>
                <w:bCs w:val="1"/>
                <w:color w:val="auto"/>
                <w:w w:val="97"/>
              </w:rPr>
              <w:t>Maturity (in years)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2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1"/>
        </w:trPr>
        <w:tc>
          <w:tcPr>
            <w:tcW w:w="4240" w:type="dxa"/>
            <w:vAlign w:val="bottom"/>
            <w:vMerge w:val="continue"/>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21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35,385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Short-term investments—U.S. treasury securities</w:t>
            </w:r>
          </w:p>
        </w:tc>
        <w:tc>
          <w:tcPr>
            <w:tcW w:w="2180" w:type="dxa"/>
            <w:vAlign w:val="bottom"/>
          </w:tcPr>
          <w:p>
            <w:pPr>
              <w:jc w:val="center"/>
              <w:ind w:left="749"/>
              <w:spacing w:after="0"/>
              <w:rPr>
                <w:sz w:val="20"/>
                <w:szCs w:val="20"/>
                <w:color w:val="auto"/>
              </w:rPr>
            </w:pPr>
            <w:r>
              <w:rPr>
                <w:rFonts w:ascii="Times New Roman" w:cs="Times New Roman" w:eastAsia="Times New Roman" w:hAnsi="Times New Roman"/>
                <w:sz w:val="16"/>
                <w:szCs w:val="16"/>
                <w:color w:val="auto"/>
                <w:w w:val="97"/>
              </w:rPr>
              <w:t>1 or less</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63,169</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2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 measured at fair value</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98,554</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FF0FC"/>
          </w:tcPr>
          <w:p>
            <w:pPr>
              <w:ind w:left="36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5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98,576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4727575</wp:posOffset>
            </wp:positionH>
            <wp:positionV relativeFrom="paragraph">
              <wp:posOffset>-915670</wp:posOffset>
            </wp:positionV>
            <wp:extent cx="7493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-900430</wp:posOffset>
            </wp:positionV>
            <wp:extent cx="7493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-915670</wp:posOffset>
            </wp:positionV>
            <wp:extent cx="6731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-900430</wp:posOffset>
            </wp:positionV>
            <wp:extent cx="6731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-915670</wp:posOffset>
            </wp:positionV>
            <wp:extent cx="6731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-900430</wp:posOffset>
            </wp:positionV>
            <wp:extent cx="6731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-915670</wp:posOffset>
            </wp:positionV>
            <wp:extent cx="6731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-900430</wp:posOffset>
            </wp:positionV>
            <wp:extent cx="6731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-21590</wp:posOffset>
            </wp:positionV>
            <wp:extent cx="7493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-6985</wp:posOffset>
            </wp:positionV>
            <wp:extent cx="7493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-21590</wp:posOffset>
            </wp:positionV>
            <wp:extent cx="6731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5531485</wp:posOffset>
            </wp:positionH>
            <wp:positionV relativeFrom="paragraph">
              <wp:posOffset>-6985</wp:posOffset>
            </wp:positionV>
            <wp:extent cx="6731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-21590</wp:posOffset>
            </wp:positionV>
            <wp:extent cx="6731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-6985</wp:posOffset>
            </wp:positionV>
            <wp:extent cx="6731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December 31, 2024,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Liabilities Measured at Fair Value on a Recurring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Level 3 liabilities that are measured at fair value on a recurring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Warrant Liabilities</w:t>
            </w:r>
          </w:p>
        </w:tc>
        <w:tc>
          <w:tcPr>
            <w:tcW w:w="280" w:type="dxa"/>
            <w:vAlign w:val="bottom"/>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Contingent Consideration</w:t>
            </w:r>
          </w:p>
        </w:tc>
        <w:tc>
          <w:tcPr>
            <w:tcW w:w="120" w:type="dxa"/>
            <w:vAlign w:val="bottom"/>
          </w:tcPr>
          <w:p>
            <w:pPr>
              <w:spacing w:after="0"/>
              <w:rPr>
                <w:sz w:val="13"/>
                <w:szCs w:val="13"/>
                <w:color w:val="auto"/>
              </w:rPr>
            </w:pPr>
          </w:p>
        </w:tc>
      </w:tr>
      <w:tr>
        <w:trPr>
          <w:trHeight w:val="181"/>
        </w:trPr>
        <w:tc>
          <w:tcPr>
            <w:tcW w:w="7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gridSpan w:val="2"/>
            <w:shd w:val="clear" w:color="auto" w:fill="CFF0FC"/>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ind w:right="46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warrant liabilities assumed in connection with the Merger</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Fair value of contingent consideration recorded in connection with the acquisition of Sengenics</w:t>
            </w:r>
          </w:p>
        </w:tc>
        <w:tc>
          <w:tcPr>
            <w:tcW w:w="18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shd w:val="clear" w:color="auto" w:fill="CFF0FC"/>
          </w:tcPr>
          <w:p>
            <w:pPr>
              <w:spacing w:after="0"/>
              <w:rPr>
                <w:sz w:val="16"/>
                <w:szCs w:val="16"/>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80" w:type="dxa"/>
            <w:vAlign w:val="bottom"/>
          </w:tcPr>
          <w:p>
            <w:pPr>
              <w:spacing w:after="0"/>
              <w:rPr>
                <w:sz w:val="16"/>
                <w:szCs w:val="16"/>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(632 )</w:t>
            </w:r>
          </w:p>
        </w:tc>
        <w:tc>
          <w:tcPr>
            <w:tcW w:w="6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77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80" w:type="dxa"/>
            <w:vAlign w:val="bottom"/>
            <w:tcBorders>
              <w:top w:val="single" w:sz="8" w:color="auto"/>
              <w:bottom w:val="single" w:sz="8" w:color="auto"/>
            </w:tcBorders>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274</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6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544"/>
        </w:trPr>
        <w:tc>
          <w:tcPr>
            <w:tcW w:w="7760" w:type="dxa"/>
            <w:vAlign w:val="bottom"/>
          </w:tcPr>
          <w:p>
            <w:pPr>
              <w:ind w:left="5640"/>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7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5922010</wp:posOffset>
            </wp:positionH>
            <wp:positionV relativeFrom="paragraph">
              <wp:posOffset>-817880</wp:posOffset>
            </wp:positionV>
            <wp:extent cx="6731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5922010</wp:posOffset>
            </wp:positionH>
            <wp:positionV relativeFrom="paragraph">
              <wp:posOffset>-802640</wp:posOffset>
            </wp:positionV>
            <wp:extent cx="6731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-817880</wp:posOffset>
            </wp:positionV>
            <wp:extent cx="6731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-802640</wp:posOffset>
            </wp:positionV>
            <wp:extent cx="6731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5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i w:val="1"/>
          <w:iCs w:val="1"/>
          <w:color w:val="auto"/>
        </w:rPr>
        <w:t>Warrant liabilities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Warrants were valued using Level 2 inputs as of the Closing Date as the Public Warrants were actively traded at that date. Therefore, the Company had directly observable prices for identical instruments as of the Closing Date. Following the Closing Date, and as of December 31, 2024, the Public Warrants were no longer publicly traded (see Note 2), so the Warrants were valued using a binomial lattice model (a special case of the income approach), using the following Level 3 inputs: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80" w:type="dxa"/>
            <w:vAlign w:val="bottom"/>
          </w:tcPr>
          <w:p>
            <w:pPr>
              <w:spacing w:after="0"/>
              <w:rPr>
                <w:sz w:val="13"/>
                <w:szCs w:val="13"/>
                <w:color w:val="auto"/>
              </w:rPr>
            </w:pPr>
          </w:p>
        </w:tc>
        <w:tc>
          <w:tcPr>
            <w:tcW w:w="1600" w:type="dxa"/>
            <w:vAlign w:val="bottom"/>
            <w:tcBorders>
              <w:bottom w:val="single" w:sz="8" w:color="auto"/>
            </w:tcBorders>
            <w:gridSpan w:val="2"/>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January 5, 2024</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1"/>
        </w:trPr>
        <w:tc>
          <w:tcPr>
            <w:tcW w:w="7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Volatility</w:t>
            </w:r>
          </w:p>
        </w:tc>
        <w:tc>
          <w:tcPr>
            <w:tcW w:w="1800" w:type="dxa"/>
            <w:vAlign w:val="bottom"/>
            <w:gridSpan w:val="3"/>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75.0 %</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00" w:type="dxa"/>
            <w:vAlign w:val="bottom"/>
            <w:gridSpan w:val="3"/>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70.2 %</w:t>
            </w:r>
          </w:p>
        </w:tc>
      </w:tr>
      <w:tr>
        <w:trPr>
          <w:trHeight w:val="189"/>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4.20 %</w:t>
            </w:r>
          </w:p>
        </w:tc>
      </w:tr>
      <w:tr>
        <w:trPr>
          <w:trHeight w:val="18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term</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415"/>
        </w:trPr>
        <w:tc>
          <w:tcPr>
            <w:tcW w:w="9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following table summarizes amounts transferred into Level 3 of the fair value hierarchy during the year ended December 31, 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9"/>
        </w:trPr>
        <w:tc>
          <w:tcPr>
            <w:tcW w:w="7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60" w:type="dxa"/>
            <w:vAlign w:val="bottom"/>
            <w:tcBorders>
              <w:bottom w:val="single" w:sz="8" w:color="auto"/>
            </w:tcBorders>
            <w:gridSpan w:val="7"/>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2"/>
        </w:trPr>
        <w:tc>
          <w:tcPr>
            <w:tcW w:w="7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Borders>
              <w:bottom w:val="single" w:sz="8" w:color="auto"/>
            </w:tcBorders>
            <w:gridSpan w:val="2"/>
          </w:tcPr>
          <w:p>
            <w:pPr>
              <w:jc w:val="right"/>
              <w:ind w:right="140"/>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bottom w:val="single" w:sz="8" w:color="auto"/>
            </w:tcBorders>
          </w:tcPr>
          <w:p>
            <w:pPr>
              <w:jc w:val="right"/>
              <w:ind w:right="9"/>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81"/>
        </w:trPr>
        <w:tc>
          <w:tcPr>
            <w:tcW w:w="75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Beginning balance</w:t>
            </w:r>
          </w:p>
        </w:tc>
        <w:tc>
          <w:tcPr>
            <w:tcW w:w="1600" w:type="dxa"/>
            <w:vAlign w:val="bottom"/>
            <w:gridSpan w:val="2"/>
            <w:shd w:val="clear" w:color="auto" w:fill="CFF0FC"/>
          </w:tcPr>
          <w:p>
            <w:pPr>
              <w:jc w:val="right"/>
              <w:ind w:right="512"/>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29"/>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w:t>
            </w:r>
          </w:p>
        </w:tc>
      </w:tr>
      <w:tr>
        <w:trPr>
          <w:trHeight w:val="189"/>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Transfer in</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Unrealized gain</w:t>
            </w:r>
          </w:p>
        </w:tc>
        <w:tc>
          <w:tcPr>
            <w:tcW w:w="9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8"/>
              </w:rPr>
              <w:t>(632 )</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9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jc w:val="right"/>
              <w:ind w:right="62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r>
      <w:tr>
        <w:trPr>
          <w:trHeight w:val="18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Amount of unrealized gain for the period included in income relating to liabilities at the end of the reporting period</w:t>
            </w:r>
          </w:p>
        </w:tc>
        <w:tc>
          <w:tcPr>
            <w:tcW w:w="1600" w:type="dxa"/>
            <w:vAlign w:val="bottom"/>
            <w:gridSpan w:val="2"/>
            <w:shd w:val="clear" w:color="auto" w:fill="CFF0FC"/>
          </w:tcPr>
          <w:p>
            <w:pPr>
              <w:jc w:val="right"/>
              <w:ind w:right="512"/>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6"/>
                <w:szCs w:val="16"/>
                <w:color w:val="auto"/>
              </w:rPr>
            </w:pPr>
          </w:p>
        </w:tc>
        <w:tc>
          <w:tcPr>
            <w:tcW w:w="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8"/>
              </w:rPr>
              <w:t>(632 )</w:t>
            </w:r>
          </w:p>
        </w:tc>
        <w:tc>
          <w:tcPr>
            <w:tcW w:w="940" w:type="dxa"/>
            <w:vAlign w:val="bottom"/>
            <w:gridSpan w:val="2"/>
            <w:shd w:val="clear" w:color="auto" w:fill="CFF0FC"/>
          </w:tcPr>
          <w:p>
            <w:pPr>
              <w:jc w:val="right"/>
              <w:ind w:right="62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-262255</wp:posOffset>
            </wp:positionV>
            <wp:extent cx="7493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-262255</wp:posOffset>
            </wp:positionV>
            <wp:extent cx="6731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contingent consideration was valued using a Monte Carlo simulation as of November 21, 2024 and December 31, 2024, using the following Level 3 inputs: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80" w:type="dxa"/>
            <w:vAlign w:val="bottom"/>
          </w:tcPr>
          <w:p>
            <w:pPr>
              <w:spacing w:after="0"/>
              <w:rPr>
                <w:sz w:val="13"/>
                <w:szCs w:val="13"/>
                <w:color w:val="auto"/>
              </w:rPr>
            </w:pP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2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November 21, 2024</w:t>
            </w:r>
          </w:p>
        </w:tc>
        <w:tc>
          <w:tcPr>
            <w:tcW w:w="180" w:type="dxa"/>
            <w:vAlign w:val="bottom"/>
          </w:tcPr>
          <w:p>
            <w:pPr>
              <w:spacing w:after="0"/>
              <w:rPr>
                <w:sz w:val="13"/>
                <w:szCs w:val="13"/>
                <w:color w:val="auto"/>
              </w:rPr>
            </w:pPr>
          </w:p>
        </w:tc>
      </w:tr>
      <w:tr>
        <w:trPr>
          <w:trHeight w:val="181"/>
        </w:trPr>
        <w:tc>
          <w:tcPr>
            <w:tcW w:w="890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 volatility</w:t>
            </w:r>
          </w:p>
        </w:tc>
        <w:tc>
          <w:tcPr>
            <w:tcW w:w="58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15 %</w:t>
            </w:r>
          </w:p>
        </w:tc>
        <w:tc>
          <w:tcPr>
            <w:tcW w:w="178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15 %</w:t>
            </w:r>
          </w:p>
        </w:tc>
      </w:tr>
      <w:tr>
        <w:trPr>
          <w:trHeight w:val="189"/>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8"/>
              </w:rPr>
              <w:t>4.30 %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4.30 %</w:t>
            </w:r>
          </w:p>
        </w:tc>
      </w:tr>
      <w:tr>
        <w:trPr>
          <w:trHeight w:val="189"/>
        </w:trPr>
        <w:tc>
          <w:tcPr>
            <w:tcW w:w="8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shd w:val="clear" w:color="auto" w:fill="CFF0FC"/>
          </w:tcPr>
          <w:p>
            <w:pPr>
              <w:spacing w:after="0"/>
              <w:rPr>
                <w:sz w:val="16"/>
                <w:szCs w:val="16"/>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Mezzanine Equity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Series B Redeemable Preferred Stock</w:t>
      </w:r>
    </w:p>
    <w:p>
      <w:pPr>
        <w:spacing w:after="0" w:line="1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together with Casdin, the "Lenders"),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or the "Series B Redeemable Preferred Stock") at a purchase price of $1,000 per share (together with the issuance of shares of Series B Preferred Stock in connection with the conversion of the Bridge Loans, the "Private Placement Issuance"). On the Private Placement Issuance closing date, 225,000 shares of Series B Preferred Stock were issued in accordance with the Purchase Agreements and the Bridge Loans converted into 30,559 shares of Series B Preferred Stock, for a total of 255,559 shares of Series B Preferred Stock. The Company recorded the Series B Preferred Stock as mezzanine equity at its fair value upon issuance, net of any issuance costs, on the consolidated balance sheets as it has features, such as change of control and liquidation preference, which are outside of the Company’s control.</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Purchase Agreements were accounted for as forward sales contracts at fair value in accordance with the authoritative accounting guidance as the Series B Preferred Stock included certain contingent redemption features that created an obligation for the Company to repurchase its shares. The fair value of the payable portion of the forward sales contracts was determined using a Monte Carlo Simulation, which relies on significant assumptions regarding the estimated yield and term of the Series B Preferred Stock.</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05" w:name="page106"/>
    <w:bookmarkEnd w:id="105"/>
    <w:p>
      <w:pPr>
        <w:jc w:val="both"/>
        <w:spacing w:after="0" w:line="254" w:lineRule="auto"/>
        <w:rPr>
          <w:sz w:val="20"/>
          <w:szCs w:val="20"/>
          <w:color w:val="auto"/>
        </w:rPr>
      </w:pPr>
      <w:r>
        <w:rPr>
          <w:rFonts w:ascii="Times New Roman" w:cs="Times New Roman" w:eastAsia="Times New Roman" w:hAnsi="Times New Roman"/>
          <w:sz w:val="16"/>
          <w:szCs w:val="16"/>
          <w:color w:val="auto"/>
        </w:rPr>
        <w:t>On March 18, 2024, the Company entered into an exchange agreement (the “Exchange Agreement”) with Casdin and Viking (together, the “Investors”). Pursuant to the Exchange Agreement, the Investors exchanged (the “Exchange”) an aggregate of (i) 127,780 shares of Series B-1 Preferred Stock and (ii) 127,779 shares of Series B-2 Preferred Stock, representing all of the outstanding shares of Series B Preferred Stock, for an aggregate of 92,930,553 shares of the Company’s common stock. The Exchange was completed on March 18, 2024. Following the closing of the Exchange, no shares of Series B Preferred Stock remained outstanding, and the Company had no amounts recorded in mezzanine equity.</w:t>
      </w:r>
    </w:p>
    <w:p>
      <w:pPr>
        <w:spacing w:after="0" w:line="16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June 18, 2024, the Company filed a registration statement on Form S-3 (File No. 333-280321), which became effective on June 27, 2024, registering the resale of 105,116,628 shares of common stock, including the shares of common stock which were issued upon conversion of the Series B Preferred Stock in the Exchange.</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Exchange was considered to be an induced conversion of preferred stock as the Investors received a lower conversion price, and were issued more shares of common stock than provided under the original terms of the Purchase Agreements entered into with the Investors. The $46.0 million difference between the fair value of the inducement and the carrying value of the Series B Preferred Stock was recognized to the Company's accumulated deficit during the year ended December 31,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Shareholders' Equity (Deficit)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Stock Repurchase Program</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February 6, 2024, the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specific number of shares. During the year ended December 31, 2024, the Company repurchased 15,448,533 shares of its common stock for an aggregate of $40.5 million under the 2024 Share Repurchase Program.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Shares Reserved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Company had reserved shares of common stock for future issuance under equity compensation plans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Securities To Be Issued</w:t>
            </w:r>
          </w:p>
        </w:tc>
        <w:tc>
          <w:tcPr>
            <w:tcW w:w="2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Securities To Be Issued</w:t>
            </w:r>
          </w:p>
        </w:tc>
        <w:tc>
          <w:tcPr>
            <w:tcW w:w="200" w:type="dxa"/>
            <w:vAlign w:val="bottom"/>
          </w:tcPr>
          <w:p>
            <w:pPr>
              <w:spacing w:after="0"/>
              <w:rPr>
                <w:sz w:val="12"/>
                <w:szCs w:val="12"/>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 Remaining</w:t>
            </w:r>
          </w:p>
        </w:tc>
      </w:tr>
      <w:tr>
        <w:trPr>
          <w:trHeight w:val="130"/>
        </w:trPr>
        <w:tc>
          <w:tcPr>
            <w:tcW w:w="34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Upon Exercise Of</w:t>
            </w:r>
          </w:p>
        </w:tc>
        <w:tc>
          <w:tcPr>
            <w:tcW w:w="220" w:type="dxa"/>
            <w:vAlign w:val="bottom"/>
          </w:tcPr>
          <w:p>
            <w:pPr>
              <w:spacing w:after="0"/>
              <w:rPr>
                <w:sz w:val="11"/>
                <w:szCs w:val="11"/>
                <w:color w:val="auto"/>
              </w:rPr>
            </w:pPr>
          </w:p>
        </w:tc>
        <w:tc>
          <w:tcPr>
            <w:tcW w:w="13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Upon Release Of</w:t>
            </w:r>
          </w:p>
        </w:tc>
        <w:tc>
          <w:tcPr>
            <w:tcW w:w="200" w:type="dxa"/>
            <w:vAlign w:val="bottom"/>
          </w:tcPr>
          <w:p>
            <w:pPr>
              <w:spacing w:after="0"/>
              <w:rPr>
                <w:sz w:val="11"/>
                <w:szCs w:val="11"/>
                <w:color w:val="auto"/>
              </w:rPr>
            </w:pPr>
          </w:p>
        </w:tc>
        <w:tc>
          <w:tcPr>
            <w:tcW w:w="1500" w:type="dxa"/>
            <w:vAlign w:val="bottom"/>
            <w:gridSpan w:val="2"/>
          </w:tcPr>
          <w:p>
            <w:pPr>
              <w:jc w:val="center"/>
              <w:ind w:right="140"/>
              <w:spacing w:after="0" w:line="130" w:lineRule="exact"/>
              <w:rPr>
                <w:sz w:val="20"/>
                <w:szCs w:val="20"/>
                <w:color w:val="auto"/>
              </w:rPr>
            </w:pPr>
            <w:r>
              <w:rPr>
                <w:rFonts w:ascii="Times New Roman" w:cs="Times New Roman" w:eastAsia="Times New Roman" w:hAnsi="Times New Roman"/>
                <w:sz w:val="13"/>
                <w:szCs w:val="13"/>
                <w:b w:val="1"/>
                <w:bCs w:val="1"/>
                <w:color w:val="auto"/>
                <w:w w:val="95"/>
              </w:rPr>
              <w:t>Securities Available For</w:t>
            </w:r>
          </w:p>
        </w:tc>
      </w:tr>
      <w:tr>
        <w:trPr>
          <w:trHeight w:val="152"/>
        </w:trPr>
        <w:tc>
          <w:tcPr>
            <w:tcW w:w="3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22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Restricted Stock</w:t>
            </w:r>
          </w:p>
        </w:tc>
        <w:tc>
          <w:tcPr>
            <w:tcW w:w="20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Future Issuance</w:t>
            </w:r>
          </w:p>
        </w:tc>
        <w:tc>
          <w:tcPr>
            <w:tcW w:w="120" w:type="dxa"/>
            <w:vAlign w:val="bottom"/>
          </w:tcPr>
          <w:p>
            <w:pPr>
              <w:spacing w:after="0"/>
              <w:rPr>
                <w:sz w:val="13"/>
                <w:szCs w:val="13"/>
                <w:color w:val="auto"/>
              </w:rPr>
            </w:pPr>
          </w:p>
        </w:tc>
      </w:tr>
      <w:tr>
        <w:trPr>
          <w:trHeight w:val="181"/>
        </w:trPr>
        <w:tc>
          <w:tcPr>
            <w:tcW w:w="3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w w:val="99"/>
              </w:rPr>
              <w:t>2022</w:t>
            </w:r>
          </w:p>
        </w:tc>
        <w:tc>
          <w:tcPr>
            <w:tcW w:w="626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color w:val="auto"/>
              </w:rPr>
              <w:t>Inducement Equity Incentive Plan</w:t>
            </w:r>
          </w:p>
        </w:tc>
        <w:tc>
          <w:tcPr>
            <w:tcW w:w="13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7,195</w:t>
            </w:r>
          </w:p>
        </w:tc>
        <w:tc>
          <w:tcPr>
            <w:tcW w:w="160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890</w:t>
            </w:r>
          </w:p>
        </w:tc>
        <w:tc>
          <w:tcPr>
            <w:tcW w:w="158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FF0FC"/>
          </w:tcPr>
          <w:p>
            <w:pPr>
              <w:spacing w:after="0"/>
              <w:rPr>
                <w:sz w:val="15"/>
                <w:szCs w:val="15"/>
                <w:color w:val="auto"/>
              </w:rPr>
            </w:pPr>
          </w:p>
        </w:tc>
      </w:tr>
      <w:tr>
        <w:trPr>
          <w:trHeight w:val="189"/>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2011</w:t>
            </w:r>
          </w:p>
        </w:tc>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23,640</w:t>
            </w:r>
          </w:p>
        </w:tc>
        <w:tc>
          <w:tcPr>
            <w:tcW w:w="120" w:type="dxa"/>
            <w:vAlign w:val="bottom"/>
          </w:tcPr>
          <w:p>
            <w:pPr>
              <w:spacing w:after="0"/>
              <w:rPr>
                <w:sz w:val="16"/>
                <w:szCs w:val="16"/>
                <w:color w:val="auto"/>
              </w:rPr>
            </w:pPr>
          </w:p>
        </w:tc>
      </w:tr>
      <w:tr>
        <w:trPr>
          <w:trHeight w:val="189"/>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2017 Inducement Award Plan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6"/>
                <w:szCs w:val="16"/>
                <w:color w:val="auto"/>
              </w:rPr>
            </w:pPr>
          </w:p>
        </w:tc>
      </w:tr>
      <w:tr>
        <w:trPr>
          <w:trHeight w:val="189"/>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w w:val="99"/>
              </w:rPr>
              <w:t>2017</w:t>
            </w:r>
          </w:p>
        </w:tc>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tcPr>
          <w:p>
            <w:pPr>
              <w:spacing w:after="0"/>
              <w:rPr>
                <w:sz w:val="16"/>
                <w:szCs w:val="16"/>
                <w:color w:val="auto"/>
              </w:rPr>
            </w:pPr>
          </w:p>
        </w:tc>
      </w:tr>
      <w:tr>
        <w:trPr>
          <w:trHeight w:val="189"/>
        </w:trPr>
        <w:tc>
          <w:tcPr>
            <w:tcW w:w="6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SomaLogic Plans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24,355</w:t>
            </w:r>
          </w:p>
        </w:tc>
        <w:tc>
          <w:tcPr>
            <w:tcW w:w="22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0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66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color w:val="auto"/>
              </w:rPr>
              <w:t>Total common stock reserved for future issuance</w:t>
            </w:r>
          </w:p>
        </w:tc>
        <w:tc>
          <w:tcPr>
            <w:tcW w:w="13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39,213</w:t>
            </w:r>
          </w:p>
        </w:tc>
        <w:tc>
          <w:tcPr>
            <w:tcW w:w="1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13,389</w:t>
            </w:r>
          </w:p>
        </w:tc>
        <w:tc>
          <w:tcPr>
            <w:tcW w:w="15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25,163</w:t>
            </w:r>
          </w:p>
        </w:tc>
        <w:tc>
          <w:tcPr>
            <w:tcW w:w="12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-149860</wp:posOffset>
            </wp:positionV>
            <wp:extent cx="6731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-149860</wp:posOffset>
            </wp:positionV>
            <wp:extent cx="6731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Stock-based Compensation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Compensation Plans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2011 Equity Incentive Plan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January 2011, the Board of Directors adopted the 2011 Equity Incentive Plan ("2011 Plan") under which incentive stock options, non-statutory stock options, RSUs, stock appreciation rights, PSUs, and performance shares may be granted to its employees, directors, and consultants. The 2011 Plan has been subsequently amended to, among other things, increase the shares of common stock available for issuance thereunder over time.</w:t>
      </w:r>
    </w:p>
    <w:p>
      <w:pPr>
        <w:spacing w:after="0" w:line="1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i w:val="1"/>
          <w:iCs w:val="1"/>
          <w:color w:val="auto"/>
        </w:rPr>
        <w:t>2022 Inducement Equity Incentive Plan</w:t>
      </w:r>
    </w:p>
    <w:p>
      <w:pPr>
        <w:spacing w:after="0" w:line="10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In April 2022, the Board of Directors adopted the 2022 Inducement Plan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The Board of Directors sets the terms, conditions, and restrictions related to the grant of stock options, RSUs and performance-based awards under its stock-based plans, as well as employee participation in the ESPP. The Board of Directors determines the number of awards to grant and also sets vesting criteria. 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The Company may grant RSUs with different vesting terms from time to time. Stock options granted under the Company's 2022 Inducement Plan and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The Company may grant options with different vesting terms from time to time. For performance-based share awards, the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Upon completion of the Merger, the Company assumed SomaLogic's stock incentive plans. In addition, all outstanding options to purchase SomaLogic Common Stock and all restricted stock units in respect of shares of SomaLogic Common Stock that were outstanding immediately prior to the completion of the Merger were automatically adjusted by the exchange ratio of 1.11 and converted into an equity award of the same type covering shares of the Company's common stock, on the same terms and conditions (including any continuing vesting requirements), under the applicable Company plan and award agreement in effect immediately prior to the completion of the Merger.</w:t>
      </w:r>
    </w:p>
    <w:p>
      <w:pPr>
        <w:spacing w:after="0" w:line="16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During the year ended December 31, 2024, the Company recorded $6.2 million of stock-based compensation expense due to the acceleration of awards for certain SomaLogic executives in connection with the Merger.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2"/>
                <w:szCs w:val="12"/>
                <w:color w:val="auto"/>
              </w:rPr>
            </w:pPr>
          </w:p>
        </w:tc>
        <w:tc>
          <w:tcPr>
            <w:tcW w:w="19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180" w:type="dxa"/>
            <w:vAlign w:val="bottom"/>
          </w:tcPr>
          <w:p>
            <w:pPr>
              <w:spacing w:after="0"/>
              <w:rPr>
                <w:sz w:val="12"/>
                <w:szCs w:val="12"/>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0" w:type="dxa"/>
            <w:vAlign w:val="bottom"/>
          </w:tcPr>
          <w:p>
            <w:pPr>
              <w:spacing w:after="0"/>
              <w:rPr>
                <w:sz w:val="1"/>
                <w:szCs w:val="1"/>
                <w:color w:val="auto"/>
              </w:rPr>
            </w:pPr>
          </w:p>
        </w:tc>
      </w:tr>
      <w:tr>
        <w:trPr>
          <w:trHeight w:val="130"/>
        </w:trPr>
        <w:tc>
          <w:tcPr>
            <w:tcW w:w="76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1660" w:type="dxa"/>
            <w:vAlign w:val="bottom"/>
            <w:gridSpan w:val="3"/>
          </w:tcPr>
          <w:p>
            <w:pPr>
              <w:jc w:val="center"/>
              <w:ind w:right="140"/>
              <w:spacing w:after="0" w:line="130" w:lineRule="exact"/>
              <w:rPr>
                <w:sz w:val="20"/>
                <w:szCs w:val="20"/>
                <w:color w:val="auto"/>
              </w:rPr>
            </w:pPr>
            <w:r>
              <w:rPr>
                <w:rFonts w:ascii="Times New Roman" w:cs="Times New Roman" w:eastAsia="Times New Roman" w:hAnsi="Times New Roman"/>
                <w:sz w:val="13"/>
                <w:szCs w:val="13"/>
                <w:b w:val="1"/>
                <w:bCs w:val="1"/>
                <w:color w:val="auto"/>
                <w:w w:val="97"/>
              </w:rPr>
              <w:t>Grant Date Fair Value per</w:t>
            </w:r>
          </w:p>
        </w:tc>
        <w:tc>
          <w:tcPr>
            <w:tcW w:w="0" w:type="dxa"/>
            <w:vAlign w:val="bottom"/>
          </w:tcPr>
          <w:p>
            <w:pPr>
              <w:spacing w:after="0"/>
              <w:rPr>
                <w:sz w:val="1"/>
                <w:szCs w:val="1"/>
                <w:color w:val="auto"/>
              </w:rPr>
            </w:pPr>
          </w:p>
        </w:tc>
      </w:tr>
      <w:tr>
        <w:trPr>
          <w:trHeight w:val="152"/>
        </w:trPr>
        <w:tc>
          <w:tcPr>
            <w:tcW w:w="7680" w:type="dxa"/>
            <w:vAlign w:val="bottom"/>
          </w:tcPr>
          <w:p>
            <w:pPr>
              <w:spacing w:after="0"/>
              <w:rPr>
                <w:sz w:val="13"/>
                <w:szCs w:val="13"/>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64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6,933</w:t>
            </w:r>
          </w:p>
        </w:tc>
        <w:tc>
          <w:tcPr>
            <w:tcW w:w="28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Assumed through acquisition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10,850</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(5,332 )</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(2,032 )</w:t>
            </w:r>
          </w:p>
        </w:tc>
        <w:tc>
          <w:tcPr>
            <w:tcW w:w="1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8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6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13,389</w:t>
            </w: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jc w:val="right"/>
              <w:ind w:right="2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CFF0FC"/>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2.24</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5914390</wp:posOffset>
            </wp:positionH>
            <wp:positionV relativeFrom="paragraph">
              <wp:posOffset>-149860</wp:posOffset>
            </wp:positionV>
            <wp:extent cx="6731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As of December 31, 2024, the unrecognized stock-based compensation expense related to outstanding unvested RSUs under the Company’s equity incentive plans was $25.3 million. The Company expects to recognize the expense over a weighted-average period of 2.9 years.</w:t>
      </w:r>
    </w:p>
    <w:p>
      <w:pPr>
        <w:spacing w:after="0" w:line="14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04" w:right="319" w:bottom="1440" w:gutter="0" w:footer="0" w:header="0"/>
        </w:sectPr>
      </w:pPr>
    </w:p>
    <w:bookmarkStart w:id="107" w:name="page108"/>
    <w:bookmarkEnd w:id="107"/>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 Remaining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32"/>
        </w:trPr>
        <w:tc>
          <w:tcPr>
            <w:tcW w:w="5800" w:type="dxa"/>
            <w:vAlign w:val="bottom"/>
          </w:tcPr>
          <w:p>
            <w:pPr>
              <w:spacing w:after="0"/>
              <w:rPr>
                <w:sz w:val="11"/>
                <w:szCs w:val="11"/>
                <w:color w:val="auto"/>
              </w:rPr>
            </w:pPr>
          </w:p>
        </w:tc>
        <w:tc>
          <w:tcPr>
            <w:tcW w:w="1440" w:type="dxa"/>
            <w:vAlign w:val="bottom"/>
            <w:gridSpan w:val="2"/>
          </w:tcPr>
          <w:p>
            <w:pPr>
              <w:ind w:left="280"/>
              <w:spacing w:after="0" w:line="132" w:lineRule="exact"/>
              <w:rPr>
                <w:sz w:val="20"/>
                <w:szCs w:val="20"/>
                <w:color w:val="auto"/>
              </w:rPr>
            </w:pPr>
            <w:r>
              <w:rPr>
                <w:rFonts w:ascii="Times New Roman" w:cs="Times New Roman" w:eastAsia="Times New Roman" w:hAnsi="Times New Roman"/>
                <w:sz w:val="13"/>
                <w:szCs w:val="13"/>
                <w:b w:val="1"/>
                <w:bCs w:val="1"/>
                <w:color w:val="auto"/>
              </w:rPr>
              <w:t>Options (in</w:t>
            </w:r>
          </w:p>
        </w:tc>
        <w:tc>
          <w:tcPr>
            <w:tcW w:w="120" w:type="dxa"/>
            <w:vAlign w:val="bottom"/>
          </w:tcPr>
          <w:p>
            <w:pPr>
              <w:spacing w:after="0"/>
              <w:rPr>
                <w:sz w:val="11"/>
                <w:szCs w:val="11"/>
                <w:color w:val="auto"/>
              </w:rPr>
            </w:pPr>
          </w:p>
        </w:tc>
        <w:tc>
          <w:tcPr>
            <w:tcW w:w="1000" w:type="dxa"/>
            <w:vAlign w:val="bottom"/>
          </w:tcPr>
          <w:p>
            <w:pPr>
              <w:jc w:val="center"/>
              <w:ind w:right="44"/>
              <w:spacing w:after="0" w:line="132" w:lineRule="exact"/>
              <w:rPr>
                <w:sz w:val="20"/>
                <w:szCs w:val="20"/>
                <w:color w:val="auto"/>
              </w:rPr>
            </w:pPr>
            <w:r>
              <w:rPr>
                <w:rFonts w:ascii="Times New Roman" w:cs="Times New Roman" w:eastAsia="Times New Roman" w:hAnsi="Times New Roman"/>
                <w:sz w:val="13"/>
                <w:szCs w:val="13"/>
                <w:b w:val="1"/>
                <w:bCs w:val="1"/>
                <w:color w:val="auto"/>
                <w:w w:val="96"/>
              </w:rPr>
              <w:t>Exercise Price</w:t>
            </w:r>
          </w:p>
        </w:tc>
        <w:tc>
          <w:tcPr>
            <w:tcW w:w="200" w:type="dxa"/>
            <w:vAlign w:val="bottom"/>
          </w:tcPr>
          <w:p>
            <w:pPr>
              <w:spacing w:after="0"/>
              <w:rPr>
                <w:sz w:val="11"/>
                <w:szCs w:val="11"/>
                <w:color w:val="auto"/>
              </w:rPr>
            </w:pPr>
          </w:p>
        </w:tc>
        <w:tc>
          <w:tcPr>
            <w:tcW w:w="12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5"/>
              </w:rPr>
              <w:t>Contractual Life (in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2"/>
                <w:szCs w:val="12"/>
                <w:b w:val="1"/>
                <w:bCs w:val="1"/>
                <w:color w:val="auto"/>
              </w:rPr>
              <w:t xml:space="preserve">Value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 xml:space="preserve"> (in</w:t>
            </w: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8"/>
              </w:rPr>
              <w:t>per Option</w:t>
            </w: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5"/>
              </w:rPr>
              <w:t>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8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2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9,294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3.62</w:t>
            </w:r>
          </w:p>
        </w:tc>
        <w:tc>
          <w:tcPr>
            <w:tcW w:w="140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Assumed through acquisition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(715 )</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Cancelled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(4,247 )</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39,213</w:t>
            </w: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CFF0FC"/>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4.28</w:t>
            </w:r>
          </w:p>
        </w:tc>
        <w:tc>
          <w:tcPr>
            <w:tcW w:w="1400" w:type="dxa"/>
            <w:vAlign w:val="bottom"/>
            <w:tcBorders>
              <w:top w:val="single" w:sz="8" w:color="CFF0FC"/>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5.9</w:t>
            </w:r>
          </w:p>
        </w:tc>
        <w:tc>
          <w:tcPr>
            <w:tcW w:w="400" w:type="dxa"/>
            <w:vAlign w:val="bottom"/>
            <w:tcBorders>
              <w:top w:val="single" w:sz="8" w:color="CFF0FC"/>
            </w:tcBorders>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CFF0FC"/>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0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Vested at December 31, 2024</w:t>
            </w:r>
          </w:p>
        </w:tc>
        <w:tc>
          <w:tcPr>
            <w:tcW w:w="12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28,594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FF0FC"/>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4.76</w:t>
            </w:r>
          </w:p>
        </w:tc>
        <w:tc>
          <w:tcPr>
            <w:tcW w:w="1400" w:type="dxa"/>
            <w:vAlign w:val="bottom"/>
            <w:tcBorders>
              <w:bottom w:val="single" w:sz="8" w:color="CFF0FC"/>
            </w:tcBorders>
            <w:gridSpan w:val="2"/>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5.0</w:t>
            </w:r>
          </w:p>
        </w:tc>
        <w:tc>
          <w:tcPr>
            <w:tcW w:w="400" w:type="dxa"/>
            <w:vAlign w:val="bottom"/>
            <w:tcBorders>
              <w:bottom w:val="single" w:sz="8" w:color="CFF0FC"/>
            </w:tcBorders>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FF0FC"/>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Unvested options at December 31, 2024</w:t>
            </w:r>
          </w:p>
        </w:tc>
        <w:tc>
          <w:tcPr>
            <w:tcW w:w="120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10,619</w:t>
            </w:r>
          </w:p>
        </w:tc>
        <w:tc>
          <w:tcPr>
            <w:tcW w:w="240" w:type="dxa"/>
            <w:vAlign w:val="bottom"/>
          </w:tcPr>
          <w:p>
            <w:pPr>
              <w:spacing w:after="0"/>
              <w:rPr>
                <w:sz w:val="14"/>
                <w:szCs w:val="14"/>
                <w:color w:val="auto"/>
              </w:rPr>
            </w:pPr>
          </w:p>
        </w:tc>
        <w:tc>
          <w:tcPr>
            <w:tcW w:w="12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3.10</w:t>
            </w:r>
          </w:p>
        </w:tc>
        <w:tc>
          <w:tcPr>
            <w:tcW w:w="140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8.6</w:t>
            </w:r>
          </w:p>
        </w:tc>
        <w:tc>
          <w:tcPr>
            <w:tcW w:w="400" w:type="dxa"/>
            <w:vAlign w:val="bottom"/>
            <w:gridSpan w:val="2"/>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-434975</wp:posOffset>
            </wp:positionV>
            <wp:extent cx="6731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-164465</wp:posOffset>
            </wp:positionV>
            <wp:extent cx="6731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-149860</wp:posOffset>
            </wp:positionV>
            <wp:extent cx="6731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190754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907540" cy="7620"/>
                    </a:xfrm>
                    <a:prstGeom prst="rect">
                      <a:avLst/>
                    </a:prstGeom>
                    <a:noFill/>
                  </pic:spPr>
                </pic:pic>
              </a:graphicData>
            </a:graphic>
          </wp:anchor>
        </w:drawing>
      </w:r>
    </w:p>
    <w:p>
      <w:pPr>
        <w:spacing w:after="0" w:line="295" w:lineRule="exact"/>
        <w:rPr>
          <w:sz w:val="20"/>
          <w:szCs w:val="20"/>
          <w:color w:val="auto"/>
        </w:rPr>
      </w:pPr>
    </w:p>
    <w:p>
      <w:pPr>
        <w:ind w:left="505" w:hanging="505"/>
        <w:spacing w:after="0" w:line="276" w:lineRule="auto"/>
        <w:tabs>
          <w:tab w:leader="none" w:pos="50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intrinsic value as of December 31, 2024 was calculated as the difference between the closing price per share of the Company’s common stock on The Nasdaq Global Select Market on December 31, 2024, which was $1.75, and the exercise price of the options, multiplied by the number of in-the-money options.</w:t>
      </w:r>
    </w:p>
    <w:p>
      <w:pPr>
        <w:spacing w:after="0" w:line="145"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The total intrinsic value of options exercised was $0.6 million during the year ended December 31, 2024, and was immaterial during the years ended December 31, 2023 and 2022. The total intrinsic value of options vested was immaterial during the year ended December 31, 2024, and was $0.1 million and zero during the years ended December 31, 2023 and 2022, respectively. As of December 31, 2024, the unrecognized stock-based compensation expense related to outstanding unvested options under the Company’s equity incentive plans was $19.3 million. The Company expects to recognize the expense over a weighted-average period of 2.3 years.</w:t>
      </w:r>
    </w:p>
    <w:p>
      <w:pPr>
        <w:spacing w:after="0" w:line="16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weighted average assumptions used to estimate the fair value of options granted were as follows: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6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2"/>
        </w:trPr>
        <w:tc>
          <w:tcPr>
            <w:tcW w:w="65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r>
      <w:tr>
        <w:trPr>
          <w:trHeight w:val="181"/>
        </w:trPr>
        <w:tc>
          <w:tcPr>
            <w:tcW w:w="65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Stock options</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89"/>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 average expected volatility</w:t>
            </w:r>
          </w:p>
        </w:tc>
        <w:tc>
          <w:tcPr>
            <w:tcW w:w="3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89.0 %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97.1 %</w:t>
            </w:r>
          </w:p>
        </w:tc>
        <w:tc>
          <w:tcPr>
            <w:tcW w:w="3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91.8 %</w:t>
            </w:r>
          </w:p>
        </w:tc>
      </w:tr>
      <w:tr>
        <w:trPr>
          <w:trHeight w:val="189"/>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Weighted average expected term</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6.6 years</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4.7 years</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 years</w:t>
            </w:r>
          </w:p>
        </w:tc>
      </w:tr>
      <w:tr>
        <w:trPr>
          <w:trHeight w:val="189"/>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 average risk-free interest rate</w:t>
            </w:r>
          </w:p>
        </w:tc>
        <w:tc>
          <w:tcPr>
            <w:tcW w:w="3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3.9 %</w:t>
            </w:r>
          </w:p>
        </w:tc>
        <w:tc>
          <w:tcPr>
            <w:tcW w:w="3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2.6 %</w:t>
            </w:r>
          </w:p>
        </w:tc>
      </w:tr>
      <w:tr>
        <w:trPr>
          <w:trHeight w:val="189"/>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Dividend yield</w:t>
            </w: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fair value per share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320" w:type="dxa"/>
            <w:vAlign w:val="bottom"/>
          </w:tcPr>
          <w:p>
            <w:pPr>
              <w:spacing w:after="0"/>
              <w:rPr>
                <w:sz w:val="17"/>
                <w:szCs w:val="17"/>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80" w:type="dxa"/>
            <w:vAlign w:val="bottom"/>
          </w:tcPr>
          <w:p>
            <w:pPr>
              <w:spacing w:after="0"/>
              <w:rPr>
                <w:sz w:val="17"/>
                <w:szCs w:val="17"/>
                <w:color w:val="auto"/>
              </w:rPr>
            </w:pPr>
          </w:p>
        </w:tc>
      </w:tr>
    </w:tbl>
    <w:p>
      <w:pPr>
        <w:spacing w:after="0" w:line="153"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b w:val="1"/>
          <w:bCs w:val="1"/>
          <w:color w:val="auto"/>
        </w:rPr>
        <w:t>Expected Term</w:t>
      </w:r>
      <w:r>
        <w:rPr>
          <w:rFonts w:ascii="Times New Roman" w:cs="Times New Roman" w:eastAsia="Times New Roman" w:hAnsi="Times New Roman"/>
          <w:sz w:val="16"/>
          <w:szCs w:val="16"/>
          <w:color w:val="auto"/>
        </w:rPr>
        <w:t>—The expected term of options granted represents the period of time that the options are expected to be outstanding and is derived by analyzing historical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exercise behavior.</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Expected Volatility</w:t>
      </w:r>
      <w:r>
        <w:rPr>
          <w:rFonts w:ascii="Times New Roman" w:cs="Times New Roman" w:eastAsia="Times New Roman" w:hAnsi="Times New Roman"/>
          <w:sz w:val="16"/>
          <w:szCs w:val="16"/>
          <w:color w:val="auto"/>
        </w:rPr>
        <w:t>—The estimated volatility was based on the historical volatility of the common stock of the Company.</w:t>
      </w:r>
    </w:p>
    <w:p>
      <w:pPr>
        <w:spacing w:after="0" w:line="194"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b w:val="1"/>
          <w:bCs w:val="1"/>
          <w:color w:val="auto"/>
        </w:rPr>
        <w:t>Risk-Free Interest Rate</w:t>
      </w:r>
      <w:r>
        <w:rPr>
          <w:rFonts w:ascii="Times New Roman" w:cs="Times New Roman" w:eastAsia="Times New Roman" w:hAnsi="Times New Roman"/>
          <w:sz w:val="16"/>
          <w:szCs w:val="16"/>
          <w:color w:val="auto"/>
        </w:rPr>
        <w:t>—The risk-free interest rate is the implied yield in effect at the time of the option grant based on U.S. Treasury securities with contract maturities similar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expected term of the Company’s stock options.</w:t>
      </w:r>
    </w:p>
    <w:p>
      <w:pPr>
        <w:spacing w:after="0" w:line="1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Dividend Rate</w:t>
      </w:r>
      <w:r>
        <w:rPr>
          <w:rFonts w:ascii="Times New Roman" w:cs="Times New Roman" w:eastAsia="Times New Roman" w:hAnsi="Times New Roman"/>
          <w:sz w:val="16"/>
          <w:szCs w:val="16"/>
          <w:color w:val="auto"/>
        </w:rPr>
        <w:t>—The Company has not paid any cash dividends on common stock since inception and does not anticipate paying any dividends in the foreseeable future.</w:t>
      </w:r>
    </w:p>
    <w:p>
      <w:pPr>
        <w:spacing w:after="0" w:line="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Consequently, an expected dividend yield of zero was used.</w:t>
      </w:r>
    </w:p>
    <w:p>
      <w:pPr>
        <w:spacing w:after="0" w:line="26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Awards</w:t>
      </w:r>
    </w:p>
    <w:p>
      <w:pPr>
        <w:spacing w:after="0" w:line="104" w:lineRule="exact"/>
        <w:rPr>
          <w:sz w:val="20"/>
          <w:szCs w:val="20"/>
          <w:color w:val="auto"/>
        </w:rPr>
      </w:pPr>
    </w:p>
    <w:p>
      <w:pPr>
        <w:jc w:val="both"/>
        <w:ind w:left="5"/>
        <w:spacing w:after="0" w:line="256" w:lineRule="auto"/>
        <w:rPr>
          <w:sz w:val="20"/>
          <w:szCs w:val="20"/>
          <w:color w:val="auto"/>
        </w:rPr>
      </w:pPr>
      <w:r>
        <w:rPr>
          <w:rFonts w:ascii="Times New Roman" w:cs="Times New Roman" w:eastAsia="Times New Roman" w:hAnsi="Times New Roman"/>
          <w:sz w:val="16"/>
          <w:szCs w:val="16"/>
          <w:color w:val="auto"/>
        </w:rPr>
        <w:t>In July 2023, the Company granted performance-based restricted stock units to certain executive officers that would vest based upon the achievement of specified revenue and EBITDA targets for the twelve months ended December 31, 2023, and the executive’s continued employment with the Company. Stock-based compensation expense is being recognized over the requisite service period, as it is deemed probable the Company will satisfy the performance measures. Certain of the specified revenue and EBITDA targets were met and the PSUs vested and were released from restriction in April 2024.</w:t>
      </w:r>
    </w:p>
    <w:p>
      <w:pPr>
        <w:spacing w:after="0" w:line="161"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02"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t>Activity under the performance-based awards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0" w:type="dxa"/>
            <w:vAlign w:val="bottom"/>
          </w:tcPr>
          <w:p>
            <w:pPr>
              <w:spacing w:after="0"/>
              <w:rPr>
                <w:sz w:val="1"/>
                <w:szCs w:val="1"/>
                <w:color w:val="auto"/>
              </w:rPr>
            </w:pPr>
          </w:p>
        </w:tc>
      </w:tr>
      <w:tr>
        <w:trPr>
          <w:trHeight w:val="130"/>
        </w:trPr>
        <w:tc>
          <w:tcPr>
            <w:tcW w:w="6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tcPr>
          <w:p>
            <w:pPr>
              <w:jc w:val="center"/>
              <w:ind w:right="140"/>
              <w:spacing w:after="0" w:line="130" w:lineRule="exact"/>
              <w:rPr>
                <w:sz w:val="20"/>
                <w:szCs w:val="20"/>
                <w:color w:val="auto"/>
              </w:rPr>
            </w:pPr>
            <w:r>
              <w:rPr>
                <w:rFonts w:ascii="Times New Roman" w:cs="Times New Roman" w:eastAsia="Times New Roman" w:hAnsi="Times New Roman"/>
                <w:sz w:val="13"/>
                <w:szCs w:val="13"/>
                <w:b w:val="1"/>
                <w:bCs w:val="1"/>
                <w:color w:val="auto"/>
                <w:w w:val="97"/>
              </w:rPr>
              <w:t>Grant Date Fair Value per</w:t>
            </w: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2023</w:t>
            </w: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309</w:t>
            </w: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84"/>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PSU granted</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Performance adjustment</w:t>
            </w:r>
          </w:p>
        </w:tc>
        <w:tc>
          <w:tcPr>
            <w:tcW w:w="8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(26 )</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PSU released</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w w:val="98"/>
              </w:rPr>
              <w:t>(383 )</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4"/>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 Expense</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Stock-based compensation expense is reported in the Company's consolidated statements of operations as follows (in thousands):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6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4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Borders>
              <w:bottom w:val="single" w:sz="8" w:color="auto"/>
            </w:tcBorders>
            <w:gridSpan w:val="2"/>
          </w:tcPr>
          <w:p>
            <w:pPr>
              <w:jc w:val="right"/>
              <w:ind w:right="201"/>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Cost of product revenue</w:t>
            </w:r>
          </w:p>
        </w:tc>
        <w:tc>
          <w:tcPr>
            <w:tcW w:w="840" w:type="dxa"/>
            <w:vAlign w:val="bottom"/>
            <w:shd w:val="clear" w:color="auto" w:fill="CFF0FC"/>
          </w:tcPr>
          <w:p>
            <w:pPr>
              <w:jc w:val="right"/>
              <w:ind w:right="66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732</w:t>
            </w:r>
          </w:p>
        </w:tc>
        <w:tc>
          <w:tcPr>
            <w:tcW w:w="1000" w:type="dxa"/>
            <w:vAlign w:val="bottom"/>
            <w:gridSpan w:val="2"/>
            <w:shd w:val="clear" w:color="auto" w:fill="CFF0FC"/>
          </w:tcPr>
          <w:p>
            <w:pPr>
              <w:jc w:val="right"/>
              <w:ind w:right="557"/>
              <w:spacing w:after="0" w:line="181"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652</w:t>
            </w:r>
          </w:p>
        </w:tc>
        <w:tc>
          <w:tcPr>
            <w:tcW w:w="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9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revenue</w:t>
            </w:r>
          </w:p>
        </w:tc>
        <w:tc>
          <w:tcPr>
            <w:tcW w:w="84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648</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collaboration and other revenue</w:t>
            </w:r>
          </w:p>
        </w:tc>
        <w:tc>
          <w:tcPr>
            <w:tcW w:w="8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4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5,827</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24,522</w:t>
            </w:r>
          </w:p>
        </w:tc>
        <w:tc>
          <w:tcPr>
            <w:tcW w:w="28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10,641</w:t>
            </w:r>
          </w:p>
        </w:tc>
        <w:tc>
          <w:tcPr>
            <w:tcW w:w="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Total stock-based compensation expense</w:t>
            </w:r>
          </w:p>
        </w:tc>
        <w:tc>
          <w:tcPr>
            <w:tcW w:w="840" w:type="dxa"/>
            <w:vAlign w:val="bottom"/>
          </w:tcPr>
          <w:p>
            <w:pPr>
              <w:jc w:val="right"/>
              <w:ind w:right="66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31,732</w:t>
            </w:r>
          </w:p>
        </w:tc>
        <w:tc>
          <w:tcPr>
            <w:tcW w:w="1000" w:type="dxa"/>
            <w:vAlign w:val="bottom"/>
            <w:gridSpan w:val="2"/>
          </w:tcPr>
          <w:p>
            <w:pPr>
              <w:jc w:val="right"/>
              <w:ind w:right="557"/>
              <w:spacing w:after="0" w:line="181"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13,123</w:t>
            </w:r>
          </w:p>
        </w:tc>
        <w:tc>
          <w:tcPr>
            <w:tcW w:w="20" w:type="dxa"/>
            <w:vAlign w:val="bottom"/>
          </w:tcPr>
          <w:p>
            <w:pPr>
              <w:spacing w:after="0"/>
              <w:rPr>
                <w:sz w:val="15"/>
                <w:szCs w:val="15"/>
                <w:color w:val="auto"/>
              </w:rPr>
            </w:pPr>
          </w:p>
        </w:tc>
        <w:tc>
          <w:tcPr>
            <w:tcW w:w="480" w:type="dxa"/>
            <w:vAlign w:val="bottom"/>
            <w:gridSpan w:val="2"/>
          </w:tcPr>
          <w:p>
            <w:pPr>
              <w:jc w:val="right"/>
              <w:ind w:right="97"/>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14,880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5914390</wp:posOffset>
            </wp:positionH>
            <wp:positionV relativeFrom="paragraph">
              <wp:posOffset>-1553845</wp:posOffset>
            </wp:positionV>
            <wp:extent cx="6731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5914390</wp:posOffset>
            </wp:positionH>
            <wp:positionV relativeFrom="paragraph">
              <wp:posOffset>-1538605</wp:posOffset>
            </wp:positionV>
            <wp:extent cx="6731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-1553845</wp:posOffset>
            </wp:positionV>
            <wp:extent cx="6731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-1538605</wp:posOffset>
            </wp:positionV>
            <wp:extent cx="6731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-149860</wp:posOffset>
            </wp:positionV>
            <wp:extent cx="7493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-149860</wp:posOffset>
            </wp:positionV>
            <wp:extent cx="6731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-149860</wp:posOffset>
            </wp:positionV>
            <wp:extent cx="6731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Net Loss Per Share</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Company’s basic and diluted net loss per share is calculated by dividing net loss less any redemption or induced conversion on the Series B Preferred Stock by the weighted-average number of shares of common stock outstanding for the period. RSUs, PSUs, options to purchase the Company’s common stock, restricted stock,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described above, on March 18, 2024, the Company consummated the Exchange in which all outstanding Series B Preferred Stock were exchanged for an aggregate of 92,930,553 shares of the Company's common stock. This transaction was determined to be an induced conversion due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Computation of net loss per share for the years ended December 31, 2024, 2023, and 2022, was as follows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5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14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from operations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(138,885 )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(74,656 )</w:t>
            </w: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(190,098 )</w:t>
            </w: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Induced conversion of redeemable preferred stock</w:t>
            </w: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(46,014 )</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(184,899 )</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(74,656 )</w:t>
            </w: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(190,098 )</w:t>
            </w: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Weighted-average shares outstanding during the period</w:t>
            </w:r>
          </w:p>
        </w:tc>
        <w:tc>
          <w:tcPr>
            <w:tcW w:w="15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353,245</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79,160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78,305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1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182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(0.52 )</w:t>
            </w:r>
          </w:p>
        </w:tc>
        <w:tc>
          <w:tcPr>
            <w:tcW w:w="460" w:type="dxa"/>
            <w:vAlign w:val="bottom"/>
            <w:gridSpan w:val="2"/>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0"/>
              <w:spacing w:after="0" w:line="165" w:lineRule="exact"/>
              <w:rPr>
                <w:sz w:val="20"/>
                <w:szCs w:val="20"/>
                <w:color w:val="auto"/>
              </w:rPr>
            </w:pPr>
            <w:r>
              <w:rPr>
                <w:rFonts w:ascii="Times New Roman" w:cs="Times New Roman" w:eastAsia="Times New Roman" w:hAnsi="Times New Roman"/>
                <w:sz w:val="16"/>
                <w:szCs w:val="16"/>
                <w:color w:val="auto"/>
              </w:rPr>
              <w:t>(0.94 )</w:t>
            </w:r>
          </w:p>
        </w:tc>
        <w:tc>
          <w:tcPr>
            <w:tcW w:w="300" w:type="dxa"/>
            <w:vAlign w:val="bottom"/>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(2.43 )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vMerge w:val="restart"/>
          </w:tcPr>
          <w:p>
            <w:pPr>
              <w:jc w:val="right"/>
              <w:ind w:right="681"/>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1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5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-960755</wp:posOffset>
            </wp:positionV>
            <wp:extent cx="7493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-945515</wp:posOffset>
            </wp:positionV>
            <wp:extent cx="7493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-960755</wp:posOffset>
            </wp:positionV>
            <wp:extent cx="6731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-945515</wp:posOffset>
            </wp:positionV>
            <wp:extent cx="6731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-960755</wp:posOffset>
            </wp:positionV>
            <wp:extent cx="6731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-945515</wp:posOffset>
            </wp:positionV>
            <wp:extent cx="6731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09" w:name="page110"/>
    <w:bookmarkEnd w:id="109"/>
    <w:p>
      <w:pPr>
        <w:ind w:right="20"/>
        <w:spacing w:after="0" w:line="276" w:lineRule="auto"/>
        <w:rPr>
          <w:sz w:val="20"/>
          <w:szCs w:val="20"/>
          <w:color w:val="auto"/>
        </w:rPr>
      </w:pPr>
      <w:r>
        <w:rPr>
          <w:rFonts w:ascii="Times New Roman" w:cs="Times New Roman" w:eastAsia="Times New Roman" w:hAnsi="Times New Roman"/>
          <w:sz w:val="16"/>
          <w:szCs w:val="16"/>
          <w:color w:val="auto"/>
        </w:rPr>
        <w:t>The following potentially dilutive common shares were excluded from the computations of diluted net loss per share for the periods presented because including them would have been anti-dilutive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303"/>
              <w:spacing w:after="0" w:line="122"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83"/>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RSUs, PSUs, stock options, restricted shares and ESPP shares</w:t>
            </w:r>
          </w:p>
        </w:tc>
        <w:tc>
          <w:tcPr>
            <w:tcW w:w="128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52,602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16,740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15,752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Series B Preferred Stock</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2019 Notes</w:t>
            </w:r>
          </w:p>
        </w:tc>
        <w:tc>
          <w:tcPr>
            <w:tcW w:w="128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18,966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2014 Notes</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w:t>
            </w:r>
          </w:p>
        </w:tc>
        <w:tc>
          <w:tcPr>
            <w:tcW w:w="128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536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64,299</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110,880</w:t>
            </w:r>
          </w:p>
        </w:tc>
        <w:tc>
          <w:tcPr>
            <w:tcW w:w="18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109,892</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15. Income Taxes</w:t>
            </w:r>
          </w:p>
        </w:tc>
        <w:tc>
          <w:tcPr>
            <w:tcW w:w="1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3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The Company' loss before income taxes consists of the following (in thousands):</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43"/>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Domestic</w:t>
            </w:r>
          </w:p>
        </w:tc>
        <w:tc>
          <w:tcPr>
            <w:tcW w:w="1660" w:type="dxa"/>
            <w:vAlign w:val="bottom"/>
            <w:gridSpan w:val="2"/>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(110,938 )</w:t>
            </w:r>
          </w:p>
        </w:tc>
        <w:tc>
          <w:tcPr>
            <w:tcW w:w="440" w:type="dxa"/>
            <w:vAlign w:val="bottom"/>
            <w:gridSpan w:val="3"/>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(40,587 )</w:t>
            </w:r>
          </w:p>
        </w:tc>
        <w:tc>
          <w:tcPr>
            <w:tcW w:w="3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(174,041 )</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(27,374 )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(33,617 )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(18,887 )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1280" w:type="dxa"/>
            <w:vAlign w:val="bottom"/>
            <w:tcBorders>
              <w:right w:val="single" w:sz="8" w:color="CFF0FC"/>
            </w:tcBorders>
            <w:shd w:val="clear" w:color="auto" w:fill="CFF0FC"/>
          </w:tcPr>
          <w:p>
            <w:pPr>
              <w:spacing w:after="0"/>
              <w:rPr>
                <w:sz w:val="17"/>
                <w:szCs w:val="17"/>
                <w:color w:val="auto"/>
              </w:rPr>
            </w:pPr>
          </w:p>
        </w:tc>
        <w:tc>
          <w:tcPr>
            <w:tcW w:w="380" w:type="dxa"/>
            <w:vAlign w:val="bottom"/>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(138,312 )</w:t>
            </w:r>
          </w:p>
        </w:tc>
        <w:tc>
          <w:tcPr>
            <w:tcW w:w="440" w:type="dxa"/>
            <w:vAlign w:val="bottom"/>
            <w:gridSpan w:val="3"/>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(74,204 )</w:t>
            </w:r>
          </w:p>
        </w:tc>
        <w:tc>
          <w:tcPr>
            <w:tcW w:w="3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(192,928 )</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Significant components of the Company's benefit (expense) from income taxes are as follows (in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63"/>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43"/>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Current:</w:t>
            </w:r>
          </w:p>
        </w:tc>
        <w:tc>
          <w:tcPr>
            <w:tcW w:w="128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128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(233 )</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(197 )</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189"/>
        </w:trPr>
        <w:tc>
          <w:tcPr>
            <w:tcW w:w="5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(373 )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tax expense</w:t>
            </w:r>
          </w:p>
        </w:tc>
        <w:tc>
          <w:tcPr>
            <w:tcW w:w="1280" w:type="dxa"/>
            <w:vAlign w:val="bottom"/>
            <w:tcBorders>
              <w:right w:val="single" w:sz="8" w:color="CFF0FC"/>
            </w:tcBorders>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(336 )</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(570 )</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Federal</w:t>
            </w:r>
          </w:p>
        </w:tc>
        <w:tc>
          <w:tcPr>
            <w:tcW w:w="128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State</w:t>
            </w: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Foreign</w:t>
            </w:r>
          </w:p>
        </w:tc>
        <w:tc>
          <w:tcPr>
            <w:tcW w:w="1280" w:type="dxa"/>
            <w:vAlign w:val="bottom"/>
            <w:tcBorders>
              <w:right w:val="single" w:sz="8" w:color="CFF0FC"/>
            </w:tcBorders>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(237 )</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128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deferred benefit</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(237 )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3,322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benefit (expense) from income taxes</w:t>
            </w:r>
          </w:p>
        </w:tc>
        <w:tc>
          <w:tcPr>
            <w:tcW w:w="128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(573 )</w:t>
            </w:r>
          </w:p>
        </w:tc>
        <w:tc>
          <w:tcPr>
            <w:tcW w:w="440" w:type="dxa"/>
            <w:vAlign w:val="bottom"/>
            <w:gridSpan w:val="3"/>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(452 )</w:t>
            </w:r>
          </w:p>
        </w:tc>
        <w:tc>
          <w:tcPr>
            <w:tcW w:w="36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536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jc w:val="right"/>
              <w:ind w:right="681"/>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5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-4062095</wp:posOffset>
            </wp:positionV>
            <wp:extent cx="6731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-4062095</wp:posOffset>
            </wp:positionV>
            <wp:extent cx="6731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-4062095</wp:posOffset>
            </wp:positionV>
            <wp:extent cx="6731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-2740660</wp:posOffset>
            </wp:positionV>
            <wp:extent cx="7493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-2725420</wp:posOffset>
            </wp:positionV>
            <wp:extent cx="7493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-2740660</wp:posOffset>
            </wp:positionV>
            <wp:extent cx="6731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-2725420</wp:posOffset>
            </wp:positionV>
            <wp:extent cx="6731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-2740660</wp:posOffset>
            </wp:positionV>
            <wp:extent cx="6731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-2725420</wp:posOffset>
            </wp:positionV>
            <wp:extent cx="6731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-1073150</wp:posOffset>
            </wp:positionV>
            <wp:extent cx="7493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-1073150</wp:posOffset>
            </wp:positionV>
            <wp:extent cx="6731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-1073150</wp:posOffset>
            </wp:positionV>
            <wp:extent cx="6731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-817880</wp:posOffset>
            </wp:positionV>
            <wp:extent cx="7493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-802640</wp:posOffset>
            </wp:positionV>
            <wp:extent cx="7493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-817880</wp:posOffset>
            </wp:positionV>
            <wp:extent cx="6731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6079490</wp:posOffset>
            </wp:positionH>
            <wp:positionV relativeFrom="paragraph">
              <wp:posOffset>-802640</wp:posOffset>
            </wp:positionV>
            <wp:extent cx="6731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-817880</wp:posOffset>
            </wp:positionV>
            <wp:extent cx="6731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-802640</wp:posOffset>
            </wp:positionV>
            <wp:extent cx="6731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Reconciliation of income taxes at the statutory rate to the benefit (expense) from income taxes recorded in the statements of operations is as follows:</w:t>
      </w:r>
    </w:p>
    <w:p>
      <w:pPr>
        <w:spacing w:after="0" w:line="18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400" w:type="dxa"/>
            <w:vAlign w:val="bottom"/>
          </w:tcPr>
          <w:p>
            <w:pPr>
              <w:spacing w:after="0"/>
              <w:rPr>
                <w:sz w:val="10"/>
                <w:szCs w:val="10"/>
                <w:color w:val="auto"/>
              </w:rPr>
            </w:pPr>
          </w:p>
        </w:tc>
        <w:tc>
          <w:tcPr>
            <w:tcW w:w="900" w:type="dxa"/>
            <w:vAlign w:val="bottom"/>
            <w:tcBorders>
              <w:top w:val="single" w:sz="8" w:color="auto"/>
              <w:bottom w:val="single" w:sz="8" w:color="auto"/>
            </w:tcBorders>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340" w:type="dxa"/>
            <w:vAlign w:val="bottom"/>
            <w:tcBorders>
              <w:top w:val="single" w:sz="8" w:color="auto"/>
              <w:bottom w:val="single" w:sz="8" w:color="auto"/>
            </w:tcBorders>
          </w:tcPr>
          <w:p>
            <w:pPr>
              <w:jc w:val="right"/>
              <w:ind w:right="462"/>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top w:val="single" w:sz="8" w:color="auto"/>
            </w:tcBorders>
          </w:tcPr>
          <w:p>
            <w:pPr>
              <w:spacing w:after="0"/>
              <w:rPr>
                <w:sz w:val="10"/>
                <w:szCs w:val="10"/>
                <w:color w:val="auto"/>
              </w:rPr>
            </w:pPr>
          </w:p>
        </w:tc>
        <w:tc>
          <w:tcPr>
            <w:tcW w:w="1360" w:type="dxa"/>
            <w:vAlign w:val="bottom"/>
            <w:tcBorders>
              <w:top w:val="single" w:sz="8" w:color="auto"/>
              <w:bottom w:val="single" w:sz="8" w:color="auto"/>
            </w:tcBorders>
          </w:tcPr>
          <w:p>
            <w:pPr>
              <w:jc w:val="right"/>
              <w:ind w:right="462"/>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Pr>
          <w:p>
            <w:pPr>
              <w:spacing w:after="0"/>
              <w:rPr>
                <w:sz w:val="10"/>
                <w:szCs w:val="10"/>
                <w:color w:val="auto"/>
              </w:rPr>
            </w:pPr>
          </w:p>
        </w:tc>
      </w:tr>
      <w:tr>
        <w:trPr>
          <w:trHeight w:val="181"/>
        </w:trPr>
        <w:tc>
          <w:tcPr>
            <w:tcW w:w="7300" w:type="dxa"/>
            <w:vAlign w:val="bottom"/>
            <w:gridSpan w:val="2"/>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Tax benefit at federal statutory rate</w:t>
            </w:r>
          </w:p>
        </w:tc>
        <w:tc>
          <w:tcPr>
            <w:tcW w:w="76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21.0 %</w:t>
            </w:r>
          </w:p>
        </w:tc>
        <w:tc>
          <w:tcPr>
            <w:tcW w:w="166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21.0 %</w:t>
            </w:r>
          </w:p>
        </w:tc>
        <w:tc>
          <w:tcPr>
            <w:tcW w:w="1540" w:type="dxa"/>
            <w:vAlign w:val="bottom"/>
            <w:gridSpan w:val="2"/>
            <w:shd w:val="clear" w:color="auto" w:fill="CFF0FC"/>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21.0 %</w:t>
            </w: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tax expense, net of federal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6"/>
                <w:szCs w:val="16"/>
                <w:color w:val="auto"/>
              </w:rPr>
            </w:pPr>
          </w:p>
        </w:tc>
      </w:tr>
      <w:tr>
        <w:trPr>
          <w:trHeight w:val="189"/>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tax expense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shd w:val="clear" w:color="auto" w:fill="CFF0FC"/>
          </w:tcPr>
          <w:p>
            <w:pPr>
              <w:spacing w:after="0"/>
              <w:rPr>
                <w:sz w:val="16"/>
                <w:szCs w:val="16"/>
                <w:color w:val="auto"/>
              </w:rPr>
            </w:pP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(8.2 )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(21.9 )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80" w:type="dxa"/>
            <w:vAlign w:val="bottom"/>
          </w:tcPr>
          <w:p>
            <w:pPr>
              <w:spacing w:after="0"/>
              <w:rPr>
                <w:sz w:val="16"/>
                <w:szCs w:val="16"/>
                <w:color w:val="auto"/>
              </w:rPr>
            </w:pPr>
          </w:p>
        </w:tc>
      </w:tr>
      <w:tr>
        <w:trPr>
          <w:trHeight w:val="189"/>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Federal R&amp;D credit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shd w:val="clear" w:color="auto" w:fill="CFF0FC"/>
          </w:tcPr>
          <w:p>
            <w:pPr>
              <w:spacing w:after="0"/>
              <w:rPr>
                <w:sz w:val="16"/>
                <w:szCs w:val="16"/>
                <w:color w:val="auto"/>
              </w:rPr>
            </w:pP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Unrecognized tax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2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Pr>
          <w:p>
            <w:pPr>
              <w:spacing w:after="0"/>
              <w:rPr>
                <w:sz w:val="16"/>
                <w:szCs w:val="16"/>
                <w:color w:val="auto"/>
              </w:rPr>
            </w:pPr>
          </w:p>
        </w:tc>
      </w:tr>
      <w:tr>
        <w:trPr>
          <w:trHeight w:val="189"/>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Non-deductible interest/premium</w:t>
            </w:r>
          </w:p>
        </w:tc>
        <w:tc>
          <w:tcPr>
            <w:tcW w:w="7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(0.3 )</w:t>
            </w: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Bargain purchase gain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Pr>
          <w:p>
            <w:pPr>
              <w:spacing w:after="0"/>
              <w:rPr>
                <w:sz w:val="16"/>
                <w:szCs w:val="16"/>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Non-deductible loss on Forward Sale of Preferred Stock and Bridge Loans</w:t>
            </w:r>
          </w:p>
        </w:tc>
        <w:tc>
          <w:tcPr>
            <w:tcW w:w="7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(8.0 )</w:t>
            </w: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R&amp;D tax credits expiring unutilized</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(11.5 )</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(5.2 )</w:t>
            </w:r>
          </w:p>
        </w:tc>
      </w:tr>
      <w:tr>
        <w:trPr>
          <w:trHeight w:val="189"/>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NOL carryforwards expiring unutilized</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(4.1 )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(5.5 )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(22.8 )</w:t>
            </w: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(1.6 )</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(1.5 )</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Executive stock-based compensation</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(2.3 )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(2.6 )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(0.8 )</w:t>
            </w:r>
          </w:p>
        </w:tc>
      </w:tr>
      <w:tr>
        <w:trPr>
          <w:trHeight w:val="189"/>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Return to provision</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(0.5 )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(1.2 )</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(2.0 )</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(2.2 )</w:t>
            </w:r>
          </w:p>
        </w:tc>
      </w:tr>
      <w:tr>
        <w:trPr>
          <w:trHeight w:val="20"/>
        </w:trPr>
        <w:tc>
          <w:tcPr>
            <w:tcW w:w="64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81"/>
        </w:trPr>
        <w:tc>
          <w:tcPr>
            <w:tcW w:w="64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Effective tax rate</w:t>
            </w:r>
          </w:p>
        </w:tc>
        <w:tc>
          <w:tcPr>
            <w:tcW w:w="900" w:type="dxa"/>
            <w:vAlign w:val="bottom"/>
          </w:tcPr>
          <w:p>
            <w:pPr>
              <w:spacing w:after="0"/>
              <w:rPr>
                <w:sz w:val="15"/>
                <w:szCs w:val="15"/>
                <w:color w:val="auto"/>
              </w:rPr>
            </w:pPr>
          </w:p>
        </w:tc>
        <w:tc>
          <w:tcPr>
            <w:tcW w:w="7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(0.4 )%</w:t>
            </w:r>
          </w:p>
        </w:tc>
        <w:tc>
          <w:tcPr>
            <w:tcW w:w="16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(0.4 )%</w:t>
            </w:r>
          </w:p>
        </w:tc>
        <w:tc>
          <w:tcPr>
            <w:tcW w:w="154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1.5 %</w:t>
            </w:r>
          </w:p>
        </w:tc>
      </w:tr>
      <w:tr>
        <w:trPr>
          <w:trHeight w:val="20"/>
        </w:trPr>
        <w:tc>
          <w:tcPr>
            <w:tcW w:w="6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-149860</wp:posOffset>
            </wp:positionV>
            <wp:extent cx="13525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-149860</wp:posOffset>
            </wp:positionV>
            <wp:extent cx="13525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5255" cy="7620"/>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-149860</wp:posOffset>
            </wp:positionV>
            <wp:extent cx="10541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5410"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components of the Company's deferred tax assets and liabilities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7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776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62"/>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0"/>
                <w:szCs w:val="10"/>
                <w:color w:val="auto"/>
              </w:rPr>
            </w:pPr>
          </w:p>
        </w:tc>
      </w:tr>
      <w:tr>
        <w:trPr>
          <w:trHeight w:val="181"/>
        </w:trPr>
        <w:tc>
          <w:tcPr>
            <w:tcW w:w="7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Deferred tax assets:</w:t>
            </w: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92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242,050</w:t>
            </w:r>
          </w:p>
        </w:tc>
        <w:tc>
          <w:tcPr>
            <w:tcW w:w="280" w:type="dxa"/>
            <w:vAlign w:val="bottom"/>
          </w:tcPr>
          <w:p>
            <w:pPr>
              <w:spacing w:after="0"/>
              <w:rPr>
                <w:sz w:val="16"/>
                <w:szCs w:val="16"/>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96,242</w:t>
            </w:r>
          </w:p>
        </w:tc>
        <w:tc>
          <w:tcPr>
            <w:tcW w:w="120" w:type="dxa"/>
            <w:vAlign w:val="bottom"/>
          </w:tcPr>
          <w:p>
            <w:pPr>
              <w:spacing w:after="0"/>
              <w:rPr>
                <w:sz w:val="16"/>
                <w:szCs w:val="16"/>
                <w:color w:val="auto"/>
              </w:rPr>
            </w:pPr>
          </w:p>
        </w:tc>
      </w:tr>
      <w:tr>
        <w:trPr>
          <w:trHeight w:val="189"/>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Reserves and accruals</w:t>
            </w: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14,672</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20" w:type="dxa"/>
            <w:vAlign w:val="bottom"/>
            <w:shd w:val="clear" w:color="auto" w:fill="CFF0FC"/>
          </w:tcPr>
          <w:p>
            <w:pPr>
              <w:spacing w:after="0"/>
              <w:rPr>
                <w:sz w:val="16"/>
                <w:szCs w:val="16"/>
                <w:color w:val="auto"/>
              </w:rPr>
            </w:pPr>
          </w:p>
        </w:tc>
      </w:tr>
      <w:tr>
        <w:trPr>
          <w:trHeight w:val="189"/>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6"/>
                <w:szCs w:val="16"/>
                <w:color w:val="auto"/>
              </w:rPr>
            </w:pPr>
          </w:p>
        </w:tc>
      </w:tr>
      <w:tr>
        <w:trPr>
          <w:trHeight w:val="189"/>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Capitalized R&amp;D costs</w:t>
            </w: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25,138</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20" w:type="dxa"/>
            <w:vAlign w:val="bottom"/>
            <w:shd w:val="clear" w:color="auto" w:fill="CFF0FC"/>
          </w:tcPr>
          <w:p>
            <w:pPr>
              <w:spacing w:after="0"/>
              <w:rPr>
                <w:sz w:val="16"/>
                <w:szCs w:val="16"/>
                <w:color w:val="auto"/>
              </w:rPr>
            </w:pPr>
          </w:p>
        </w:tc>
      </w:tr>
      <w:tr>
        <w:trPr>
          <w:trHeight w:val="189"/>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credit carryforwards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17,216</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120" w:type="dxa"/>
            <w:vAlign w:val="bottom"/>
          </w:tcPr>
          <w:p>
            <w:pPr>
              <w:spacing w:after="0"/>
              <w:rPr>
                <w:sz w:val="16"/>
                <w:szCs w:val="16"/>
                <w:color w:val="auto"/>
              </w:rPr>
            </w:pPr>
          </w:p>
        </w:tc>
      </w:tr>
      <w:tr>
        <w:trPr>
          <w:trHeight w:val="189"/>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7,801</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20" w:type="dxa"/>
            <w:vAlign w:val="bottom"/>
            <w:shd w:val="clear" w:color="auto" w:fill="CFF0FC"/>
          </w:tcPr>
          <w:p>
            <w:pPr>
              <w:spacing w:after="0"/>
              <w:rPr>
                <w:sz w:val="16"/>
                <w:szCs w:val="16"/>
                <w:color w:val="auto"/>
              </w:rPr>
            </w:pPr>
          </w:p>
        </w:tc>
      </w:tr>
      <w:tr>
        <w:trPr>
          <w:trHeight w:val="189"/>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lease liabilities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w:t>
            </w:r>
          </w:p>
        </w:tc>
        <w:tc>
          <w:tcPr>
            <w:tcW w:w="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20" w:type="dxa"/>
            <w:vAlign w:val="bottom"/>
          </w:tcPr>
          <w:p>
            <w:pPr>
              <w:spacing w:after="0"/>
              <w:rPr>
                <w:sz w:val="16"/>
                <w:szCs w:val="16"/>
                <w:color w:val="auto"/>
              </w:rPr>
            </w:pPr>
          </w:p>
        </w:tc>
      </w:tr>
      <w:tr>
        <w:trPr>
          <w:trHeight w:val="181"/>
        </w:trPr>
        <w:tc>
          <w:tcPr>
            <w:tcW w:w="7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gross deferred tax assets</w:t>
            </w: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317,980</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130,308</w:t>
            </w:r>
          </w:p>
        </w:tc>
        <w:tc>
          <w:tcPr>
            <w:tcW w:w="120" w:type="dxa"/>
            <w:vAlign w:val="bottom"/>
            <w:shd w:val="clear" w:color="auto" w:fill="CFF0FC"/>
          </w:tcPr>
          <w:p>
            <w:pPr>
              <w:spacing w:after="0"/>
              <w:rPr>
                <w:sz w:val="15"/>
                <w:szCs w:val="15"/>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9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(304,382 )</w:t>
            </w:r>
          </w:p>
        </w:tc>
        <w:tc>
          <w:tcPr>
            <w:tcW w:w="6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(124,124 )</w:t>
            </w:r>
          </w:p>
        </w:tc>
      </w:tr>
      <w:tr>
        <w:trPr>
          <w:trHeight w:val="181"/>
        </w:trPr>
        <w:tc>
          <w:tcPr>
            <w:tcW w:w="7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9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13,598</w:t>
            </w:r>
          </w:p>
        </w:tc>
        <w:tc>
          <w:tcPr>
            <w:tcW w:w="280" w:type="dxa"/>
            <w:vAlign w:val="bottom"/>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6,184</w:t>
            </w:r>
          </w:p>
        </w:tc>
        <w:tc>
          <w:tcPr>
            <w:tcW w:w="120" w:type="dxa"/>
            <w:vAlign w:val="bottom"/>
            <w:shd w:val="clear" w:color="auto" w:fill="CFF0FC"/>
          </w:tcPr>
          <w:p>
            <w:pPr>
              <w:spacing w:after="0"/>
              <w:rPr>
                <w:sz w:val="15"/>
                <w:szCs w:val="15"/>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Fixed assets and intangibles</w:t>
            </w:r>
          </w:p>
        </w:tc>
        <w:tc>
          <w:tcPr>
            <w:tcW w:w="9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(7,740 )</w:t>
            </w:r>
          </w:p>
        </w:tc>
        <w:tc>
          <w:tcPr>
            <w:tcW w:w="6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(54 )</w:t>
            </w:r>
          </w:p>
        </w:tc>
      </w:tr>
      <w:tr>
        <w:trPr>
          <w:trHeight w:val="189"/>
        </w:trPr>
        <w:tc>
          <w:tcPr>
            <w:tcW w:w="7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w:t>
            </w:r>
          </w:p>
        </w:tc>
        <w:tc>
          <w:tcPr>
            <w:tcW w:w="9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(6,801 )</w:t>
            </w:r>
          </w:p>
        </w:tc>
        <w:tc>
          <w:tcPr>
            <w:tcW w:w="6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(6,836 )</w:t>
            </w:r>
          </w:p>
        </w:tc>
      </w:tr>
      <w:tr>
        <w:trPr>
          <w:trHeight w:val="20"/>
        </w:trPr>
        <w:tc>
          <w:tcPr>
            <w:tcW w:w="7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1"/>
        </w:trPr>
        <w:tc>
          <w:tcPr>
            <w:tcW w:w="7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9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(14,541 )</w:t>
            </w: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(6,890 )</w:t>
            </w:r>
          </w:p>
        </w:tc>
      </w:tr>
      <w:tr>
        <w:trPr>
          <w:trHeight w:val="20"/>
        </w:trPr>
        <w:tc>
          <w:tcPr>
            <w:tcW w:w="77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1"/>
        </w:trPr>
        <w:tc>
          <w:tcPr>
            <w:tcW w:w="77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deferred tax liability</w:t>
            </w:r>
          </w:p>
        </w:tc>
        <w:tc>
          <w:tcPr>
            <w:tcW w:w="920" w:type="dxa"/>
            <w:vAlign w:val="bottom"/>
          </w:tcPr>
          <w:p>
            <w:pPr>
              <w:jc w:val="right"/>
              <w:ind w:right="764"/>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(943 )</w:t>
            </w:r>
          </w:p>
        </w:tc>
        <w:tc>
          <w:tcPr>
            <w:tcW w:w="620" w:type="dxa"/>
            <w:vAlign w:val="bottom"/>
          </w:tcPr>
          <w:p>
            <w:pPr>
              <w:jc w:val="right"/>
              <w:ind w:right="4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(706 )</w:t>
            </w: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5"/>
        </w:trPr>
        <w:tc>
          <w:tcPr>
            <w:tcW w:w="7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liability per balance sheet</w:t>
            </w:r>
          </w:p>
        </w:tc>
        <w:tc>
          <w:tcPr>
            <w:tcW w:w="92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(1,081 )</w:t>
            </w:r>
          </w:p>
        </w:tc>
        <w:tc>
          <w:tcPr>
            <w:tcW w:w="620" w:type="dxa"/>
            <w:vAlign w:val="bottom"/>
            <w:shd w:val="clear" w:color="auto" w:fill="CFF0FC"/>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(841 )</w:t>
            </w: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Less deferred tax assets included in other long-term assets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6"/>
                <w:szCs w:val="16"/>
                <w:color w:val="auto"/>
              </w:rPr>
            </w:pPr>
          </w:p>
        </w:tc>
      </w:tr>
      <w:tr>
        <w:trPr>
          <w:trHeight w:val="201"/>
        </w:trPr>
        <w:tc>
          <w:tcPr>
            <w:tcW w:w="77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deferred tax liability</w:t>
            </w:r>
          </w:p>
        </w:tc>
        <w:tc>
          <w:tcPr>
            <w:tcW w:w="920" w:type="dxa"/>
            <w:vAlign w:val="bottom"/>
            <w:shd w:val="clear" w:color="auto" w:fill="CFF0FC"/>
          </w:tcPr>
          <w:p>
            <w:pPr>
              <w:jc w:val="right"/>
              <w:ind w:right="764"/>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(943 )</w:t>
            </w:r>
          </w:p>
        </w:tc>
        <w:tc>
          <w:tcPr>
            <w:tcW w:w="620" w:type="dxa"/>
            <w:vAlign w:val="bottom"/>
            <w:shd w:val="clear" w:color="auto" w:fill="CFF0FC"/>
          </w:tcPr>
          <w:p>
            <w:pPr>
              <w:jc w:val="right"/>
              <w:ind w:right="4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(706 )</w:t>
            </w: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-660400</wp:posOffset>
            </wp:positionV>
            <wp:extent cx="6731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-660400</wp:posOffset>
            </wp:positionV>
            <wp:extent cx="6731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-21590</wp:posOffset>
            </wp:positionV>
            <wp:extent cx="673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-6985</wp:posOffset>
            </wp:positionV>
            <wp:extent cx="6731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Company is in the process of updating its Section 382 Study through December 31, 2024, and anticipates that an ownership change occurred on March 18, 2024 due to the change in the public group of shareholders. The Company is anticipating that as a result of this ownership change, a portion of the Company's net operating loss carryforwards and its R&amp;D credits will expire unutilized. Subsequent ownership changes may further affect the limitation in future years.</w:t>
      </w:r>
    </w:p>
    <w:p>
      <w:pPr>
        <w:spacing w:after="0" w:line="16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46" w:right="319" w:bottom="1440" w:gutter="0" w:footer="0" w:header="0"/>
        </w:sectPr>
      </w:pPr>
    </w:p>
    <w:bookmarkStart w:id="111" w:name="page112"/>
    <w:bookmarkEnd w:id="111"/>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establishes a valuation allowance for deferred tax assets if the Company determines it is more likely than not the related tax benefit will not be realized. The Company relies on several factors when assessing the realizability of deferred tax assets, including historical financial results, the Company's ability to recover net operating loss carry-forwards, the projected future operating results, and the Company's ability to use tax planning strategies.</w:t>
      </w:r>
    </w:p>
    <w:p>
      <w:pPr>
        <w:spacing w:after="0" w:line="1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The valuation allowances of $304.4 million and $124.1 million as of December 31, 2024 and 2023, respectively, primarily relate to temporary tax differences, net operating losses and research and development credits generated in the current and prior years. The Company believes it is more likely than not that U.S. federal and state, Canada and Netherlands deferred tax assets relating to temporary differences, net operating losses and research and development credits are not realizable. As such, full valuation allowances have been applied against the deferred tax assets relating to jurisdictions of the U.S. federal and state, Canada, the Netherlands, and Malaysia.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reconciliation of the beginning and ending amounts of the valuation allowance for the years ended December 31, 2024, 2023 and 2022, is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December 31, 2021</w:t>
            </w:r>
          </w:p>
        </w:tc>
        <w:tc>
          <w:tcPr>
            <w:tcW w:w="220" w:type="dxa"/>
            <w:vAlign w:val="bottom"/>
          </w:tcPr>
          <w:p>
            <w:pPr>
              <w:spacing w:after="0"/>
              <w:rPr>
                <w:sz w:val="13"/>
                <w:szCs w:val="13"/>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Valuation Allowance</w:t>
            </w:r>
          </w:p>
        </w:tc>
        <w:tc>
          <w:tcPr>
            <w:tcW w:w="0" w:type="dxa"/>
            <w:vAlign w:val="bottom"/>
          </w:tcPr>
          <w:p>
            <w:pPr>
              <w:spacing w:after="0"/>
              <w:rPr>
                <w:sz w:val="1"/>
                <w:szCs w:val="1"/>
                <w:color w:val="auto"/>
              </w:rPr>
            </w:pPr>
          </w:p>
        </w:tc>
      </w:tr>
      <w:tr>
        <w:trPr>
          <w:trHeight w:val="181"/>
        </w:trPr>
        <w:tc>
          <w:tcPr>
            <w:tcW w:w="9260" w:type="dxa"/>
            <w:vAlign w:val="bottom"/>
            <w:vMerge w:val="continue"/>
          </w:tcPr>
          <w:p>
            <w:pPr>
              <w:spacing w:after="0"/>
              <w:rPr>
                <w:sz w:val="15"/>
                <w:szCs w:val="15"/>
                <w:color w:val="auto"/>
              </w:rPr>
            </w:pPr>
          </w:p>
        </w:tc>
        <w:tc>
          <w:tcPr>
            <w:tcW w:w="220" w:type="dxa"/>
            <w:vAlign w:val="bottom"/>
            <w:tcBorders>
              <w:top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141,087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Charges to earnings</w:t>
            </w:r>
          </w:p>
        </w:tc>
        <w:tc>
          <w:tcPr>
            <w:tcW w:w="2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Charges to other accounts</w:t>
            </w:r>
          </w:p>
        </w:tc>
        <w:tc>
          <w:tcPr>
            <w:tcW w:w="22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(33,194 )</w:t>
            </w:r>
          </w:p>
        </w:tc>
        <w:tc>
          <w:tcPr>
            <w:tcW w:w="0" w:type="dxa"/>
            <w:vAlign w:val="bottom"/>
          </w:tcPr>
          <w:p>
            <w:pPr>
              <w:spacing w:after="0"/>
              <w:rPr>
                <w:sz w:val="1"/>
                <w:szCs w:val="1"/>
                <w:color w:val="auto"/>
              </w:rPr>
            </w:pPr>
          </w:p>
        </w:tc>
      </w:tr>
      <w:tr>
        <w:trPr>
          <w:trHeight w:val="181"/>
        </w:trPr>
        <w:tc>
          <w:tcPr>
            <w:tcW w:w="92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December 31, 2022</w:t>
            </w:r>
          </w:p>
        </w:tc>
        <w:tc>
          <w:tcPr>
            <w:tcW w:w="220" w:type="dxa"/>
            <w:vAlign w:val="bottom"/>
            <w:tcBorders>
              <w:top w:val="single" w:sz="8" w:color="auto"/>
            </w:tcBorders>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107,893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Charges to earnings</w:t>
            </w:r>
          </w:p>
        </w:tc>
        <w:tc>
          <w:tcPr>
            <w:tcW w:w="22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9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Charges to other accounts</w:t>
            </w:r>
          </w:p>
        </w:tc>
        <w:tc>
          <w:tcPr>
            <w:tcW w:w="22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16,231</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2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December 31, 2023</w:t>
            </w:r>
          </w:p>
        </w:tc>
        <w:tc>
          <w:tcPr>
            <w:tcW w:w="220" w:type="dxa"/>
            <w:vAlign w:val="bottom"/>
          </w:tcPr>
          <w:p>
            <w:pPr>
              <w:spacing w:after="0"/>
              <w:rPr>
                <w:sz w:val="15"/>
                <w:szCs w:val="15"/>
                <w:color w:val="auto"/>
              </w:rPr>
            </w:pPr>
          </w:p>
        </w:tc>
        <w:tc>
          <w:tcPr>
            <w:tcW w:w="16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124,124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Charges to earnings</w:t>
            </w:r>
          </w:p>
        </w:tc>
        <w:tc>
          <w:tcPr>
            <w:tcW w:w="2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9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Charges to other accounts</w:t>
            </w: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26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304,382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7070725</wp:posOffset>
            </wp:positionH>
            <wp:positionV relativeFrom="paragraph">
              <wp:posOffset>-517525</wp:posOffset>
            </wp:positionV>
            <wp:extent cx="7493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-21590</wp:posOffset>
            </wp:positionV>
            <wp:extent cx="7493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-6985</wp:posOffset>
            </wp:positionV>
            <wp:extent cx="7493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As of December 31, 2024, the Company had net operating loss carryforwards for U.S. federal income tax purposes of $947.8 million, and U.S. federal research and development tax credits of $1.6 million, which begin expiring in 2044. As of December 31, 2024, the Company had net operating loss carryforwards for state income tax purposes of $666.3 million, which expire in the year beginning 2025, and California research and development tax credits of $14.2 million, which do not expire. As of December 31, 2024, we had foreign net loss carryforwards of $50.6 million, which will begin to expire in 2028, and Canada investment tax credit carryforwards of $7.4 million, which begin to expire in 2036.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aggregate changes in the balance of the Company's gross unrecognized tax benefits during 2024, 2023, and 2022, were as follows (in thousands):</w:t>
      </w:r>
    </w:p>
    <w:p>
      <w:pPr>
        <w:sectPr>
          <w:pgSz w:w="11900" w:h="16838" w:orient="portrait"/>
          <w:cols w:equalWidth="0" w:num="1">
            <w:col w:w="11260"/>
          </w:cols>
          <w:pgMar w:left="320" w:top="1211" w:right="31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Increases in balances related to tax positions during a prior</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2400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Increases in balances related to tax positions taken during current</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Decreases in balances related to tax positions during a prior</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1200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December 31, 2022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Increases in balances related to tax positions during a prior</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2400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Decreases in balances related to tax positions taken during current</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2400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Increases in balances related to tax positions during a prior</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Increases in balances related to tax positions taken during</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2400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Decreases in balances related to tax positions during a prior</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period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8,515</w:t>
      </w:r>
    </w:p>
    <w:p>
      <w:pPr>
        <w:spacing w:after="0" w:line="19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154</w:t>
      </w:r>
    </w:p>
    <w:p>
      <w:pPr>
        <w:spacing w:after="0" w:line="19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(1,697 )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119380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193800" cy="7620"/>
                    </a:xfrm>
                    <a:prstGeom prst="rect">
                      <a:avLst/>
                    </a:prstGeom>
                    <a:noFill/>
                  </pic:spPr>
                </pic:pic>
              </a:graphicData>
            </a:graphic>
          </wp:anchor>
        </w:drawing>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6,972</w:t>
      </w:r>
    </w:p>
    <w:p>
      <w:pPr>
        <w:spacing w:after="0" w:line="1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105</w:t>
      </w:r>
    </w:p>
    <w:p>
      <w:pPr>
        <w:spacing w:after="0" w:line="1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(138 )</w:t>
      </w:r>
    </w:p>
    <w:p>
      <w:pPr>
        <w:spacing w:after="0" w:line="4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6,939</w:t>
      </w:r>
    </w:p>
    <w:p>
      <w:pPr>
        <w:spacing w:after="0" w:line="189"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6"/>
          <w:szCs w:val="16"/>
          <w:color w:val="auto"/>
        </w:rPr>
        <w:t>2,682</w:t>
      </w:r>
    </w:p>
    <w:p>
      <w:pPr>
        <w:spacing w:after="0" w:line="1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(357 )</w:t>
      </w:r>
    </w:p>
    <w:p>
      <w:pPr>
        <w:spacing w:after="0" w:line="4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11938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938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25400</wp:posOffset>
            </wp:positionV>
            <wp:extent cx="119380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93800"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540" w:space="720"/>
            <w:col w:w="2000"/>
          </w:cols>
          <w:pgMar w:left="320" w:top="1211" w:right="319" w:bottom="1440" w:gutter="0" w:footer="0" w:header="0"/>
          <w:type w:val="continuous"/>
        </w:sectPr>
      </w:pP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11" w:right="319" w:bottom="1440" w:gutter="0" w:footer="0" w:header="0"/>
          <w:type w:val="continuous"/>
        </w:sectPr>
      </w:pPr>
    </w:p>
    <w:bookmarkStart w:id="112" w:name="page113"/>
    <w:bookmarkEnd w:id="112"/>
    <w:p>
      <w:pPr>
        <w:jc w:val="both"/>
        <w:spacing w:after="0" w:line="276" w:lineRule="auto"/>
        <w:rPr>
          <w:sz w:val="20"/>
          <w:szCs w:val="20"/>
          <w:color w:val="auto"/>
        </w:rPr>
      </w:pPr>
      <w:r>
        <w:rPr>
          <w:rFonts w:ascii="Times New Roman" w:cs="Times New Roman" w:eastAsia="Times New Roman" w:hAnsi="Times New Roman"/>
          <w:sz w:val="16"/>
          <w:szCs w:val="16"/>
          <w:color w:val="auto"/>
        </w:rPr>
        <w:t>As of December 31, 2024, there were no unrecognized tax benefits that, if recognized, would reduce the Company's effective tax rate. The Company does not anticipate that existing unrecognized tax benefits will significantly increase or decrease within the next 12 months.</w:t>
      </w:r>
    </w:p>
    <w:p>
      <w:pPr>
        <w:spacing w:after="0" w:line="14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Accrued interest and penalties related to unrecognized tax benefits was included in the income tax provision. The amount was immaterial as of December 31, 2024, 2023, and 2022.</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 files income tax returns in the United States, its various states, and in certain foreign jurisdictions. As a consequence of having operating loss carryforwards, all tax years are open to federal and state examination in the United States. The Company is currently under examination by the Canada Revenue Agency (CRA) for 2022 and 2023. As of December 31, 2024, tax years from 2019 are open to examination in various foreign countries.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Segment Reporting</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operates in two reportable segments: proteomics and genomics. Each segment is identified by its unique portfolio of products. Proteomics includes instruments, consumables, software, and services based upon technologies used in the identification of proteins. Genomics includes instruments, consumables, software, and services based upon technologies used in the identification of genes (DNA, RNA) and their functions.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first quarter of 2024, the CODM began using operating income to assess segment performance and make resource allocation decisions. Each segment’s operating income is calculated by subtracting direct expenses, including cost of revenues and segment-specific operating expenses, from revenues. Corporate expenses, restructuring and related charges, transaction and integration expenses, interest, and income taxes are excluded from each segment's results, consistent with how our CODM evaluates segment performance.</w:t>
      </w:r>
    </w:p>
    <w:p>
      <w:pPr>
        <w:spacing w:after="0" w:line="16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does not prepare or report segmented balance sheet information as the CODM does not use the information to assess segment operating performance. The segments adhere to the same accounting policies as the Company as a whole.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The Company's business segment information was as follows (in thousands):</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8"/>
        </w:trPr>
        <w:tc>
          <w:tcPr>
            <w:tcW w:w="5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line="181" w:lineRule="exact"/>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line="181"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5"/>
                <w:szCs w:val="15"/>
                <w:color w:val="auto"/>
              </w:rPr>
            </w:pPr>
          </w:p>
        </w:tc>
      </w:tr>
      <w:tr>
        <w:trPr>
          <w:trHeight w:val="181"/>
        </w:trPr>
        <w:tc>
          <w:tcPr>
            <w:tcW w:w="5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Proteomics segment:</w:t>
            </w:r>
          </w:p>
        </w:tc>
        <w:tc>
          <w:tcPr>
            <w:tcW w:w="1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Revenue</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135,789</w:t>
            </w:r>
          </w:p>
        </w:tc>
        <w:tc>
          <w:tcPr>
            <w:tcW w:w="280" w:type="dxa"/>
            <w:vAlign w:val="bottom"/>
          </w:tcPr>
          <w:p>
            <w:pPr>
              <w:spacing w:after="0"/>
              <w:rPr>
                <w:sz w:val="16"/>
                <w:szCs w:val="16"/>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63,883</w:t>
            </w:r>
          </w:p>
        </w:tc>
        <w:tc>
          <w:tcPr>
            <w:tcW w:w="260" w:type="dxa"/>
            <w:vAlign w:val="bottom"/>
          </w:tcPr>
          <w:p>
            <w:pPr>
              <w:spacing w:after="0"/>
              <w:rPr>
                <w:sz w:val="16"/>
                <w:szCs w:val="16"/>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52,502</w:t>
            </w: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Cost of revenue</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73,992</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37,644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32,461</w:t>
            </w: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123,692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47,647</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47,429</w:t>
            </w:r>
          </w:p>
        </w:tc>
        <w:tc>
          <w:tcPr>
            <w:tcW w:w="120" w:type="dxa"/>
            <w:vAlign w:val="bottom"/>
          </w:tcPr>
          <w:p>
            <w:pPr>
              <w:spacing w:after="0"/>
              <w:rPr>
                <w:sz w:val="16"/>
                <w:szCs w:val="16"/>
                <w:color w:val="auto"/>
              </w:rPr>
            </w:pPr>
          </w:p>
        </w:tc>
      </w:tr>
      <w:tr>
        <w:trPr>
          <w:trHeight w:val="221"/>
        </w:trPr>
        <w:tc>
          <w:tcPr>
            <w:tcW w:w="5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Proteomics loss from operations</w:t>
            </w:r>
          </w:p>
        </w:tc>
        <w:tc>
          <w:tcPr>
            <w:tcW w:w="162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(61,895 )</w:t>
            </w:r>
          </w:p>
        </w:tc>
        <w:tc>
          <w:tcPr>
            <w:tcW w:w="30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(21,408 )</w:t>
            </w: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(27,388 )</w:t>
            </w:r>
          </w:p>
        </w:tc>
      </w:tr>
      <w:tr>
        <w:trPr>
          <w:trHeight w:val="354"/>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Genomics segment:</w:t>
            </w:r>
          </w:p>
        </w:tc>
        <w:tc>
          <w:tcPr>
            <w:tcW w:w="13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89"/>
        </w:trPr>
        <w:tc>
          <w:tcPr>
            <w:tcW w:w="5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Revenue</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38,643</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42,457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45,446</w:t>
            </w: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of revenue:</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18,246</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28,436</w:t>
            </w:r>
          </w:p>
        </w:tc>
        <w:tc>
          <w:tcPr>
            <w:tcW w:w="120" w:type="dxa"/>
            <w:vAlign w:val="bottom"/>
          </w:tcPr>
          <w:p>
            <w:pPr>
              <w:spacing w:after="0"/>
              <w:rPr>
                <w:sz w:val="16"/>
                <w:szCs w:val="16"/>
                <w:color w:val="auto"/>
              </w:rPr>
            </w:pPr>
          </w:p>
        </w:tc>
      </w:tr>
      <w:tr>
        <w:trPr>
          <w:trHeight w:val="189"/>
        </w:trPr>
        <w:tc>
          <w:tcPr>
            <w:tcW w:w="52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3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19,267</w:t>
            </w:r>
          </w:p>
        </w:tc>
        <w:tc>
          <w:tcPr>
            <w:tcW w:w="2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24,317</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42,622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5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Genomics income (loss) from operations</w:t>
            </w:r>
          </w:p>
        </w:tc>
        <w:tc>
          <w:tcPr>
            <w:tcW w:w="162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3,198</w:t>
            </w:r>
          </w:p>
        </w:tc>
        <w:tc>
          <w:tcPr>
            <w:tcW w:w="280" w:type="dxa"/>
            <w:vAlign w:val="bottom"/>
          </w:tcPr>
          <w:p>
            <w:pPr>
              <w:spacing w:after="0"/>
              <w:rPr>
                <w:sz w:val="15"/>
                <w:szCs w:val="15"/>
                <w:color w:val="auto"/>
              </w:rPr>
            </w:pPr>
          </w:p>
        </w:tc>
        <w:tc>
          <w:tcPr>
            <w:tcW w:w="30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(106 )</w:t>
            </w:r>
          </w:p>
        </w:tc>
        <w:tc>
          <w:tcPr>
            <w:tcW w:w="300" w:type="dxa"/>
            <w:vAlign w:val="bottom"/>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(25,612 )</w:t>
            </w:r>
          </w:p>
        </w:tc>
      </w:tr>
      <w:tr>
        <w:trPr>
          <w:trHeight w:val="20"/>
        </w:trPr>
        <w:tc>
          <w:tcPr>
            <w:tcW w:w="5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52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Total segment loss from operations</w:t>
            </w:r>
          </w:p>
        </w:tc>
        <w:tc>
          <w:tcPr>
            <w:tcW w:w="1620" w:type="dxa"/>
            <w:vAlign w:val="bottom"/>
            <w:gridSpan w:val="2"/>
            <w:shd w:val="clear" w:color="auto" w:fill="CFF0FC"/>
          </w:tcPr>
          <w:p>
            <w:pPr>
              <w:jc w:val="right"/>
              <w:ind w:right="22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rPr>
              <w:t>(58,697 )</w:t>
            </w:r>
          </w:p>
        </w:tc>
        <w:tc>
          <w:tcPr>
            <w:tcW w:w="300" w:type="dxa"/>
            <w:vAlign w:val="bottom"/>
            <w:shd w:val="clear" w:color="auto" w:fill="CFF0FC"/>
          </w:tcPr>
          <w:p>
            <w:pPr>
              <w:jc w:val="right"/>
              <w:ind w:right="121"/>
              <w:spacing w:after="0" w:line="165"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00"/>
              <w:spacing w:after="0" w:line="165" w:lineRule="exact"/>
              <w:rPr>
                <w:sz w:val="20"/>
                <w:szCs w:val="20"/>
                <w:color w:val="auto"/>
              </w:rPr>
            </w:pPr>
            <w:r>
              <w:rPr>
                <w:rFonts w:ascii="Times New Roman" w:cs="Times New Roman" w:eastAsia="Times New Roman" w:hAnsi="Times New Roman"/>
                <w:sz w:val="16"/>
                <w:szCs w:val="16"/>
                <w:color w:val="auto"/>
              </w:rPr>
              <w:t>(21,514 )</w:t>
            </w:r>
          </w:p>
        </w:tc>
        <w:tc>
          <w:tcPr>
            <w:tcW w:w="300" w:type="dxa"/>
            <w:vAlign w:val="bottom"/>
            <w:shd w:val="clear" w:color="auto" w:fill="CFF0FC"/>
          </w:tcPr>
          <w:p>
            <w:pPr>
              <w:jc w:val="right"/>
              <w:ind w:right="14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40"/>
              <w:spacing w:after="0" w:line="165" w:lineRule="exact"/>
              <w:rPr>
                <w:sz w:val="20"/>
                <w:szCs w:val="20"/>
                <w:color w:val="auto"/>
              </w:rPr>
            </w:pPr>
            <w:r>
              <w:rPr>
                <w:rFonts w:ascii="Times New Roman" w:cs="Times New Roman" w:eastAsia="Times New Roman" w:hAnsi="Times New Roman"/>
                <w:sz w:val="16"/>
                <w:szCs w:val="16"/>
                <w:color w:val="auto"/>
              </w:rPr>
              <w:t>(53,000 )</w:t>
            </w:r>
          </w:p>
        </w:tc>
      </w:tr>
      <w:tr>
        <w:trPr>
          <w:trHeight w:val="165"/>
        </w:trPr>
        <w:tc>
          <w:tcPr>
            <w:tcW w:w="5240" w:type="dxa"/>
            <w:vAlign w:val="bottom"/>
            <w:tcBorders>
              <w:top w:val="single" w:sz="8" w:color="CFF0FC"/>
            </w:tcBorders>
          </w:tcPr>
          <w:p>
            <w:pPr>
              <w:spacing w:after="0"/>
              <w:rPr>
                <w:sz w:val="14"/>
                <w:szCs w:val="14"/>
                <w:color w:val="auto"/>
              </w:rPr>
            </w:pPr>
          </w:p>
        </w:tc>
        <w:tc>
          <w:tcPr>
            <w:tcW w:w="13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income (loss) from operations:</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expenses</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49,616</w:t>
            </w: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Transaction and integration expenses</w:t>
            </w:r>
          </w:p>
        </w:tc>
        <w:tc>
          <w:tcPr>
            <w:tcW w:w="1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20" w:type="dxa"/>
            <w:vAlign w:val="bottom"/>
          </w:tcPr>
          <w:p>
            <w:pPr>
              <w:spacing w:after="0"/>
              <w:rPr>
                <w:sz w:val="16"/>
                <w:szCs w:val="16"/>
                <w:color w:val="auto"/>
              </w:rPr>
            </w:pPr>
          </w:p>
        </w:tc>
      </w:tr>
      <w:tr>
        <w:trPr>
          <w:trHeight w:val="221"/>
        </w:trPr>
        <w:tc>
          <w:tcPr>
            <w:tcW w:w="52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loss from operations</w:t>
            </w:r>
          </w:p>
        </w:tc>
        <w:tc>
          <w:tcPr>
            <w:tcW w:w="162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rPr>
              <w:t>(175,236 )</w:t>
            </w:r>
          </w:p>
        </w:tc>
        <w:tc>
          <w:tcPr>
            <w:tcW w:w="30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200"/>
              <w:spacing w:after="0" w:line="181" w:lineRule="exact"/>
              <w:rPr>
                <w:sz w:val="20"/>
                <w:szCs w:val="20"/>
                <w:color w:val="auto"/>
              </w:rPr>
            </w:pPr>
            <w:r>
              <w:rPr>
                <w:rFonts w:ascii="Times New Roman" w:cs="Times New Roman" w:eastAsia="Times New Roman" w:hAnsi="Times New Roman"/>
                <w:sz w:val="16"/>
                <w:szCs w:val="16"/>
                <w:color w:val="auto"/>
              </w:rPr>
              <w:t>(76,600 )</w:t>
            </w: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(116,205 )</w:t>
            </w:r>
          </w:p>
        </w:tc>
      </w:tr>
      <w:tr>
        <w:trPr>
          <w:trHeight w:val="165"/>
        </w:trPr>
        <w:tc>
          <w:tcPr>
            <w:tcW w:w="5240" w:type="dxa"/>
            <w:vAlign w:val="bottom"/>
            <w:tcBorders>
              <w:top w:val="single" w:sz="8" w:color="CFF0FC"/>
            </w:tcBorders>
          </w:tcPr>
          <w:p>
            <w:pPr>
              <w:spacing w:after="0"/>
              <w:rPr>
                <w:sz w:val="14"/>
                <w:szCs w:val="14"/>
                <w:color w:val="auto"/>
              </w:rPr>
            </w:pPr>
          </w:p>
        </w:tc>
        <w:tc>
          <w:tcPr>
            <w:tcW w:w="13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Proteomics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280" w:type="dxa"/>
            <w:vAlign w:val="bottom"/>
          </w:tcPr>
          <w:p>
            <w:pPr>
              <w:spacing w:after="0"/>
              <w:rPr>
                <w:sz w:val="16"/>
                <w:szCs w:val="16"/>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12,072</w:t>
            </w:r>
          </w:p>
        </w:tc>
        <w:tc>
          <w:tcPr>
            <w:tcW w:w="260" w:type="dxa"/>
            <w:vAlign w:val="bottom"/>
          </w:tcPr>
          <w:p>
            <w:pPr>
              <w:spacing w:after="0"/>
              <w:rPr>
                <w:sz w:val="16"/>
                <w:szCs w:val="16"/>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120" w:type="dxa"/>
            <w:vAlign w:val="bottom"/>
          </w:tcPr>
          <w:p>
            <w:pPr>
              <w:spacing w:after="0"/>
              <w:rPr>
                <w:sz w:val="16"/>
                <w:szCs w:val="16"/>
                <w:color w:val="auto"/>
              </w:rPr>
            </w:pPr>
          </w:p>
        </w:tc>
      </w:tr>
      <w:tr>
        <w:trPr>
          <w:trHeight w:val="189"/>
        </w:trPr>
        <w:tc>
          <w:tcPr>
            <w:tcW w:w="5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Genomics</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6"/>
                <w:szCs w:val="16"/>
                <w:color w:val="auto"/>
              </w:rPr>
            </w:pPr>
          </w:p>
        </w:tc>
      </w:tr>
      <w:tr>
        <w:trPr>
          <w:trHeight w:val="568"/>
        </w:trPr>
        <w:tc>
          <w:tcPr>
            <w:tcW w:w="5240" w:type="dxa"/>
            <w:vAlign w:val="bottom"/>
          </w:tcPr>
          <w:p>
            <w:pPr>
              <w:spacing w:after="0"/>
              <w:rPr>
                <w:sz w:val="24"/>
                <w:szCs w:val="24"/>
                <w:color w:val="auto"/>
              </w:rPr>
            </w:pPr>
          </w:p>
        </w:tc>
        <w:tc>
          <w:tcPr>
            <w:tcW w:w="132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rPr>
              <w:t>110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5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5027930</wp:posOffset>
            </wp:positionH>
            <wp:positionV relativeFrom="paragraph">
              <wp:posOffset>-2943225</wp:posOffset>
            </wp:positionV>
            <wp:extent cx="7493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-2927985</wp:posOffset>
            </wp:positionV>
            <wp:extent cx="7493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-2943225</wp:posOffset>
            </wp:positionV>
            <wp:extent cx="6731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-2927985</wp:posOffset>
            </wp:positionV>
            <wp:extent cx="6731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-2943225</wp:posOffset>
            </wp:positionV>
            <wp:extent cx="6731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-2927985</wp:posOffset>
            </wp:positionV>
            <wp:extent cx="6731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-2319655</wp:posOffset>
            </wp:positionV>
            <wp:extent cx="7493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-2319655</wp:posOffset>
            </wp:positionV>
            <wp:extent cx="6731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-2319655</wp:posOffset>
            </wp:positionV>
            <wp:extent cx="6731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-2049780</wp:posOffset>
            </wp:positionV>
            <wp:extent cx="7493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-2034540</wp:posOffset>
            </wp:positionV>
            <wp:extent cx="7493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-2049780</wp:posOffset>
            </wp:positionV>
            <wp:extent cx="6731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-2034540</wp:posOffset>
            </wp:positionV>
            <wp:extent cx="6731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-2049780</wp:posOffset>
            </wp:positionV>
            <wp:extent cx="6731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-2034540</wp:posOffset>
            </wp:positionV>
            <wp:extent cx="6731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-1298575</wp:posOffset>
            </wp:positionV>
            <wp:extent cx="7493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-1283335</wp:posOffset>
            </wp:positionV>
            <wp:extent cx="7493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-1298575</wp:posOffset>
            </wp:positionV>
            <wp:extent cx="6731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-1283335</wp:posOffset>
            </wp:positionV>
            <wp:extent cx="6731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-1298575</wp:posOffset>
            </wp:positionV>
            <wp:extent cx="6731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-1283335</wp:posOffset>
            </wp:positionV>
            <wp:extent cx="6731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6" w:right="319" w:bottom="1440" w:gutter="0" w:footer="0" w:header="0"/>
        </w:sectPr>
      </w:pPr>
    </w:p>
    <w:bookmarkStart w:id="113" w:name="page114"/>
    <w:bookmarkEnd w:id="113"/>
    <w:p>
      <w:pPr>
        <w:ind w:left="5"/>
        <w:spacing w:after="0"/>
        <w:rPr>
          <w:sz w:val="20"/>
          <w:szCs w:val="20"/>
          <w:color w:val="auto"/>
        </w:rPr>
      </w:pPr>
      <w:r>
        <w:rPr>
          <w:rFonts w:ascii="Times New Roman" w:cs="Times New Roman" w:eastAsia="Times New Roman" w:hAnsi="Times New Roman"/>
          <w:sz w:val="16"/>
          <w:szCs w:val="16"/>
          <w:b w:val="1"/>
          <w:bCs w:val="1"/>
          <w:color w:val="auto"/>
        </w:rPr>
        <w:t>17. Restructuring and Related Charges</w:t>
      </w:r>
    </w:p>
    <w:p>
      <w:pPr>
        <w:spacing w:after="0" w:line="102"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color w:val="auto"/>
        </w:rPr>
        <w:t>In April 2024, following a strategic review of the combined business after completion of the Merger, the Company announced a workforce reduction plan (the "Strategic Reorganization") to reduce operating costs and focus on long-term growth opportunities. Under this Strategic Reorganization, the Company reduced its workforce by approximately 10% of its total workforce, with the majority of these employees separating by July 2024. Employees who were impacted by the Strategic Reorganization were eligible to receive severance and other benefits contingent upon an impacted employee's execution of a separation agreement. Certain impacted employees were covered by employment agreements or existing severance plans that provided termination benefits.</w:t>
      </w:r>
    </w:p>
    <w:p>
      <w:pPr>
        <w:spacing w:after="0" w:line="160"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color w:val="auto"/>
        </w:rPr>
        <w:t xml:space="preserve">One-time termination benefits were recorded pursuant to ASC 420, </w:t>
      </w:r>
      <w:r>
        <w:rPr>
          <w:rFonts w:ascii="Times New Roman" w:cs="Times New Roman" w:eastAsia="Times New Roman" w:hAnsi="Times New Roman"/>
          <w:sz w:val="16"/>
          <w:szCs w:val="16"/>
          <w:i w:val="1"/>
          <w:iCs w:val="1"/>
          <w:color w:val="auto"/>
        </w:rPr>
        <w:t>Exit or Disposal Cost Obligations</w:t>
      </w:r>
      <w:r>
        <w:rPr>
          <w:rFonts w:ascii="Times New Roman" w:cs="Times New Roman" w:eastAsia="Times New Roman" w:hAnsi="Times New Roman"/>
          <w:sz w:val="16"/>
          <w:szCs w:val="16"/>
          <w:color w:val="auto"/>
        </w:rPr>
        <w:t xml:space="preserve">, while termination benefits under ongoing benefit arrangement were recorded pursuant to ASC 712, </w:t>
      </w:r>
      <w:r>
        <w:rPr>
          <w:rFonts w:ascii="Times New Roman" w:cs="Times New Roman" w:eastAsia="Times New Roman" w:hAnsi="Times New Roman"/>
          <w:sz w:val="16"/>
          <w:szCs w:val="16"/>
          <w:i w:val="1"/>
          <w:iCs w:val="1"/>
          <w:color w:val="auto"/>
        </w:rPr>
        <w:t>Compensation - Nonretirement Postemployment Benefits</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left="5" w:right="20"/>
        <w:spacing w:after="0" w:line="276" w:lineRule="auto"/>
        <w:rPr>
          <w:sz w:val="20"/>
          <w:szCs w:val="20"/>
          <w:color w:val="auto"/>
        </w:rPr>
      </w:pPr>
      <w:r>
        <w:rPr>
          <w:rFonts w:ascii="Times New Roman" w:cs="Times New Roman" w:eastAsia="Times New Roman" w:hAnsi="Times New Roman"/>
          <w:sz w:val="16"/>
          <w:szCs w:val="16"/>
          <w:color w:val="auto"/>
        </w:rPr>
        <w:t>The Company recognized restructuring charges of approximately $12.5 million during the year ended December 31, 2024, related to a restructuring plan implemented after the Merger to integrate operations and realize synergies.</w:t>
      </w:r>
    </w:p>
    <w:p>
      <w:pPr>
        <w:spacing w:after="0" w:line="145"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For the years ended December 31, 2023 and 2022, the Company recognized restructuring and related charges of $7.1 million and $9.7 million, respectively, related to a restructuring plan implemented in 2022 to improve the Company's operational efficiency.</w:t>
      </w:r>
    </w:p>
    <w:p>
      <w:pPr>
        <w:spacing w:after="0" w:line="145"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6"/>
          <w:szCs w:val="16"/>
          <w:color w:val="auto"/>
        </w:rPr>
        <w:t>The Company also continues to recognize ongoing restructuring charges from its restructuring plans for facility-related costs, which will continue through the termination of the facility leases.</w:t>
      </w:r>
    </w:p>
    <w:p>
      <w:pPr>
        <w:spacing w:after="0" w:line="14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following table summarizes the change in the Company’s restructuring and other related liabilities for the years ended December 31, 2024, 2023, and 2022 (in thousands):</w:t>
      </w:r>
    </w:p>
    <w:p>
      <w:pPr>
        <w:spacing w:after="0" w:line="17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Severance</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0" w:lineRule="exact"/>
              <w:rPr>
                <w:sz w:val="20"/>
                <w:szCs w:val="20"/>
                <w:color w:val="auto"/>
              </w:rPr>
            </w:pPr>
            <w:r>
              <w:rPr>
                <w:rFonts w:ascii="Times New Roman" w:cs="Times New Roman" w:eastAsia="Times New Roman" w:hAnsi="Times New Roman"/>
                <w:sz w:val="13"/>
                <w:szCs w:val="13"/>
                <w:b w:val="1"/>
                <w:bCs w:val="1"/>
                <w:color w:val="auto"/>
                <w:w w:val="96"/>
              </w:rPr>
              <w:t>and other</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00"/>
              <w:spacing w:after="0" w:line="130" w:lineRule="exact"/>
              <w:rPr>
                <w:sz w:val="20"/>
                <w:szCs w:val="20"/>
                <w:color w:val="auto"/>
              </w:rPr>
            </w:pPr>
            <w:r>
              <w:rPr>
                <w:rFonts w:ascii="Times New Roman" w:cs="Times New Roman" w:eastAsia="Times New Roman" w:hAnsi="Times New Roman"/>
                <w:sz w:val="13"/>
                <w:szCs w:val="13"/>
                <w:b w:val="1"/>
                <w:bCs w:val="1"/>
                <w:color w:val="auto"/>
                <w:w w:val="95"/>
              </w:rPr>
              <w:t>employee-</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related</w:t>
            </w:r>
          </w:p>
        </w:tc>
        <w:tc>
          <w:tcPr>
            <w:tcW w:w="2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color w:val="auto"/>
                <w:vertAlign w:val="superscript"/>
              </w:rPr>
              <w:t>(2)</w:t>
            </w:r>
          </w:p>
        </w:tc>
        <w:tc>
          <w:tcPr>
            <w:tcW w:w="24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6"/>
              <w:spacing w:after="0" w:line="154" w:lineRule="exact"/>
              <w:rPr>
                <w:sz w:val="20"/>
                <w:szCs w:val="20"/>
                <w:color w:val="auto"/>
              </w:rPr>
            </w:pPr>
            <w:r>
              <w:rPr>
                <w:rFonts w:ascii="Times New Roman" w:cs="Times New Roman" w:eastAsia="Times New Roman" w:hAnsi="Times New Roman"/>
                <w:sz w:val="13"/>
                <w:szCs w:val="13"/>
                <w:b w:val="1"/>
                <w:bCs w:val="1"/>
                <w:color w:val="auto"/>
                <w:w w:val="93"/>
              </w:rPr>
              <w:t>benefits</w:t>
            </w:r>
            <w:r>
              <w:rPr>
                <w:rFonts w:ascii="Times New Roman" w:cs="Times New Roman" w:eastAsia="Times New Roman" w:hAnsi="Times New Roman"/>
                <w:sz w:val="16"/>
                <w:szCs w:val="16"/>
                <w:b w:val="1"/>
                <w:bCs w:val="1"/>
                <w:color w:val="auto"/>
                <w:w w:val="93"/>
                <w:vertAlign w:val="superscript"/>
              </w:rPr>
              <w:t>(1)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Costs</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8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2021</w:t>
            </w:r>
          </w:p>
        </w:tc>
        <w:tc>
          <w:tcPr>
            <w:tcW w:w="180" w:type="dxa"/>
            <w:vAlign w:val="bottom"/>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(1,835 )</w:t>
            </w:r>
          </w:p>
        </w:tc>
        <w:tc>
          <w:tcPr>
            <w:tcW w:w="2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(2,885 )</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(979 )</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(5,699 )</w:t>
            </w:r>
          </w:p>
        </w:tc>
        <w:tc>
          <w:tcPr>
            <w:tcW w:w="0" w:type="dxa"/>
            <w:vAlign w:val="bottom"/>
          </w:tcPr>
          <w:p>
            <w:pPr>
              <w:spacing w:after="0"/>
              <w:rPr>
                <w:sz w:val="1"/>
                <w:szCs w:val="1"/>
                <w:color w:val="auto"/>
              </w:rPr>
            </w:pPr>
          </w:p>
        </w:tc>
      </w:tr>
      <w:tr>
        <w:trPr>
          <w:trHeight w:val="181"/>
        </w:trPr>
        <w:tc>
          <w:tcPr>
            <w:tcW w:w="58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2022</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4,014</w:t>
            </w: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4,033</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(5,568 )</w:t>
            </w: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(4,160 )</w:t>
            </w: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(556 )</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(10,284 )</w:t>
            </w:r>
          </w:p>
        </w:tc>
        <w:tc>
          <w:tcPr>
            <w:tcW w:w="0" w:type="dxa"/>
            <w:vAlign w:val="bottom"/>
          </w:tcPr>
          <w:p>
            <w:pPr>
              <w:spacing w:after="0"/>
              <w:rPr>
                <w:sz w:val="1"/>
                <w:szCs w:val="1"/>
                <w:color w:val="auto"/>
              </w:rPr>
            </w:pPr>
          </w:p>
        </w:tc>
      </w:tr>
      <w:tr>
        <w:trPr>
          <w:trHeight w:val="181"/>
        </w:trPr>
        <w:tc>
          <w:tcPr>
            <w:tcW w:w="58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2023</w:t>
            </w: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825</w:t>
            </w:r>
          </w:p>
        </w:tc>
        <w:tc>
          <w:tcPr>
            <w:tcW w:w="2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related charges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(8,232 )</w:t>
            </w:r>
          </w:p>
        </w:tc>
        <w:tc>
          <w:tcPr>
            <w:tcW w:w="2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(2,779 )</w:t>
            </w: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(733 )</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(11,744 )</w:t>
            </w:r>
          </w:p>
        </w:tc>
        <w:tc>
          <w:tcPr>
            <w:tcW w:w="0" w:type="dxa"/>
            <w:vAlign w:val="bottom"/>
          </w:tcPr>
          <w:p>
            <w:pPr>
              <w:spacing w:after="0"/>
              <w:rPr>
                <w:sz w:val="1"/>
                <w:szCs w:val="1"/>
                <w:color w:val="auto"/>
              </w:rPr>
            </w:pPr>
          </w:p>
        </w:tc>
      </w:tr>
      <w:tr>
        <w:trPr>
          <w:trHeight w:val="181"/>
        </w:trPr>
        <w:tc>
          <w:tcPr>
            <w:tcW w:w="58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80" w:type="dxa"/>
            <w:vAlign w:val="bottom"/>
            <w:tcBorders>
              <w:top w:val="single" w:sz="8" w:color="auto"/>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1,581</w:t>
            </w: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1,581</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-885825</wp:posOffset>
            </wp:positionV>
            <wp:extent cx="6731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-885825</wp:posOffset>
            </wp:positionV>
            <wp:extent cx="6731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-885825</wp:posOffset>
            </wp:positionV>
            <wp:extent cx="6731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-885825</wp:posOffset>
            </wp:positionV>
            <wp:extent cx="7493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-149860</wp:posOffset>
            </wp:positionV>
            <wp:extent cx="6731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-149860</wp:posOffset>
            </wp:positionV>
            <wp:extent cx="6731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-149860</wp:posOffset>
            </wp:positionV>
            <wp:extent cx="6731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-149860</wp:posOffset>
            </wp:positionV>
            <wp:extent cx="7493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53" w:lineRule="exact"/>
        <w:rPr>
          <w:sz w:val="20"/>
          <w:szCs w:val="20"/>
          <w:color w:val="auto"/>
        </w:rPr>
      </w:pPr>
    </w:p>
    <w:p>
      <w:pPr>
        <w:ind w:left="505" w:right="20" w:hanging="505"/>
        <w:spacing w:after="0" w:line="258" w:lineRule="auto"/>
        <w:tabs>
          <w:tab w:leader="none" w:pos="50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liabilities are recorded in accrued liabilities on the consolidated balance sheets. Substantially all severance and other employee-related benefits related to ongoing benefit arrangements and were recorded pursuant to ASC 712.</w:t>
      </w:r>
    </w:p>
    <w:p>
      <w:pPr>
        <w:ind w:left="505" w:hanging="505"/>
        <w:spacing w:after="0"/>
        <w:tabs>
          <w:tab w:leader="none" w:pos="50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restructuring liabilities are comprised mainly of sublease commissions and are recorded in other accrued liabilities on the consolidated balance sheets.</w:t>
      </w:r>
    </w:p>
    <w:p>
      <w:pPr>
        <w:spacing w:after="0" w:line="17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The Company’s restructuring and related charges by segment and corporate were as follows (in thousands):</w:t>
      </w:r>
    </w:p>
    <w:p>
      <w:pPr>
        <w:spacing w:after="0" w:line="189"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40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2"/>
        </w:trPr>
        <w:tc>
          <w:tcPr>
            <w:tcW w:w="40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4"/>
              <w:spacing w:after="0" w:line="12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4"/>
              <w:spacing w:after="0" w:line="122"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81"/>
        </w:trPr>
        <w:tc>
          <w:tcPr>
            <w:tcW w:w="40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Restructuring:</w:t>
            </w:r>
          </w:p>
        </w:tc>
        <w:tc>
          <w:tcPr>
            <w:tcW w:w="26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Proteomics</w:t>
            </w:r>
          </w:p>
        </w:tc>
        <w:tc>
          <w:tcPr>
            <w:tcW w:w="3440" w:type="dxa"/>
            <w:vAlign w:val="bottom"/>
            <w:gridSpan w:val="2"/>
          </w:tcPr>
          <w:p>
            <w:pPr>
              <w:jc w:val="right"/>
              <w:ind w:right="677"/>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60" w:type="dxa"/>
            <w:vAlign w:val="bottom"/>
          </w:tcPr>
          <w:p>
            <w:pPr>
              <w:spacing w:after="0"/>
              <w:rPr>
                <w:sz w:val="16"/>
                <w:szCs w:val="16"/>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20" w:type="dxa"/>
            <w:vAlign w:val="bottom"/>
          </w:tcPr>
          <w:p>
            <w:pPr>
              <w:spacing w:after="0"/>
              <w:rPr>
                <w:sz w:val="16"/>
                <w:szCs w:val="16"/>
                <w:color w:val="auto"/>
              </w:rPr>
            </w:pPr>
          </w:p>
        </w:tc>
      </w:tr>
      <w:tr>
        <w:trPr>
          <w:trHeight w:val="189"/>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Genomics</w:t>
            </w:r>
          </w:p>
        </w:tc>
        <w:tc>
          <w:tcPr>
            <w:tcW w:w="26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shd w:val="clear" w:color="auto" w:fill="CFF0FC"/>
          </w:tcPr>
          <w:p>
            <w:pPr>
              <w:spacing w:after="0"/>
              <w:rPr>
                <w:sz w:val="16"/>
                <w:szCs w:val="16"/>
                <w:color w:val="auto"/>
              </w:rPr>
            </w:pPr>
          </w:p>
        </w:tc>
      </w:tr>
      <w:tr>
        <w:trPr>
          <w:trHeight w:val="189"/>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expenses</w:t>
            </w:r>
          </w:p>
        </w:tc>
        <w:tc>
          <w:tcPr>
            <w:tcW w:w="2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20" w:type="dxa"/>
            <w:vAlign w:val="bottom"/>
          </w:tcPr>
          <w:p>
            <w:pPr>
              <w:spacing w:after="0"/>
              <w:rPr>
                <w:sz w:val="16"/>
                <w:szCs w:val="16"/>
                <w:color w:val="auto"/>
              </w:rPr>
            </w:pPr>
          </w:p>
        </w:tc>
      </w:tr>
      <w:tr>
        <w:trPr>
          <w:trHeight w:val="221"/>
        </w:trPr>
        <w:tc>
          <w:tcPr>
            <w:tcW w:w="40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restructuring and related charges</w:t>
            </w:r>
          </w:p>
        </w:tc>
        <w:tc>
          <w:tcPr>
            <w:tcW w:w="3440" w:type="dxa"/>
            <w:vAlign w:val="bottom"/>
            <w:gridSpan w:val="2"/>
            <w:shd w:val="clear" w:color="auto" w:fill="CFF0FC"/>
          </w:tcPr>
          <w:p>
            <w:pPr>
              <w:jc w:val="right"/>
              <w:ind w:right="677"/>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12,500</w:t>
            </w:r>
          </w:p>
        </w:tc>
        <w:tc>
          <w:tcPr>
            <w:tcW w:w="600" w:type="dxa"/>
            <w:vAlign w:val="bottom"/>
            <w:gridSpan w:val="2"/>
            <w:shd w:val="clear" w:color="auto" w:fill="CFF0FC"/>
          </w:tcPr>
          <w:p>
            <w:pPr>
              <w:jc w:val="right"/>
              <w:ind w:right="2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7,076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9,732</w:t>
            </w:r>
          </w:p>
        </w:tc>
        <w:tc>
          <w:tcPr>
            <w:tcW w:w="120" w:type="dxa"/>
            <w:vAlign w:val="bottom"/>
            <w:shd w:val="clear" w:color="auto" w:fill="CFF0FC"/>
          </w:tcPr>
          <w:p>
            <w:pPr>
              <w:spacing w:after="0"/>
              <w:rPr>
                <w:sz w:val="19"/>
                <w:szCs w:val="19"/>
                <w:color w:val="auto"/>
              </w:rPr>
            </w:pPr>
          </w:p>
        </w:tc>
      </w:tr>
      <w:tr>
        <w:trPr>
          <w:trHeight w:val="544"/>
        </w:trPr>
        <w:tc>
          <w:tcPr>
            <w:tcW w:w="4040" w:type="dxa"/>
            <w:vAlign w:val="bottom"/>
            <w:tcBorders>
              <w:top w:val="single" w:sz="8" w:color="CFF0FC"/>
            </w:tcBorders>
          </w:tcPr>
          <w:p>
            <w:pPr>
              <w:spacing w:after="0"/>
              <w:rPr>
                <w:sz w:val="24"/>
                <w:szCs w:val="24"/>
                <w:color w:val="auto"/>
              </w:rPr>
            </w:pPr>
          </w:p>
        </w:tc>
        <w:tc>
          <w:tcPr>
            <w:tcW w:w="2600" w:type="dxa"/>
            <w:vAlign w:val="bottom"/>
            <w:tcBorders>
              <w:top w:val="single" w:sz="8" w:color="CFF0FC"/>
            </w:tcBorders>
          </w:tcPr>
          <w:p>
            <w:pPr>
              <w:jc w:val="right"/>
              <w:ind w:right="681"/>
              <w:spacing w:after="0"/>
              <w:rPr>
                <w:sz w:val="20"/>
                <w:szCs w:val="20"/>
                <w:color w:val="auto"/>
              </w:rPr>
            </w:pPr>
            <w:r>
              <w:rPr>
                <w:rFonts w:ascii="Times New Roman" w:cs="Times New Roman" w:eastAsia="Times New Roman" w:hAnsi="Times New Roman"/>
                <w:sz w:val="16"/>
                <w:szCs w:val="16"/>
                <w:color w:val="auto"/>
              </w:rPr>
              <w:t>111</w:t>
            </w: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665"/>
        </w:trPr>
        <w:tc>
          <w:tcPr>
            <w:tcW w:w="40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-817880</wp:posOffset>
            </wp:positionV>
            <wp:extent cx="7493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-802640</wp:posOffset>
            </wp:positionV>
            <wp:extent cx="7493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-817880</wp:posOffset>
            </wp:positionV>
            <wp:extent cx="6731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-802640</wp:posOffset>
            </wp:positionV>
            <wp:extent cx="6731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-817880</wp:posOffset>
            </wp:positionV>
            <wp:extent cx="6731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-802640</wp:posOffset>
            </wp:positionV>
            <wp:extent cx="6731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15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18. Related Parties</w:t>
      </w:r>
    </w:p>
    <w:p>
      <w:pPr>
        <w:spacing w:after="0" w:line="1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spacing w:after="0" w:line="15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401(k) Plan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sponsors 401(k) savings plans for its employees in the United States that stipulates that eligible employees may elect to contribute to the plan, subject to certain limitations, up to the lesser of 100% of eligible compensation or the maximum amount allowed by the U.S. Internal Revenue Service. Employer matching contributions to the 401(k) plan were $0.8 million, $0.5 million, and $0.6 million for the years ended December 31, 2024, 2023, and 2022, respectively.</w:t>
      </w:r>
    </w:p>
    <w:p>
      <w:pPr>
        <w:spacing w:after="0" w:line="3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50" w:right="319" w:bottom="1440" w:gutter="0" w:footer="0" w:header="0"/>
        </w:sectPr>
      </w:pPr>
    </w:p>
    <w:bookmarkStart w:id="115" w:name="page116"/>
    <w:bookmarkEnd w:id="115"/>
    <w:p>
      <w:pPr>
        <w:ind w:right="2320"/>
        <w:spacing w:after="0" w:line="402" w:lineRule="auto"/>
        <w:rPr>
          <w:sz w:val="20"/>
          <w:szCs w:val="20"/>
          <w:color w:val="auto"/>
        </w:rPr>
      </w:pPr>
      <w:r>
        <w:rPr>
          <w:rFonts w:ascii="Times New Roman" w:cs="Times New Roman" w:eastAsia="Times New Roman" w:hAnsi="Times New Roman"/>
          <w:sz w:val="16"/>
          <w:szCs w:val="16"/>
          <w:b w:val="1"/>
          <w:bCs w:val="1"/>
          <w:color w:val="auto"/>
        </w:rPr>
        <w:t xml:space="preserve">ITEM 9. CHANGES IN AND DISAGREEMENTS WITH ACCOUNTANTS ON ACCOUNTING AND FINANCIAL DISCLOSURE </w:t>
      </w:r>
      <w:r>
        <w:rPr>
          <w:rFonts w:ascii="Times New Roman" w:cs="Times New Roman" w:eastAsia="Times New Roman" w:hAnsi="Times New Roman"/>
          <w:sz w:val="16"/>
          <w:szCs w:val="16"/>
          <w:color w:val="auto"/>
        </w:rPr>
        <w:t>None.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Our management is responsible for establishing and maintaining adequate internal control over financial reporting (as such term is defined in Exchange Act Rule 13a-15(f) and 15d-15(f))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2024. Management based its assessment on criteria established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xml:space="preserve"> issued by the Committee of Sponsoring Organizations of the Treadway Commission (2013 Framework). Based on that evaluation, our management concluded that our internal control over financial reporting was effective as of December 31, 2024.</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Management has excluded SomaLogic, Inc. from its assessment of internal control over financial reporting as of December 31, 2024, because it was acquired in a business combination during 2024. SomaLogic, Inc. is a wholly-owned subsidiary whose total assets and total revenues represent approximately 51% and 47%, respectively, of the related consolidated financial statement amounts as of and for the year ended December 31, 2024.</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PricewaterhouseCoopers LLP has audited the effectiveness of the company’s internal control over financial reporting as of December 31, 2024, as stated in its report dated March 10, 2025, which is included herein.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the Effectiveness of Controls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7" w:lineRule="exact"/>
        <w:rPr>
          <w:sz w:val="20"/>
          <w:szCs w:val="20"/>
          <w:color w:val="auto"/>
        </w:rPr>
      </w:pPr>
    </w:p>
    <w:p>
      <w:pPr>
        <w:ind w:right="2839"/>
        <w:spacing w:after="0" w:line="402" w:lineRule="auto"/>
        <w:rPr>
          <w:sz w:val="20"/>
          <w:szCs w:val="20"/>
          <w:color w:val="auto"/>
        </w:rPr>
      </w:pPr>
      <w:r>
        <w:rPr>
          <w:rFonts w:ascii="Times New Roman" w:cs="Times New Roman" w:eastAsia="Times New Roman" w:hAnsi="Times New Roman"/>
          <w:sz w:val="16"/>
          <w:szCs w:val="16"/>
          <w:b w:val="1"/>
          <w:bCs w:val="1"/>
          <w:color w:val="auto"/>
        </w:rPr>
        <w:t xml:space="preserve">ITEM 9C. DISCLOSURES REGARDING FOREIGN JURISDICTIONS THAT PREVENT INSPECTIONS </w:t>
      </w:r>
      <w:r>
        <w:rPr>
          <w:rFonts w:ascii="Times New Roman" w:cs="Times New Roman" w:eastAsia="Times New Roman" w:hAnsi="Times New Roman"/>
          <w:sz w:val="16"/>
          <w:szCs w:val="16"/>
          <w:color w:val="auto"/>
        </w:rPr>
        <w:t>None.</w:t>
      </w:r>
    </w:p>
    <w:p>
      <w:pPr>
        <w:spacing w:after="0" w:line="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139"/>
          </w:cols>
          <w:pgMar w:left="320" w:top="1304" w:right="1440"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information called for by this item will be set forth in our proxy statement for the 2025 annual meeting of stockholders (the "Proxy Statement") to be filed with the SEC within 120 days of the fiscal year ended December 31, 2024, under the headings “Management and Corporate Governance,” “Delinquent Section 16(a) Reports” and “Code of Ethics and Conduct” and is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information required by this item will be set forth in our Proxy Statement under the headings “Executive Officer and Director Compensation,” “Compensation Discussion and Analysis,” “Management and Corporate Governance—Compensation (Human Capital) Committee Interlocks and Insider Participation,” “Compensation (Human Capital) Committee Report” and “Risks Related to Compensation Practices and Policies” and is incorporated herein by reference. The section titled “Pay Versus Performance” in the Proxy Statement is not incorporated by reference herein.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information, if any, required by this item will be set forth in our Proxy Statement under the headings “Security Ownership of Certain Beneficial Owners and Management” and “Equity Compensation Plan Information” and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information, if any, required by this item will be set forth in our Proxy Statement under the headings “Certain Relationships and Related Person Transactions” and “Management and Corporate Governance” and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1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information required by this item will be set forth in our Proxy Statement under the heading “Ratification of Appointment of Independent Registered Public Accounting Firm” and is incorporated herein by reference.</w:t>
      </w:r>
    </w:p>
    <w:p>
      <w:pPr>
        <w:spacing w:after="0" w:line="3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118" w:name="page119"/>
    <w:bookmarkEnd w:id="118"/>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15. EXHIBITS, FINANCIAL STATEMENT SCHEDULES</w:t>
      </w:r>
    </w:p>
    <w:p>
      <w:pPr>
        <w:spacing w:after="0" w:line="100" w:lineRule="exact"/>
        <w:rPr>
          <w:sz w:val="20"/>
          <w:szCs w:val="20"/>
          <w:color w:val="auto"/>
        </w:rPr>
      </w:pPr>
    </w:p>
    <w:p>
      <w:pPr>
        <w:ind w:left="505" w:hanging="505"/>
        <w:spacing w:after="0"/>
        <w:tabs>
          <w:tab w:leader="none" w:pos="50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Financial Statements. </w:t>
      </w: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u w:val="single" w:color="auto"/>
          <w:color w:val="0000FF"/>
        </w:rPr>
        <w:t>Index to Consolidated Financial Statements</w:t>
      </w:r>
      <w:r>
        <w:rPr>
          <w:rFonts w:ascii="Times New Roman" w:cs="Times New Roman" w:eastAsia="Times New Roman" w:hAnsi="Times New Roman"/>
          <w:sz w:val="16"/>
          <w:szCs w:val="16"/>
          <w:color w:val="auto"/>
        </w:rPr>
        <w:t>” in Part II, Item 8 of this Annual Report.</w:t>
      </w:r>
    </w:p>
    <w:p>
      <w:pPr>
        <w:spacing w:after="0" w:line="99" w:lineRule="exact"/>
        <w:rPr>
          <w:rFonts w:ascii="Times New Roman" w:cs="Times New Roman" w:eastAsia="Times New Roman" w:hAnsi="Times New Roman"/>
          <w:sz w:val="16"/>
          <w:szCs w:val="16"/>
          <w:color w:val="auto"/>
        </w:rPr>
      </w:pPr>
    </w:p>
    <w:p>
      <w:pPr>
        <w:ind w:left="505" w:hanging="505"/>
        <w:spacing w:after="0"/>
        <w:tabs>
          <w:tab w:leader="none" w:pos="50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Financial Statement schedule. </w:t>
      </w:r>
      <w:r>
        <w:rPr>
          <w:rFonts w:ascii="Times New Roman" w:cs="Times New Roman" w:eastAsia="Times New Roman" w:hAnsi="Times New Roman"/>
          <w:sz w:val="16"/>
          <w:szCs w:val="16"/>
          <w:color w:val="auto"/>
        </w:rPr>
        <w:t>N/A.</w:t>
      </w:r>
    </w:p>
    <w:p>
      <w:pPr>
        <w:spacing w:after="0" w:line="99" w:lineRule="exact"/>
        <w:rPr>
          <w:rFonts w:ascii="Times New Roman" w:cs="Times New Roman" w:eastAsia="Times New Roman" w:hAnsi="Times New Roman"/>
          <w:sz w:val="16"/>
          <w:szCs w:val="16"/>
          <w:color w:val="auto"/>
        </w:rPr>
      </w:pPr>
    </w:p>
    <w:p>
      <w:pPr>
        <w:ind w:left="505" w:hanging="505"/>
        <w:spacing w:after="0" w:line="278" w:lineRule="auto"/>
        <w:tabs>
          <w:tab w:leader="none" w:pos="50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Exhibits. </w:t>
      </w:r>
      <w:r>
        <w:rPr>
          <w:rFonts w:ascii="Times New Roman" w:cs="Times New Roman" w:eastAsia="Times New Roman" w:hAnsi="Times New Roman"/>
          <w:sz w:val="16"/>
          <w:szCs w:val="16"/>
          <w:color w:val="auto"/>
        </w:rPr>
        <w:t>The exhibits listed in the accompanying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Index to Exhibits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filed herewith or are incorporated by reference to exhibits previously filed with the 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-521335</wp:posOffset>
            </wp:positionV>
            <wp:extent cx="174561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45615" cy="762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-160655</wp:posOffset>
            </wp:positionV>
            <wp:extent cx="71945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9455" cy="7620"/>
                    </a:xfrm>
                    <a:prstGeom prst="rect">
                      <a:avLst/>
                    </a:prstGeom>
                    <a:noFill/>
                  </pic:spPr>
                </pic:pic>
              </a:graphicData>
            </a:graphic>
          </wp:anchor>
        </w:drawing>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None.</w:t>
      </w:r>
    </w:p>
    <w:p>
      <w:pPr>
        <w:spacing w:after="0" w:line="194"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1020" w:right="33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INDEX TO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23"/>
          </w:tcPr>
          <w:p>
            <w:pPr>
              <w:ind w:left="4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2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12"/>
                <w:szCs w:val="12"/>
                <w:color w:val="auto"/>
              </w:rPr>
            </w:pPr>
          </w:p>
        </w:tc>
        <w:tc>
          <w:tcPr>
            <w:tcW w:w="4860" w:type="dxa"/>
            <w:vAlign w:val="bottom"/>
            <w:tcBorders>
              <w:bottom w:val="single" w:sz="8" w:color="0000FF"/>
            </w:tcBorders>
            <w:gridSpan w:val="19"/>
          </w:tcPr>
          <w:p>
            <w:pPr>
              <w:spacing w:after="0" w:line="145" w:lineRule="exact"/>
              <w:rPr>
                <w:rFonts w:ascii="Times New Roman" w:cs="Times New Roman" w:eastAsia="Times New Roman" w:hAnsi="Times New Roman"/>
                <w:sz w:val="16"/>
                <w:szCs w:val="16"/>
                <w:color w:val="0000FF"/>
                <w:w w:val="98"/>
              </w:rPr>
            </w:pPr>
            <w:hyperlink r:id="rId481">
              <w:r>
                <w:rPr>
                  <w:rFonts w:ascii="Times New Roman" w:cs="Times New Roman" w:eastAsia="Times New Roman" w:hAnsi="Times New Roman"/>
                  <w:sz w:val="16"/>
                  <w:szCs w:val="16"/>
                  <w:color w:val="0000FF"/>
                  <w:w w:val="98"/>
                </w:rPr>
                <w:t>Agreement and Plan of Merger, dated January 28, 2014, by and among DVS</w:t>
              </w:r>
            </w:hyperlink>
          </w:p>
        </w:tc>
        <w:tc>
          <w:tcPr>
            <w:tcW w:w="280" w:type="dxa"/>
            <w:vAlign w:val="bottom"/>
            <w:gridSpan w:val="8"/>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line="145" w:lineRule="exact"/>
              <w:rPr>
                <w:sz w:val="20"/>
                <w:szCs w:val="20"/>
                <w:color w:val="auto"/>
              </w:rPr>
            </w:pPr>
            <w:r>
              <w:rPr>
                <w:rFonts w:ascii="Times New Roman" w:cs="Times New Roman" w:eastAsia="Times New Roman" w:hAnsi="Times New Roman"/>
                <w:sz w:val="16"/>
                <w:szCs w:val="16"/>
                <w:color w:val="auto"/>
                <w:w w:val="98"/>
              </w:rPr>
              <w:t>001-34180</w:t>
            </w:r>
          </w:p>
        </w:tc>
        <w:tc>
          <w:tcPr>
            <w:tcW w:w="10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8"/>
              </w:rPr>
              <w:t>1/29/2014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60" w:type="dxa"/>
            <w:vAlign w:val="bottom"/>
            <w:tcBorders>
              <w:bottom w:val="single" w:sz="8" w:color="0000FF"/>
            </w:tcBorders>
            <w:gridSpan w:val="23"/>
          </w:tcPr>
          <w:p>
            <w:pPr>
              <w:spacing w:after="0" w:line="169" w:lineRule="exact"/>
              <w:rPr>
                <w:rFonts w:ascii="Times New Roman" w:cs="Times New Roman" w:eastAsia="Times New Roman" w:hAnsi="Times New Roman"/>
                <w:sz w:val="16"/>
                <w:szCs w:val="16"/>
                <w:color w:val="0000FF"/>
                <w:w w:val="98"/>
              </w:rPr>
            </w:pPr>
            <w:hyperlink r:id="rId481">
              <w:r>
                <w:rPr>
                  <w:rFonts w:ascii="Times New Roman" w:cs="Times New Roman" w:eastAsia="Times New Roman" w:hAnsi="Times New Roman"/>
                  <w:sz w:val="16"/>
                  <w:szCs w:val="16"/>
                  <w:color w:val="0000FF"/>
                  <w:w w:val="98"/>
                </w:rPr>
                <w:t>Sciences, Inc., Standard BioTools Inc. (formerly Fluidigm Corporation), Dawid</w:t>
              </w:r>
            </w:hyperlink>
          </w:p>
        </w:tc>
        <w:tc>
          <w:tcPr>
            <w:tcW w:w="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6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7"/>
              </w:rPr>
            </w:pPr>
            <w:hyperlink r:id="rId481">
              <w:r>
                <w:rPr>
                  <w:rFonts w:ascii="Times New Roman" w:cs="Times New Roman" w:eastAsia="Times New Roman" w:hAnsi="Times New Roman"/>
                  <w:sz w:val="16"/>
                  <w:szCs w:val="16"/>
                  <w:color w:val="0000FF"/>
                  <w:w w:val="97"/>
                </w:rPr>
                <w:t>Merger Sub, Inc. and Shareholder Representative Services LLC.</w:t>
              </w:r>
            </w:hyperlink>
          </w:p>
        </w:tc>
        <w:tc>
          <w:tcPr>
            <w:tcW w:w="1080" w:type="dxa"/>
            <w:vAlign w:val="bottom"/>
            <w:gridSpan w:val="18"/>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3"/>
                <w:szCs w:val="23"/>
                <w:color w:val="auto"/>
              </w:rPr>
            </w:pPr>
          </w:p>
        </w:tc>
        <w:tc>
          <w:tcPr>
            <w:tcW w:w="462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w w:val="98"/>
              </w:rPr>
            </w:pPr>
            <w:hyperlink r:id="rId482">
              <w:r>
                <w:rPr>
                  <w:rFonts w:ascii="Times New Roman" w:cs="Times New Roman" w:eastAsia="Times New Roman" w:hAnsi="Times New Roman"/>
                  <w:sz w:val="16"/>
                  <w:szCs w:val="16"/>
                  <w:color w:val="0000FF"/>
                  <w:w w:val="98"/>
                </w:rPr>
                <w:t>Merger Agreement, dated as of March 28, 2021, as amended by the First</w:t>
              </w:r>
            </w:hyperlink>
          </w:p>
        </w:tc>
        <w:tc>
          <w:tcPr>
            <w:tcW w:w="520" w:type="dxa"/>
            <w:vAlign w:val="bottom"/>
            <w:gridSpan w:val="12"/>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S-4/A</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right"/>
              <w:ind w:right="354"/>
              <w:spacing w:after="0"/>
              <w:rPr>
                <w:sz w:val="20"/>
                <w:szCs w:val="20"/>
                <w:color w:val="auto"/>
              </w:rPr>
            </w:pPr>
            <w:r>
              <w:rPr>
                <w:rFonts w:ascii="Times New Roman" w:cs="Times New Roman" w:eastAsia="Times New Roman" w:hAnsi="Times New Roman"/>
                <w:sz w:val="16"/>
                <w:szCs w:val="16"/>
                <w:color w:val="auto"/>
              </w:rPr>
              <w:t>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8/5/2021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Borders>
              <w:bottom w:val="single" w:sz="8" w:color="0000FF"/>
            </w:tcBorders>
            <w:gridSpan w:val="18"/>
          </w:tcPr>
          <w:p>
            <w:pPr>
              <w:spacing w:after="0" w:line="169" w:lineRule="exact"/>
              <w:rPr>
                <w:rFonts w:ascii="Times New Roman" w:cs="Times New Roman" w:eastAsia="Times New Roman" w:hAnsi="Times New Roman"/>
                <w:sz w:val="16"/>
                <w:szCs w:val="16"/>
                <w:color w:val="0000FF"/>
                <w:w w:val="99"/>
              </w:rPr>
            </w:pPr>
            <w:hyperlink r:id="rId482">
              <w:r>
                <w:rPr>
                  <w:rFonts w:ascii="Times New Roman" w:cs="Times New Roman" w:eastAsia="Times New Roman" w:hAnsi="Times New Roman"/>
                  <w:sz w:val="16"/>
                  <w:szCs w:val="16"/>
                  <w:color w:val="0000FF"/>
                  <w:w w:val="99"/>
                </w:rPr>
                <w:t>Amendment thereto dated as of May 12, 2021 and the Second Amendment</w:t>
              </w:r>
            </w:hyperlink>
          </w:p>
        </w:tc>
        <w:tc>
          <w:tcPr>
            <w:tcW w:w="360" w:type="dxa"/>
            <w:vAlign w:val="bottom"/>
            <w:gridSpan w:val="9"/>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Borders>
              <w:bottom w:val="single" w:sz="8" w:color="0000FF"/>
            </w:tcBorders>
            <w:gridSpan w:val="18"/>
          </w:tcPr>
          <w:p>
            <w:pPr>
              <w:spacing w:after="0" w:line="169" w:lineRule="exact"/>
              <w:rPr>
                <w:rFonts w:ascii="Times New Roman" w:cs="Times New Roman" w:eastAsia="Times New Roman" w:hAnsi="Times New Roman"/>
                <w:sz w:val="16"/>
                <w:szCs w:val="16"/>
                <w:color w:val="0000FF"/>
                <w:w w:val="98"/>
              </w:rPr>
            </w:pPr>
            <w:hyperlink r:id="rId482">
              <w:r>
                <w:rPr>
                  <w:rFonts w:ascii="Times New Roman" w:cs="Times New Roman" w:eastAsia="Times New Roman" w:hAnsi="Times New Roman"/>
                  <w:sz w:val="16"/>
                  <w:szCs w:val="16"/>
                  <w:color w:val="0000FF"/>
                  <w:w w:val="98"/>
                </w:rPr>
                <w:t>thereto dated as of July 15, 2021, by and among SomaLogic, Inc. (CM Life</w:t>
              </w:r>
            </w:hyperlink>
          </w:p>
        </w:tc>
        <w:tc>
          <w:tcPr>
            <w:tcW w:w="360" w:type="dxa"/>
            <w:vAlign w:val="bottom"/>
            <w:gridSpan w:val="9"/>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80" w:type="dxa"/>
            <w:vAlign w:val="bottom"/>
            <w:tcBorders>
              <w:bottom w:val="single" w:sz="8" w:color="0000FF"/>
            </w:tcBorders>
            <w:gridSpan w:val="24"/>
          </w:tcPr>
          <w:p>
            <w:pPr>
              <w:spacing w:after="0" w:line="169" w:lineRule="exact"/>
              <w:rPr>
                <w:rFonts w:ascii="Times New Roman" w:cs="Times New Roman" w:eastAsia="Times New Roman" w:hAnsi="Times New Roman"/>
                <w:sz w:val="16"/>
                <w:szCs w:val="16"/>
                <w:color w:val="0000FF"/>
                <w:w w:val="98"/>
              </w:rPr>
            </w:pPr>
            <w:hyperlink r:id="rId482">
              <w:r>
                <w:rPr>
                  <w:rFonts w:ascii="Times New Roman" w:cs="Times New Roman" w:eastAsia="Times New Roman" w:hAnsi="Times New Roman"/>
                  <w:sz w:val="16"/>
                  <w:szCs w:val="16"/>
                  <w:color w:val="0000FF"/>
                  <w:w w:val="98"/>
                </w:rPr>
                <w:t>Sciences II, Inc.), S-Craft Merger Sub, Inc., and SomaLogic Operating Co., Inc.</w:t>
              </w:r>
            </w:hyperlink>
          </w:p>
        </w:tc>
        <w:tc>
          <w:tcPr>
            <w:tcW w:w="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7"/>
              </w:rPr>
            </w:pPr>
            <w:hyperlink r:id="rId482">
              <w:r>
                <w:rPr>
                  <w:rFonts w:ascii="Times New Roman" w:cs="Times New Roman" w:eastAsia="Times New Roman" w:hAnsi="Times New Roman"/>
                  <w:sz w:val="16"/>
                  <w:szCs w:val="16"/>
                  <w:color w:val="0000FF"/>
                  <w:w w:val="97"/>
                </w:rPr>
                <w:t>(formerly SomaLogic, Inc.).</w:t>
              </w:r>
            </w:hyperlink>
          </w:p>
        </w:tc>
        <w:tc>
          <w:tcPr>
            <w:tcW w:w="20" w:type="dxa"/>
            <w:vAlign w:val="bottom"/>
            <w:tcBorders>
              <w:bottom w:val="single" w:sz="8" w:color="0000EE"/>
            </w:tcBorders>
          </w:tcPr>
          <w:p>
            <w:pPr>
              <w:spacing w:after="0"/>
              <w:rPr>
                <w:sz w:val="14"/>
                <w:szCs w:val="14"/>
                <w:color w:val="auto"/>
              </w:rPr>
            </w:pPr>
          </w:p>
        </w:tc>
        <w:tc>
          <w:tcPr>
            <w:tcW w:w="3340" w:type="dxa"/>
            <w:vAlign w:val="bottom"/>
            <w:gridSpan w:val="23"/>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23"/>
                <w:szCs w:val="23"/>
                <w:color w:val="auto"/>
              </w:rPr>
            </w:pPr>
          </w:p>
        </w:tc>
        <w:tc>
          <w:tcPr>
            <w:tcW w:w="462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w w:val="98"/>
              </w:rPr>
            </w:pPr>
            <w:hyperlink r:id="rId483">
              <w:r>
                <w:rPr>
                  <w:rFonts w:ascii="Times New Roman" w:cs="Times New Roman" w:eastAsia="Times New Roman" w:hAnsi="Times New Roman"/>
                  <w:sz w:val="16"/>
                  <w:szCs w:val="16"/>
                  <w:color w:val="0000FF"/>
                  <w:w w:val="98"/>
                </w:rPr>
                <w:t>Agreement and Plan of Merger, dated as of July 25, 2022, by and among</w:t>
              </w:r>
            </w:hyperlink>
          </w:p>
        </w:tc>
        <w:tc>
          <w:tcPr>
            <w:tcW w:w="520" w:type="dxa"/>
            <w:vAlign w:val="bottom"/>
            <w:gridSpan w:val="12"/>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7/27/2022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00" w:type="dxa"/>
            <w:vAlign w:val="bottom"/>
            <w:tcBorders>
              <w:bottom w:val="single" w:sz="8" w:color="0000FF"/>
            </w:tcBorders>
            <w:gridSpan w:val="25"/>
          </w:tcPr>
          <w:p>
            <w:pPr>
              <w:spacing w:after="0" w:line="169" w:lineRule="exact"/>
              <w:rPr>
                <w:rFonts w:ascii="Times New Roman" w:cs="Times New Roman" w:eastAsia="Times New Roman" w:hAnsi="Times New Roman"/>
                <w:sz w:val="16"/>
                <w:szCs w:val="16"/>
                <w:color w:val="0000FF"/>
                <w:w w:val="98"/>
              </w:rPr>
            </w:pPr>
            <w:hyperlink r:id="rId483">
              <w:r>
                <w:rPr>
                  <w:rFonts w:ascii="Times New Roman" w:cs="Times New Roman" w:eastAsia="Times New Roman" w:hAnsi="Times New Roman"/>
                  <w:sz w:val="16"/>
                  <w:szCs w:val="16"/>
                  <w:color w:val="0000FF"/>
                  <w:w w:val="98"/>
                </w:rPr>
                <w:t>SomaLogic, Inc., Panther Merger Subsidiary I, LLC, Panther Merger Subsidiary</w:t>
              </w:r>
            </w:hyperlink>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483">
              <w:r>
                <w:rPr>
                  <w:rFonts w:ascii="Times New Roman" w:cs="Times New Roman" w:eastAsia="Times New Roman" w:hAnsi="Times New Roman"/>
                  <w:sz w:val="16"/>
                  <w:szCs w:val="16"/>
                  <w:color w:val="0000FF"/>
                </w:rPr>
                <w:t>I, LLC, Palamedrix, Inc., and Securityholder Representative Services LLC.</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23"/>
                <w:szCs w:val="23"/>
                <w:color w:val="auto"/>
              </w:rPr>
            </w:pPr>
          </w:p>
        </w:tc>
        <w:tc>
          <w:tcPr>
            <w:tcW w:w="478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8"/>
              </w:rPr>
            </w:pPr>
            <w:hyperlink r:id="rId484">
              <w:r>
                <w:rPr>
                  <w:rFonts w:ascii="Times New Roman" w:cs="Times New Roman" w:eastAsia="Times New Roman" w:hAnsi="Times New Roman"/>
                  <w:sz w:val="16"/>
                  <w:szCs w:val="16"/>
                  <w:color w:val="0000FF"/>
                  <w:w w:val="98"/>
                </w:rPr>
                <w:t>Agreement and Plan of Merger, dated as of October 4, 2023, by and among</w:t>
              </w:r>
            </w:hyperlink>
          </w:p>
        </w:tc>
        <w:tc>
          <w:tcPr>
            <w:tcW w:w="360" w:type="dxa"/>
            <w:vAlign w:val="bottom"/>
            <w:gridSpan w:val="9"/>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10/4/2023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Borders>
              <w:bottom w:val="single" w:sz="8" w:color="0000FF"/>
            </w:tcBorders>
            <w:gridSpan w:val="13"/>
          </w:tcPr>
          <w:p>
            <w:pPr>
              <w:spacing w:after="0" w:line="169" w:lineRule="exact"/>
              <w:rPr>
                <w:rFonts w:ascii="Times New Roman" w:cs="Times New Roman" w:eastAsia="Times New Roman" w:hAnsi="Times New Roman"/>
                <w:sz w:val="16"/>
                <w:szCs w:val="16"/>
                <w:color w:val="0000FF"/>
                <w:w w:val="98"/>
              </w:rPr>
            </w:pPr>
            <w:hyperlink r:id="rId484">
              <w:r>
                <w:rPr>
                  <w:rFonts w:ascii="Times New Roman" w:cs="Times New Roman" w:eastAsia="Times New Roman" w:hAnsi="Times New Roman"/>
                  <w:sz w:val="16"/>
                  <w:szCs w:val="16"/>
                  <w:color w:val="0000FF"/>
                  <w:w w:val="98"/>
                </w:rPr>
                <w:t>Standard BioTools Inc., SomaLogic, Inc., and Martis Merger Sub, Inc.</w:t>
              </w:r>
            </w:hyperlink>
          </w:p>
        </w:tc>
        <w:tc>
          <w:tcPr>
            <w:tcW w:w="680" w:type="dxa"/>
            <w:vAlign w:val="bottom"/>
            <w:gridSpan w:val="14"/>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3"/>
                <w:szCs w:val="23"/>
                <w:color w:val="auto"/>
              </w:rPr>
            </w:pPr>
          </w:p>
        </w:tc>
        <w:tc>
          <w:tcPr>
            <w:tcW w:w="512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8"/>
              </w:rPr>
            </w:pPr>
            <w:hyperlink r:id="rId485">
              <w:r>
                <w:rPr>
                  <w:rFonts w:ascii="Times New Roman" w:cs="Times New Roman" w:eastAsia="Times New Roman" w:hAnsi="Times New Roman"/>
                  <w:sz w:val="16"/>
                  <w:szCs w:val="16"/>
                  <w:color w:val="0000FF"/>
                  <w:w w:val="98"/>
                </w:rPr>
                <w:t>Eighth Amended and Restated Certificate of Incorporation of Standard BioTools</w:t>
              </w:r>
            </w:hyperlink>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3/28/2011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7"/>
              </w:rPr>
            </w:pPr>
            <w:hyperlink r:id="rId485">
              <w:r>
                <w:rPr>
                  <w:rFonts w:ascii="Times New Roman" w:cs="Times New Roman" w:eastAsia="Times New Roman" w:hAnsi="Times New Roman"/>
                  <w:sz w:val="16"/>
                  <w:szCs w:val="16"/>
                  <w:color w:val="0000FF"/>
                  <w:w w:val="97"/>
                </w:rPr>
                <w:t>Inc. (formerly Fluidigm Corporation).</w:t>
              </w:r>
            </w:hyperlink>
          </w:p>
        </w:tc>
        <w:tc>
          <w:tcPr>
            <w:tcW w:w="20" w:type="dxa"/>
            <w:vAlign w:val="bottom"/>
            <w:tcBorders>
              <w:bottom w:val="single" w:sz="8" w:color="0000EE"/>
            </w:tcBorders>
          </w:tcPr>
          <w:p>
            <w:pPr>
              <w:spacing w:after="0"/>
              <w:rPr>
                <w:sz w:val="14"/>
                <w:szCs w:val="14"/>
                <w:color w:val="auto"/>
              </w:rPr>
            </w:pPr>
          </w:p>
        </w:tc>
        <w:tc>
          <w:tcPr>
            <w:tcW w:w="2720" w:type="dxa"/>
            <w:vAlign w:val="bottom"/>
            <w:gridSpan w:val="21"/>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3"/>
                <w:szCs w:val="23"/>
                <w:color w:val="auto"/>
              </w:rPr>
            </w:pPr>
          </w:p>
        </w:tc>
        <w:tc>
          <w:tcPr>
            <w:tcW w:w="494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8"/>
              </w:rPr>
            </w:pPr>
            <w:hyperlink r:id="rId486">
              <w:r>
                <w:rPr>
                  <w:rFonts w:ascii="Times New Roman" w:cs="Times New Roman" w:eastAsia="Times New Roman" w:hAnsi="Times New Roman"/>
                  <w:sz w:val="16"/>
                  <w:szCs w:val="16"/>
                  <w:color w:val="0000FF"/>
                  <w:w w:val="98"/>
                </w:rPr>
                <w:t>Amended and Restated Bylaws of Standard BioTools Inc. (formerly Fluidigm</w:t>
              </w:r>
            </w:hyperlink>
          </w:p>
        </w:tc>
        <w:tc>
          <w:tcPr>
            <w:tcW w:w="200" w:type="dxa"/>
            <w:vAlign w:val="bottom"/>
            <w:gridSpan w:val="6"/>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w w:val="98"/>
              </w:rPr>
              <w:t>S-8</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4.8</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0000FF"/>
            </w:tcBorders>
          </w:tcPr>
          <w:p>
            <w:pPr>
              <w:spacing w:after="0" w:line="169" w:lineRule="exact"/>
              <w:rPr>
                <w:rFonts w:ascii="Times New Roman" w:cs="Times New Roman" w:eastAsia="Times New Roman" w:hAnsi="Times New Roman"/>
                <w:sz w:val="16"/>
                <w:szCs w:val="16"/>
                <w:color w:val="0000FF"/>
                <w:w w:val="96"/>
              </w:rPr>
            </w:pPr>
            <w:hyperlink r:id="rId486">
              <w:r>
                <w:rPr>
                  <w:rFonts w:ascii="Times New Roman" w:cs="Times New Roman" w:eastAsia="Times New Roman" w:hAnsi="Times New Roman"/>
                  <w:sz w:val="16"/>
                  <w:szCs w:val="16"/>
                  <w:color w:val="0000FF"/>
                  <w:w w:val="96"/>
                </w:rPr>
                <w:t>Corporation).</w:t>
              </w:r>
            </w:hyperlink>
          </w:p>
        </w:tc>
        <w:tc>
          <w:tcPr>
            <w:tcW w:w="4280" w:type="dxa"/>
            <w:vAlign w:val="bottom"/>
            <w:gridSpan w:val="26"/>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23"/>
                <w:szCs w:val="23"/>
                <w:color w:val="auto"/>
              </w:rPr>
            </w:pPr>
          </w:p>
        </w:tc>
        <w:tc>
          <w:tcPr>
            <w:tcW w:w="49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8"/>
              </w:rPr>
            </w:pPr>
            <w:hyperlink r:id="rId487">
              <w:r>
                <w:rPr>
                  <w:rFonts w:ascii="Times New Roman" w:cs="Times New Roman" w:eastAsia="Times New Roman" w:hAnsi="Times New Roman"/>
                  <w:sz w:val="16"/>
                  <w:szCs w:val="16"/>
                  <w:color w:val="0000FF"/>
                  <w:w w:val="98"/>
                </w:rPr>
                <w:t>Certificate of Amendment to the Eighth Amended and Restated Certificate of</w:t>
              </w:r>
            </w:hyperlink>
          </w:p>
        </w:tc>
        <w:tc>
          <w:tcPr>
            <w:tcW w:w="220" w:type="dxa"/>
            <w:vAlign w:val="bottom"/>
            <w:gridSpan w:val="7"/>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w w:val="98"/>
              </w:rPr>
              <w:t>S-8</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487">
              <w:r>
                <w:rPr>
                  <w:rFonts w:ascii="Times New Roman" w:cs="Times New Roman" w:eastAsia="Times New Roman" w:hAnsi="Times New Roman"/>
                  <w:sz w:val="16"/>
                  <w:szCs w:val="16"/>
                  <w:color w:val="0000FF"/>
                </w:rPr>
                <w:t>Incorporation of Standard BioTools Inc. (formerly Fluidigm Corporation).</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3"/>
                <w:szCs w:val="23"/>
                <w:color w:val="auto"/>
              </w:rPr>
            </w:pPr>
          </w:p>
        </w:tc>
        <w:tc>
          <w:tcPr>
            <w:tcW w:w="454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6"/>
                <w:szCs w:val="16"/>
                <w:color w:val="0000FF"/>
                <w:w w:val="98"/>
              </w:rPr>
            </w:pPr>
            <w:hyperlink r:id="rId488">
              <w:r>
                <w:rPr>
                  <w:rFonts w:ascii="Times New Roman" w:cs="Times New Roman" w:eastAsia="Times New Roman" w:hAnsi="Times New Roman"/>
                  <w:sz w:val="16"/>
                  <w:szCs w:val="16"/>
                  <w:color w:val="0000FF"/>
                  <w:w w:val="98"/>
                </w:rPr>
                <w:t>Second Certificate of Amendment to the Eighth Amended and Restated</w:t>
              </w:r>
            </w:hyperlink>
          </w:p>
        </w:tc>
        <w:tc>
          <w:tcPr>
            <w:tcW w:w="200" w:type="dxa"/>
            <w:vAlign w:val="bottom"/>
            <w:tcBorders>
              <w:top w:val="single" w:sz="8" w:color="0000FF"/>
            </w:tcBorders>
            <w:gridSpan w:val="2"/>
          </w:tcPr>
          <w:p>
            <w:pPr>
              <w:spacing w:after="0"/>
              <w:rPr>
                <w:sz w:val="23"/>
                <w:szCs w:val="23"/>
                <w:color w:val="auto"/>
              </w:rPr>
            </w:pPr>
          </w:p>
        </w:tc>
        <w:tc>
          <w:tcPr>
            <w:tcW w:w="400" w:type="dxa"/>
            <w:vAlign w:val="bottom"/>
            <w:gridSpan w:val="11"/>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1/5/2024</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tcBorders>
              <w:bottom w:val="single" w:sz="8" w:color="0000FF"/>
            </w:tcBorders>
            <w:gridSpan w:val="8"/>
          </w:tcPr>
          <w:p>
            <w:pPr>
              <w:spacing w:after="0" w:line="169" w:lineRule="exact"/>
              <w:rPr>
                <w:rFonts w:ascii="Times New Roman" w:cs="Times New Roman" w:eastAsia="Times New Roman" w:hAnsi="Times New Roman"/>
                <w:sz w:val="16"/>
                <w:szCs w:val="16"/>
                <w:color w:val="0000FF"/>
                <w:w w:val="98"/>
              </w:rPr>
            </w:pPr>
            <w:hyperlink r:id="rId488">
              <w:r>
                <w:rPr>
                  <w:rFonts w:ascii="Times New Roman" w:cs="Times New Roman" w:eastAsia="Times New Roman" w:hAnsi="Times New Roman"/>
                  <w:sz w:val="16"/>
                  <w:szCs w:val="16"/>
                  <w:color w:val="0000FF"/>
                  <w:w w:val="98"/>
                </w:rPr>
                <w:t>Certificate of Incorporation of Standard BioTools Inc.</w:t>
              </w:r>
            </w:hyperlink>
          </w:p>
        </w:tc>
        <w:tc>
          <w:tcPr>
            <w:tcW w:w="1720" w:type="dxa"/>
            <w:vAlign w:val="bottom"/>
            <w:gridSpan w:val="19"/>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23"/>
                <w:szCs w:val="23"/>
                <w:color w:val="auto"/>
              </w:rPr>
            </w:pPr>
          </w:p>
        </w:tc>
        <w:tc>
          <w:tcPr>
            <w:tcW w:w="49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8"/>
              </w:rPr>
            </w:pPr>
            <w:hyperlink r:id="rId489">
              <w:r>
                <w:rPr>
                  <w:rFonts w:ascii="Times New Roman" w:cs="Times New Roman" w:eastAsia="Times New Roman" w:hAnsi="Times New Roman"/>
                  <w:sz w:val="16"/>
                  <w:szCs w:val="16"/>
                  <w:color w:val="0000FF"/>
                  <w:w w:val="98"/>
                </w:rPr>
                <w:t>Certificate of Designations of Rights, Preferences and Privileges of Series B-1</w:t>
              </w:r>
            </w:hyperlink>
          </w:p>
        </w:tc>
        <w:tc>
          <w:tcPr>
            <w:tcW w:w="160" w:type="dxa"/>
            <w:vAlign w:val="bottom"/>
            <w:gridSpan w:val="5"/>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4/5/2022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489">
              <w:r>
                <w:rPr>
                  <w:rFonts w:ascii="Times New Roman" w:cs="Times New Roman" w:eastAsia="Times New Roman" w:hAnsi="Times New Roman"/>
                  <w:sz w:val="16"/>
                  <w:szCs w:val="16"/>
                  <w:color w:val="0000FF"/>
                </w:rPr>
                <w:t>Convertible Preferred Stock.</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EE"/>
            </w:tcBorders>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23"/>
                <w:szCs w:val="23"/>
                <w:color w:val="auto"/>
              </w:rPr>
            </w:pPr>
          </w:p>
        </w:tc>
        <w:tc>
          <w:tcPr>
            <w:tcW w:w="49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8"/>
              </w:rPr>
            </w:pPr>
            <w:hyperlink r:id="rId490">
              <w:r>
                <w:rPr>
                  <w:rFonts w:ascii="Times New Roman" w:cs="Times New Roman" w:eastAsia="Times New Roman" w:hAnsi="Times New Roman"/>
                  <w:sz w:val="16"/>
                  <w:szCs w:val="16"/>
                  <w:color w:val="0000FF"/>
                  <w:w w:val="98"/>
                </w:rPr>
                <w:t>Certificate of Designations of Rights, Preferences and Privileges of Series B-2</w:t>
              </w:r>
            </w:hyperlink>
          </w:p>
        </w:tc>
        <w:tc>
          <w:tcPr>
            <w:tcW w:w="160" w:type="dxa"/>
            <w:vAlign w:val="bottom"/>
            <w:gridSpan w:val="5"/>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4/5/2022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490">
              <w:r>
                <w:rPr>
                  <w:rFonts w:ascii="Times New Roman" w:cs="Times New Roman" w:eastAsia="Times New Roman" w:hAnsi="Times New Roman"/>
                  <w:sz w:val="16"/>
                  <w:szCs w:val="16"/>
                  <w:color w:val="0000FF"/>
                </w:rPr>
                <w:t>Convertible Preferred Stock.</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23"/>
                <w:szCs w:val="23"/>
                <w:color w:val="auto"/>
              </w:rPr>
            </w:pPr>
          </w:p>
        </w:tc>
        <w:tc>
          <w:tcPr>
            <w:tcW w:w="434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8"/>
              </w:rPr>
            </w:pPr>
            <w:hyperlink r:id="rId491">
              <w:r>
                <w:rPr>
                  <w:rFonts w:ascii="Times New Roman" w:cs="Times New Roman" w:eastAsia="Times New Roman" w:hAnsi="Times New Roman"/>
                  <w:sz w:val="16"/>
                  <w:szCs w:val="16"/>
                  <w:color w:val="0000FF"/>
                  <w:w w:val="98"/>
                </w:rPr>
                <w:t>Certificate of Elimination of Series B-1 Convertible Preferred Stock.</w:t>
              </w:r>
            </w:hyperlink>
          </w:p>
        </w:tc>
        <w:tc>
          <w:tcPr>
            <w:tcW w:w="20" w:type="dxa"/>
            <w:vAlign w:val="bottom"/>
            <w:tcBorders>
              <w:bottom w:val="single" w:sz="8" w:color="0000EE"/>
            </w:tcBorders>
          </w:tcPr>
          <w:p>
            <w:pPr>
              <w:spacing w:after="0"/>
              <w:rPr>
                <w:sz w:val="23"/>
                <w:szCs w:val="23"/>
                <w:color w:val="auto"/>
              </w:rPr>
            </w:pPr>
          </w:p>
        </w:tc>
        <w:tc>
          <w:tcPr>
            <w:tcW w:w="780" w:type="dxa"/>
            <w:vAlign w:val="bottom"/>
            <w:gridSpan w:val="16"/>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3/18/2024</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3.8</w:t>
            </w:r>
          </w:p>
        </w:tc>
        <w:tc>
          <w:tcPr>
            <w:tcW w:w="140" w:type="dxa"/>
            <w:vAlign w:val="bottom"/>
          </w:tcPr>
          <w:p>
            <w:pPr>
              <w:spacing w:after="0"/>
              <w:rPr>
                <w:sz w:val="23"/>
                <w:szCs w:val="23"/>
                <w:color w:val="auto"/>
              </w:rPr>
            </w:pPr>
          </w:p>
        </w:tc>
        <w:tc>
          <w:tcPr>
            <w:tcW w:w="434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8"/>
              </w:rPr>
            </w:pPr>
            <w:hyperlink r:id="rId492">
              <w:r>
                <w:rPr>
                  <w:rFonts w:ascii="Times New Roman" w:cs="Times New Roman" w:eastAsia="Times New Roman" w:hAnsi="Times New Roman"/>
                  <w:sz w:val="16"/>
                  <w:szCs w:val="16"/>
                  <w:color w:val="0000FF"/>
                  <w:w w:val="98"/>
                </w:rPr>
                <w:t>Certificate of Elimination of Series B-2 Convertible Preferred Stock.</w:t>
              </w:r>
            </w:hyperlink>
          </w:p>
        </w:tc>
        <w:tc>
          <w:tcPr>
            <w:tcW w:w="800" w:type="dxa"/>
            <w:vAlign w:val="bottom"/>
            <w:gridSpan w:val="17"/>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3.2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3/18/2024</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3"/>
                <w:szCs w:val="23"/>
                <w:color w:val="auto"/>
              </w:rPr>
            </w:pPr>
          </w:p>
        </w:tc>
        <w:tc>
          <w:tcPr>
            <w:tcW w:w="34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7"/>
              </w:rPr>
            </w:pPr>
            <w:hyperlink r:id="rId493">
              <w:r>
                <w:rPr>
                  <w:rFonts w:ascii="Times New Roman" w:cs="Times New Roman" w:eastAsia="Times New Roman" w:hAnsi="Times New Roman"/>
                  <w:sz w:val="16"/>
                  <w:szCs w:val="16"/>
                  <w:color w:val="0000FF"/>
                  <w:w w:val="97"/>
                </w:rPr>
                <w:t>Specimen Stock Certificate of Standard BioTools Inc.</w:t>
              </w:r>
            </w:hyperlink>
          </w:p>
        </w:tc>
        <w:tc>
          <w:tcPr>
            <w:tcW w:w="1740" w:type="dxa"/>
            <w:vAlign w:val="bottom"/>
            <w:gridSpan w:val="20"/>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w w:val="98"/>
              </w:rPr>
              <w:t>S-8</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4"/>
                <w:szCs w:val="24"/>
                <w:color w:val="auto"/>
              </w:rPr>
            </w:pPr>
          </w:p>
        </w:tc>
        <w:tc>
          <w:tcPr>
            <w:tcW w:w="514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Description of Securities.</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Filed herewith</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2820" w:type="dxa"/>
            <w:vAlign w:val="bottom"/>
            <w:gridSpan w:val="1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4"/>
                <w:szCs w:val="24"/>
                <w:color w:val="auto"/>
              </w:rPr>
            </w:pPr>
          </w:p>
        </w:tc>
        <w:tc>
          <w:tcPr>
            <w:tcW w:w="476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8"/>
              </w:rPr>
            </w:pPr>
            <w:hyperlink r:id="rId494">
              <w:r>
                <w:rPr>
                  <w:rFonts w:ascii="Times New Roman" w:cs="Times New Roman" w:eastAsia="Times New Roman" w:hAnsi="Times New Roman"/>
                  <w:sz w:val="16"/>
                  <w:szCs w:val="16"/>
                  <w:color w:val="0000FF"/>
                  <w:w w:val="98"/>
                </w:rPr>
                <w:t>Indenture, dated February 4, 2014, by and between Standard BioTools Inc.</w:t>
              </w:r>
            </w:hyperlink>
          </w:p>
        </w:tc>
        <w:tc>
          <w:tcPr>
            <w:tcW w:w="38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2/4/2014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40" w:type="dxa"/>
            <w:vAlign w:val="bottom"/>
            <w:tcBorders>
              <w:bottom w:val="single" w:sz="8" w:color="0000FF"/>
            </w:tcBorders>
            <w:gridSpan w:val="12"/>
          </w:tcPr>
          <w:p>
            <w:pPr>
              <w:spacing w:after="0" w:line="169" w:lineRule="exact"/>
              <w:rPr>
                <w:rFonts w:ascii="Times New Roman" w:cs="Times New Roman" w:eastAsia="Times New Roman" w:hAnsi="Times New Roman"/>
                <w:sz w:val="16"/>
                <w:szCs w:val="16"/>
                <w:color w:val="0000FF"/>
                <w:w w:val="98"/>
              </w:rPr>
            </w:pPr>
            <w:hyperlink r:id="rId494">
              <w:r>
                <w:rPr>
                  <w:rFonts w:ascii="Times New Roman" w:cs="Times New Roman" w:eastAsia="Times New Roman" w:hAnsi="Times New Roman"/>
                  <w:sz w:val="16"/>
                  <w:szCs w:val="16"/>
                  <w:color w:val="0000FF"/>
                  <w:w w:val="98"/>
                </w:rPr>
                <w:t>(formerly Fluidigm Corporation) and U.S. Bank National Association.</w:t>
              </w:r>
            </w:hyperlink>
          </w:p>
        </w:tc>
        <w:tc>
          <w:tcPr>
            <w:tcW w:w="700" w:type="dxa"/>
            <w:vAlign w:val="bottom"/>
            <w:gridSpan w:val="15"/>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1"/>
        </w:trPr>
        <w:tc>
          <w:tcPr>
            <w:tcW w:w="780" w:type="dxa"/>
            <w:vAlign w:val="bottom"/>
          </w:tcPr>
          <w:p>
            <w:pPr>
              <w:spacing w:after="0"/>
              <w:rPr>
                <w:sz w:val="24"/>
                <w:szCs w:val="24"/>
                <w:color w:val="auto"/>
              </w:rPr>
            </w:pPr>
          </w:p>
        </w:tc>
        <w:tc>
          <w:tcPr>
            <w:tcW w:w="5120" w:type="dxa"/>
            <w:vAlign w:val="bottom"/>
            <w:gridSpan w:val="23"/>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120" w:name="page121"/>
    <w:bookmarkEnd w:id="120"/>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gridSpan w:val="25"/>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13"/>
                <w:szCs w:val="13"/>
                <w:color w:val="auto"/>
              </w:rPr>
            </w:pPr>
          </w:p>
        </w:tc>
        <w:tc>
          <w:tcPr>
            <w:tcW w:w="5080" w:type="dxa"/>
            <w:vAlign w:val="bottom"/>
            <w:tcBorders>
              <w:bottom w:val="single" w:sz="8" w:color="0000FF"/>
            </w:tcBorders>
            <w:gridSpan w:val="27"/>
          </w:tcPr>
          <w:p>
            <w:pPr>
              <w:spacing w:after="0" w:line="154" w:lineRule="exact"/>
              <w:rPr>
                <w:rFonts w:ascii="Times New Roman" w:cs="Times New Roman" w:eastAsia="Times New Roman" w:hAnsi="Times New Roman"/>
                <w:sz w:val="16"/>
                <w:szCs w:val="16"/>
                <w:color w:val="0000FF"/>
                <w:w w:val="98"/>
              </w:rPr>
            </w:pPr>
            <w:hyperlink r:id="rId497">
              <w:r>
                <w:rPr>
                  <w:rFonts w:ascii="Times New Roman" w:cs="Times New Roman" w:eastAsia="Times New Roman" w:hAnsi="Times New Roman"/>
                  <w:sz w:val="16"/>
                  <w:szCs w:val="16"/>
                  <w:color w:val="0000FF"/>
                  <w:w w:val="98"/>
                </w:rPr>
                <w:t>First Supplemental Indenture, dated February 4, 2014, by and between Standard</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6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w w:val="98"/>
              </w:rPr>
            </w:pPr>
            <w:hyperlink r:id="rId497">
              <w:r>
                <w:rPr>
                  <w:rFonts w:ascii="Times New Roman" w:cs="Times New Roman" w:eastAsia="Times New Roman" w:hAnsi="Times New Roman"/>
                  <w:sz w:val="16"/>
                  <w:szCs w:val="16"/>
                  <w:color w:val="0000FF"/>
                  <w:w w:val="98"/>
                </w:rPr>
                <w:t>BioTools Inc. (formerly Fluidigm Corporation) and U.S. Bank National</w:t>
              </w:r>
            </w:hyperlink>
          </w:p>
        </w:tc>
        <w:tc>
          <w:tcPr>
            <w:tcW w:w="5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497">
              <w:r>
                <w:rPr>
                  <w:rFonts w:ascii="Times New Roman" w:cs="Times New Roman" w:eastAsia="Times New Roman" w:hAnsi="Times New Roman"/>
                  <w:sz w:val="16"/>
                  <w:szCs w:val="16"/>
                  <w:color w:val="0000FF"/>
                </w:rPr>
                <w:t>Association.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23"/>
                <w:szCs w:val="23"/>
                <w:color w:val="auto"/>
              </w:rPr>
            </w:pPr>
          </w:p>
        </w:tc>
        <w:tc>
          <w:tcPr>
            <w:tcW w:w="296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7"/>
              </w:rPr>
            </w:pPr>
            <w:hyperlink r:id="rId497">
              <w:r>
                <w:rPr>
                  <w:rFonts w:ascii="Times New Roman" w:cs="Times New Roman" w:eastAsia="Times New Roman" w:hAnsi="Times New Roman"/>
                  <w:sz w:val="16"/>
                  <w:szCs w:val="16"/>
                  <w:color w:val="0000FF"/>
                  <w:w w:val="97"/>
                </w:rPr>
                <w:t>Form of Global Note (included in Exhibit 4.4).</w:t>
              </w:r>
            </w:hyperlink>
          </w:p>
        </w:tc>
        <w:tc>
          <w:tcPr>
            <w:tcW w:w="2180" w:type="dxa"/>
            <w:vAlign w:val="bottom"/>
            <w:gridSpan w:val="22"/>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4"/>
                <w:szCs w:val="24"/>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9"/>
              </w:rPr>
            </w:pPr>
            <w:hyperlink r:id="rId498">
              <w:r>
                <w:rPr>
                  <w:rFonts w:ascii="Times New Roman" w:cs="Times New Roman" w:eastAsia="Times New Roman" w:hAnsi="Times New Roman"/>
                  <w:sz w:val="16"/>
                  <w:szCs w:val="16"/>
                  <w:color w:val="0000FF"/>
                  <w:w w:val="99"/>
                </w:rPr>
                <w:t>Indenture, dated November 22, 2019, by and between Standard BioTools Inc.</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40" w:type="dxa"/>
            <w:vAlign w:val="bottom"/>
            <w:tcBorders>
              <w:bottom w:val="single" w:sz="8" w:color="0000FF"/>
            </w:tcBorders>
            <w:gridSpan w:val="14"/>
          </w:tcPr>
          <w:p>
            <w:pPr>
              <w:spacing w:after="0" w:line="169" w:lineRule="exact"/>
              <w:rPr>
                <w:rFonts w:ascii="Times New Roman" w:cs="Times New Roman" w:eastAsia="Times New Roman" w:hAnsi="Times New Roman"/>
                <w:sz w:val="16"/>
                <w:szCs w:val="16"/>
                <w:color w:val="0000FF"/>
                <w:w w:val="98"/>
              </w:rPr>
            </w:pPr>
            <w:hyperlink r:id="rId498">
              <w:r>
                <w:rPr>
                  <w:rFonts w:ascii="Times New Roman" w:cs="Times New Roman" w:eastAsia="Times New Roman" w:hAnsi="Times New Roman"/>
                  <w:sz w:val="16"/>
                  <w:szCs w:val="16"/>
                  <w:color w:val="0000FF"/>
                  <w:w w:val="98"/>
                </w:rPr>
                <w:t>(formerly Fluidigm Corporation) and U.S. Bank National Association.</w:t>
              </w:r>
            </w:hyperlink>
          </w:p>
        </w:tc>
        <w:tc>
          <w:tcPr>
            <w:tcW w:w="20" w:type="dxa"/>
            <w:vAlign w:val="bottom"/>
            <w:tcBorders>
              <w:bottom w:val="single" w:sz="8" w:color="0000EE"/>
            </w:tcBorders>
          </w:tcPr>
          <w:p>
            <w:pPr>
              <w:spacing w:after="0"/>
              <w:rPr>
                <w:sz w:val="14"/>
                <w:szCs w:val="14"/>
                <w:color w:val="auto"/>
              </w:rPr>
            </w:pPr>
          </w:p>
        </w:tc>
        <w:tc>
          <w:tcPr>
            <w:tcW w:w="6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23"/>
                <w:szCs w:val="23"/>
                <w:color w:val="auto"/>
              </w:rPr>
            </w:pPr>
          </w:p>
        </w:tc>
        <w:tc>
          <w:tcPr>
            <w:tcW w:w="5140" w:type="dxa"/>
            <w:vAlign w:val="bottom"/>
            <w:gridSpan w:val="29"/>
          </w:tcPr>
          <w:p>
            <w:pPr>
              <w:spacing w:after="0"/>
              <w:rPr>
                <w:rFonts w:ascii="Times New Roman" w:cs="Times New Roman" w:eastAsia="Times New Roman" w:hAnsi="Times New Roman"/>
                <w:sz w:val="16"/>
                <w:szCs w:val="16"/>
                <w:color w:val="0000FF"/>
              </w:rPr>
            </w:pPr>
            <w:hyperlink r:id="rId498">
              <w:r>
                <w:rPr>
                  <w:rFonts w:ascii="Times New Roman" w:cs="Times New Roman" w:eastAsia="Times New Roman" w:hAnsi="Times New Roman"/>
                  <w:sz w:val="16"/>
                  <w:szCs w:val="16"/>
                  <w:color w:val="0000FF"/>
                </w:rPr>
                <w:t>Form of 5.25% Convertible Senior Note due 2024 (included in Exhibit 4.6).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24"/>
                <w:szCs w:val="24"/>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w w:val="99"/>
              </w:rPr>
            </w:pPr>
            <w:hyperlink r:id="rId499">
              <w:r>
                <w:rPr>
                  <w:rFonts w:ascii="Times New Roman" w:cs="Times New Roman" w:eastAsia="Times New Roman" w:hAnsi="Times New Roman"/>
                  <w:sz w:val="16"/>
                  <w:szCs w:val="16"/>
                  <w:color w:val="0000FF"/>
                  <w:w w:val="99"/>
                </w:rPr>
                <w:t>Warrant Agreement, dated as of February 22, 2021, by and between SomaLogic,</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9"/>
          </w:tcPr>
          <w:p>
            <w:pPr>
              <w:spacing w:after="0" w:line="169" w:lineRule="exact"/>
              <w:rPr>
                <w:rFonts w:ascii="Times New Roman" w:cs="Times New Roman" w:eastAsia="Times New Roman" w:hAnsi="Times New Roman"/>
                <w:sz w:val="16"/>
                <w:szCs w:val="16"/>
                <w:color w:val="0000FF"/>
                <w:w w:val="99"/>
              </w:rPr>
            </w:pPr>
            <w:hyperlink r:id="rId499">
              <w:r>
                <w:rPr>
                  <w:rFonts w:ascii="Times New Roman" w:cs="Times New Roman" w:eastAsia="Times New Roman" w:hAnsi="Times New Roman"/>
                  <w:sz w:val="16"/>
                  <w:szCs w:val="16"/>
                  <w:color w:val="0000FF"/>
                  <w:w w:val="99"/>
                </w:rPr>
                <w:t>Inc. (formerly CM Life Sciences II Inc.) and Continental Stock Transfer &amp; Trust</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499">
              <w:r>
                <w:rPr>
                  <w:rFonts w:ascii="Times New Roman" w:cs="Times New Roman" w:eastAsia="Times New Roman" w:hAnsi="Times New Roman"/>
                  <w:sz w:val="16"/>
                  <w:szCs w:val="16"/>
                  <w:color w:val="0000FF"/>
                </w:rPr>
                <w:t>Company.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23"/>
                <w:szCs w:val="23"/>
                <w:color w:val="auto"/>
              </w:rPr>
            </w:pPr>
          </w:p>
        </w:tc>
        <w:tc>
          <w:tcPr>
            <w:tcW w:w="322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w w:val="98"/>
              </w:rPr>
            </w:pPr>
            <w:hyperlink r:id="rId500">
              <w:r>
                <w:rPr>
                  <w:rFonts w:ascii="Times New Roman" w:cs="Times New Roman" w:eastAsia="Times New Roman" w:hAnsi="Times New Roman"/>
                  <w:sz w:val="16"/>
                  <w:szCs w:val="16"/>
                  <w:color w:val="0000FF"/>
                  <w:w w:val="98"/>
                </w:rPr>
                <w:t>Form of SomaLogic, Inc. Subscription Agreement.</w:t>
              </w:r>
            </w:hyperlink>
          </w:p>
        </w:tc>
        <w:tc>
          <w:tcPr>
            <w:tcW w:w="20" w:type="dxa"/>
            <w:vAlign w:val="bottom"/>
            <w:tcBorders>
              <w:bottom w:val="single" w:sz="8" w:color="0000EE"/>
            </w:tcBorders>
          </w:tcPr>
          <w:p>
            <w:pPr>
              <w:spacing w:after="0"/>
              <w:rPr>
                <w:sz w:val="23"/>
                <w:szCs w:val="23"/>
                <w:color w:val="auto"/>
              </w:rPr>
            </w:pPr>
          </w:p>
        </w:tc>
        <w:tc>
          <w:tcPr>
            <w:tcW w:w="1900" w:type="dxa"/>
            <w:vAlign w:val="bottom"/>
            <w:gridSpan w:val="18"/>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3"/>
                <w:szCs w:val="23"/>
                <w:color w:val="auto"/>
              </w:rPr>
            </w:pPr>
          </w:p>
        </w:tc>
        <w:tc>
          <w:tcPr>
            <w:tcW w:w="478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9"/>
              </w:rPr>
            </w:pPr>
            <w:hyperlink r:id="rId501">
              <w:r>
                <w:rPr>
                  <w:rFonts w:ascii="Times New Roman" w:cs="Times New Roman" w:eastAsia="Times New Roman" w:hAnsi="Times New Roman"/>
                  <w:sz w:val="16"/>
                  <w:szCs w:val="16"/>
                  <w:color w:val="0000FF"/>
                  <w:w w:val="99"/>
                </w:rPr>
                <w:t>Form of Indemnification Agreement entered into by and between Standard</w:t>
              </w:r>
            </w:hyperlink>
          </w:p>
        </w:tc>
        <w:tc>
          <w:tcPr>
            <w:tcW w:w="36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bottom w:val="single" w:sz="8" w:color="0000FF"/>
            </w:tcBorders>
            <w:gridSpan w:val="20"/>
          </w:tcPr>
          <w:p>
            <w:pPr>
              <w:spacing w:after="0" w:line="169" w:lineRule="exact"/>
              <w:rPr>
                <w:rFonts w:ascii="Times New Roman" w:cs="Times New Roman" w:eastAsia="Times New Roman" w:hAnsi="Times New Roman"/>
                <w:sz w:val="16"/>
                <w:szCs w:val="16"/>
                <w:color w:val="0000FF"/>
                <w:w w:val="98"/>
              </w:rPr>
            </w:pPr>
            <w:hyperlink r:id="rId501">
              <w:r>
                <w:rPr>
                  <w:rFonts w:ascii="Times New Roman" w:cs="Times New Roman" w:eastAsia="Times New Roman" w:hAnsi="Times New Roman"/>
                  <w:sz w:val="16"/>
                  <w:szCs w:val="16"/>
                  <w:color w:val="0000FF"/>
                  <w:w w:val="98"/>
                </w:rPr>
                <w:t>BioTools Inc. (formerly Fluidigm Corporation) and certain of its officers and</w:t>
              </w:r>
            </w:hyperlink>
          </w:p>
        </w:tc>
        <w:tc>
          <w:tcPr>
            <w:tcW w:w="2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01">
              <w:r>
                <w:rPr>
                  <w:rFonts w:ascii="Times New Roman" w:cs="Times New Roman" w:eastAsia="Times New Roman" w:hAnsi="Times New Roman"/>
                  <w:sz w:val="16"/>
                  <w:szCs w:val="16"/>
                  <w:color w:val="0000FF"/>
                </w:rPr>
                <w:t>directors.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3"/>
                <w:szCs w:val="23"/>
                <w:color w:val="auto"/>
              </w:rPr>
            </w:pPr>
          </w:p>
        </w:tc>
        <w:tc>
          <w:tcPr>
            <w:tcW w:w="478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9"/>
              </w:rPr>
            </w:pPr>
            <w:hyperlink r:id="rId502">
              <w:r>
                <w:rPr>
                  <w:rFonts w:ascii="Times New Roman" w:cs="Times New Roman" w:eastAsia="Times New Roman" w:hAnsi="Times New Roman"/>
                  <w:sz w:val="16"/>
                  <w:szCs w:val="16"/>
                  <w:color w:val="0000FF"/>
                  <w:w w:val="99"/>
                </w:rPr>
                <w:t>Form of Indemnification Agreement entered into by and between Standard</w:t>
              </w:r>
            </w:hyperlink>
          </w:p>
        </w:tc>
        <w:tc>
          <w:tcPr>
            <w:tcW w:w="36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02">
              <w:r>
                <w:rPr>
                  <w:rFonts w:ascii="Times New Roman" w:cs="Times New Roman" w:eastAsia="Times New Roman" w:hAnsi="Times New Roman"/>
                  <w:sz w:val="16"/>
                  <w:szCs w:val="16"/>
                  <w:color w:val="0000FF"/>
                </w:rPr>
                <w:t>BioTools Inc. and certain of its officers and directors.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23"/>
                <w:szCs w:val="23"/>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9"/>
              </w:rPr>
            </w:pPr>
            <w:hyperlink r:id="rId503">
              <w:r>
                <w:rPr>
                  <w:rFonts w:ascii="Times New Roman" w:cs="Times New Roman" w:eastAsia="Times New Roman" w:hAnsi="Times New Roman"/>
                  <w:sz w:val="16"/>
                  <w:szCs w:val="16"/>
                  <w:color w:val="0000FF"/>
                  <w:w w:val="99"/>
                </w:rPr>
                <w:t>Lease, dated as of March 20, 2019, by and between AP3-SF3 CT North, LLC</w:t>
              </w:r>
            </w:hyperlink>
          </w:p>
        </w:tc>
        <w:tc>
          <w:tcPr>
            <w:tcW w:w="20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03">
              <w:r>
                <w:rPr>
                  <w:rFonts w:ascii="Times New Roman" w:cs="Times New Roman" w:eastAsia="Times New Roman" w:hAnsi="Times New Roman"/>
                  <w:sz w:val="16"/>
                  <w:szCs w:val="16"/>
                  <w:color w:val="0000FF"/>
                </w:rPr>
                <w:t>and Standard BioTools Inc. (formerly Fluidigm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3"/>
                <w:szCs w:val="23"/>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w w:val="98"/>
              </w:rPr>
            </w:pPr>
            <w:hyperlink r:id="rId504">
              <w:r>
                <w:rPr>
                  <w:rFonts w:ascii="Times New Roman" w:cs="Times New Roman" w:eastAsia="Times New Roman" w:hAnsi="Times New Roman"/>
                  <w:sz w:val="16"/>
                  <w:szCs w:val="16"/>
                  <w:color w:val="0000FF"/>
                  <w:w w:val="98"/>
                </w:rPr>
                <w:t>First Amendment to Lease, dated as of April 26, 2019, by and between AP3-SF3</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04">
              <w:r>
                <w:rPr>
                  <w:rFonts w:ascii="Times New Roman" w:cs="Times New Roman" w:eastAsia="Times New Roman" w:hAnsi="Times New Roman"/>
                  <w:sz w:val="16"/>
                  <w:szCs w:val="16"/>
                  <w:color w:val="0000FF"/>
                </w:rPr>
                <w:t>CT North, LLC and Standard BioTools Inc. (formerly Fluidigm Corporation).</w:t>
              </w:r>
            </w:hyperlink>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23"/>
                <w:szCs w:val="23"/>
                <w:color w:val="auto"/>
              </w:rPr>
            </w:pPr>
          </w:p>
        </w:tc>
        <w:tc>
          <w:tcPr>
            <w:tcW w:w="490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6"/>
                <w:szCs w:val="16"/>
                <w:color w:val="0000FF"/>
                <w:w w:val="98"/>
              </w:rPr>
            </w:pPr>
            <w:hyperlink r:id="rId505">
              <w:r>
                <w:rPr>
                  <w:rFonts w:ascii="Times New Roman" w:cs="Times New Roman" w:eastAsia="Times New Roman" w:hAnsi="Times New Roman"/>
                  <w:sz w:val="16"/>
                  <w:szCs w:val="16"/>
                  <w:color w:val="0000FF"/>
                  <w:w w:val="98"/>
                </w:rPr>
                <w:t>Second Amendment to Lease, dated as of February 25, 2020, by and between</w:t>
              </w:r>
            </w:hyperlink>
          </w:p>
        </w:tc>
        <w:tc>
          <w:tcPr>
            <w:tcW w:w="20" w:type="dxa"/>
            <w:vAlign w:val="bottom"/>
            <w:tcBorders>
              <w:bottom w:val="single" w:sz="8" w:color="0000FF"/>
            </w:tcBorders>
          </w:tcPr>
          <w:p>
            <w:pPr>
              <w:spacing w:after="0"/>
              <w:rPr>
                <w:sz w:val="23"/>
                <w:szCs w:val="23"/>
                <w:color w:val="auto"/>
              </w:rPr>
            </w:pPr>
          </w:p>
        </w:tc>
        <w:tc>
          <w:tcPr>
            <w:tcW w:w="22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80" w:type="dxa"/>
            <w:vAlign w:val="bottom"/>
            <w:tcBorders>
              <w:bottom w:val="single" w:sz="8" w:color="0000FF"/>
            </w:tcBorders>
            <w:gridSpan w:val="18"/>
          </w:tcPr>
          <w:p>
            <w:pPr>
              <w:spacing w:after="0" w:line="169" w:lineRule="exact"/>
              <w:rPr>
                <w:rFonts w:ascii="Times New Roman" w:cs="Times New Roman" w:eastAsia="Times New Roman" w:hAnsi="Times New Roman"/>
                <w:sz w:val="16"/>
                <w:szCs w:val="16"/>
                <w:color w:val="0000FF"/>
                <w:w w:val="98"/>
              </w:rPr>
            </w:pPr>
            <w:hyperlink r:id="rId505">
              <w:r>
                <w:rPr>
                  <w:rFonts w:ascii="Times New Roman" w:cs="Times New Roman" w:eastAsia="Times New Roman" w:hAnsi="Times New Roman"/>
                  <w:sz w:val="16"/>
                  <w:szCs w:val="16"/>
                  <w:color w:val="0000FF"/>
                  <w:w w:val="98"/>
                </w:rPr>
                <w:t>AP3-SF3 CT North, LLC and Standard BioTools Inc. (formerly Fluidigm</w:t>
              </w:r>
            </w:hyperlink>
          </w:p>
        </w:tc>
        <w:tc>
          <w:tcPr>
            <w:tcW w:w="4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6"/>
              </w:rPr>
            </w:pPr>
            <w:hyperlink r:id="rId505">
              <w:r>
                <w:rPr>
                  <w:rFonts w:ascii="Times New Roman" w:cs="Times New Roman" w:eastAsia="Times New Roman" w:hAnsi="Times New Roman"/>
                  <w:sz w:val="16"/>
                  <w:szCs w:val="16"/>
                  <w:color w:val="0000FF"/>
                  <w:w w:val="96"/>
                </w:rPr>
                <w:t>Corporation).</w:t>
              </w:r>
            </w:hyperlink>
          </w:p>
        </w:tc>
        <w:tc>
          <w:tcPr>
            <w:tcW w:w="428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23"/>
                <w:szCs w:val="23"/>
                <w:color w:val="auto"/>
              </w:rPr>
            </w:pPr>
          </w:p>
        </w:tc>
        <w:tc>
          <w:tcPr>
            <w:tcW w:w="506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9"/>
              </w:rPr>
            </w:pPr>
            <w:hyperlink r:id="rId506">
              <w:r>
                <w:rPr>
                  <w:rFonts w:ascii="Times New Roman" w:cs="Times New Roman" w:eastAsia="Times New Roman" w:hAnsi="Times New Roman"/>
                  <w:sz w:val="16"/>
                  <w:szCs w:val="16"/>
                  <w:color w:val="0000FF"/>
                  <w:w w:val="99"/>
                </w:rPr>
                <w:t>Office Lease, dated as of August 17, 2015, by and among Rodick Equities Inc.,</w:t>
              </w:r>
            </w:hyperlink>
          </w:p>
        </w:tc>
        <w:tc>
          <w:tcPr>
            <w:tcW w:w="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40" w:type="dxa"/>
            <w:vAlign w:val="bottom"/>
            <w:tcBorders>
              <w:bottom w:val="single" w:sz="8" w:color="0000FF"/>
            </w:tcBorders>
            <w:gridSpan w:val="25"/>
          </w:tcPr>
          <w:p>
            <w:pPr>
              <w:spacing w:after="0" w:line="169" w:lineRule="exact"/>
              <w:rPr>
                <w:rFonts w:ascii="Times New Roman" w:cs="Times New Roman" w:eastAsia="Times New Roman" w:hAnsi="Times New Roman"/>
                <w:sz w:val="16"/>
                <w:szCs w:val="16"/>
                <w:color w:val="0000FF"/>
                <w:w w:val="99"/>
              </w:rPr>
            </w:pPr>
            <w:hyperlink r:id="rId506">
              <w:r>
                <w:rPr>
                  <w:rFonts w:ascii="Times New Roman" w:cs="Times New Roman" w:eastAsia="Times New Roman" w:hAnsi="Times New Roman"/>
                  <w:sz w:val="16"/>
                  <w:szCs w:val="16"/>
                  <w:color w:val="0000FF"/>
                  <w:w w:val="99"/>
                </w:rPr>
                <w:t>Standard BioTools Canada Inc. (formerly Fluidigm Canada Inc.), and Standard</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bottom w:val="single" w:sz="8" w:color="0000FF"/>
            </w:tcBorders>
            <w:gridSpan w:val="8"/>
          </w:tcPr>
          <w:p>
            <w:pPr>
              <w:spacing w:after="0" w:line="169" w:lineRule="exact"/>
              <w:rPr>
                <w:rFonts w:ascii="Times New Roman" w:cs="Times New Roman" w:eastAsia="Times New Roman" w:hAnsi="Times New Roman"/>
                <w:sz w:val="16"/>
                <w:szCs w:val="16"/>
                <w:color w:val="0000FF"/>
                <w:w w:val="97"/>
              </w:rPr>
            </w:pPr>
            <w:hyperlink r:id="rId506">
              <w:r>
                <w:rPr>
                  <w:rFonts w:ascii="Times New Roman" w:cs="Times New Roman" w:eastAsia="Times New Roman" w:hAnsi="Times New Roman"/>
                  <w:sz w:val="16"/>
                  <w:szCs w:val="16"/>
                  <w:color w:val="0000FF"/>
                  <w:w w:val="97"/>
                </w:rPr>
                <w:t>BioTools Inc. (formerly Fluidigm Corporation).</w:t>
              </w:r>
            </w:hyperlink>
          </w:p>
        </w:tc>
        <w:tc>
          <w:tcPr>
            <w:tcW w:w="20" w:type="dxa"/>
            <w:vAlign w:val="bottom"/>
            <w:tcBorders>
              <w:bottom w:val="single" w:sz="8" w:color="0000EE"/>
            </w:tcBorders>
          </w:tcPr>
          <w:p>
            <w:pPr>
              <w:spacing w:after="0"/>
              <w:rPr>
                <w:sz w:val="14"/>
                <w:szCs w:val="14"/>
                <w:color w:val="auto"/>
              </w:rPr>
            </w:pPr>
          </w:p>
        </w:tc>
        <w:tc>
          <w:tcPr>
            <w:tcW w:w="21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tcPr>
          <w:p>
            <w:pPr>
              <w:spacing w:after="0"/>
              <w:rPr>
                <w:sz w:val="23"/>
                <w:szCs w:val="23"/>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8"/>
              </w:rPr>
            </w:pPr>
            <w:hyperlink r:id="rId507">
              <w:r>
                <w:rPr>
                  <w:rFonts w:ascii="Times New Roman" w:cs="Times New Roman" w:eastAsia="Times New Roman" w:hAnsi="Times New Roman"/>
                  <w:sz w:val="16"/>
                  <w:szCs w:val="16"/>
                  <w:color w:val="0000FF"/>
                  <w:w w:val="98"/>
                </w:rPr>
                <w:t>Tenancy for Flatted Factory Space, dated as of July 27, 2005, by and between</w:t>
              </w:r>
            </w:hyperlink>
          </w:p>
        </w:tc>
        <w:tc>
          <w:tcPr>
            <w:tcW w:w="20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Borders>
              <w:bottom w:val="single" w:sz="8" w:color="0000FF"/>
            </w:tcBorders>
            <w:gridSpan w:val="28"/>
          </w:tcPr>
          <w:p>
            <w:pPr>
              <w:spacing w:after="0" w:line="169" w:lineRule="exact"/>
              <w:rPr>
                <w:rFonts w:ascii="Times New Roman" w:cs="Times New Roman" w:eastAsia="Times New Roman" w:hAnsi="Times New Roman"/>
                <w:sz w:val="16"/>
                <w:szCs w:val="16"/>
                <w:color w:val="0000FF"/>
                <w:w w:val="98"/>
              </w:rPr>
            </w:pPr>
            <w:hyperlink r:id="rId507">
              <w:r>
                <w:rPr>
                  <w:rFonts w:ascii="Times New Roman" w:cs="Times New Roman" w:eastAsia="Times New Roman" w:hAnsi="Times New Roman"/>
                  <w:sz w:val="16"/>
                  <w:szCs w:val="16"/>
                  <w:color w:val="0000FF"/>
                  <w:w w:val="98"/>
                </w:rPr>
                <w:t>JTC Corporation and Standard BioTools Singapore Pte. Ltd. (formerly Fluidigm</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07">
              <w:r>
                <w:rPr>
                  <w:rFonts w:ascii="Times New Roman" w:cs="Times New Roman" w:eastAsia="Times New Roman" w:hAnsi="Times New Roman"/>
                  <w:sz w:val="16"/>
                  <w:szCs w:val="16"/>
                  <w:color w:val="0000FF"/>
                </w:rPr>
                <w:t>Singapore Pte. Ltd.).</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23"/>
                <w:szCs w:val="23"/>
                <w:color w:val="auto"/>
              </w:rPr>
            </w:pPr>
          </w:p>
        </w:tc>
        <w:tc>
          <w:tcPr>
            <w:tcW w:w="468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8"/>
              </w:rPr>
            </w:pPr>
            <w:hyperlink r:id="rId508">
              <w:r>
                <w:rPr>
                  <w:rFonts w:ascii="Times New Roman" w:cs="Times New Roman" w:eastAsia="Times New Roman" w:hAnsi="Times New Roman"/>
                  <w:sz w:val="16"/>
                  <w:szCs w:val="16"/>
                  <w:color w:val="0000FF"/>
                  <w:w w:val="98"/>
                </w:rPr>
                <w:t>Offer of Tenancy for Facility Lease, dated as of October 14, 2013, by and</w:t>
              </w:r>
            </w:hyperlink>
          </w:p>
        </w:tc>
        <w:tc>
          <w:tcPr>
            <w:tcW w:w="46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bottom w:val="single" w:sz="8" w:color="0000FF"/>
            </w:tcBorders>
            <w:gridSpan w:val="23"/>
          </w:tcPr>
          <w:p>
            <w:pPr>
              <w:spacing w:after="0" w:line="169" w:lineRule="exact"/>
              <w:rPr>
                <w:rFonts w:ascii="Times New Roman" w:cs="Times New Roman" w:eastAsia="Times New Roman" w:hAnsi="Times New Roman"/>
                <w:sz w:val="16"/>
                <w:szCs w:val="16"/>
                <w:color w:val="0000FF"/>
                <w:w w:val="98"/>
              </w:rPr>
            </w:pPr>
            <w:hyperlink r:id="rId508">
              <w:r>
                <w:rPr>
                  <w:rFonts w:ascii="Times New Roman" w:cs="Times New Roman" w:eastAsia="Times New Roman" w:hAnsi="Times New Roman"/>
                  <w:sz w:val="16"/>
                  <w:szCs w:val="16"/>
                  <w:color w:val="0000FF"/>
                  <w:w w:val="98"/>
                </w:rPr>
                <w:t>between Standard BioTools Singapore Pte. Ltd. (formerly Fluidigm Singapore</w:t>
              </w:r>
            </w:hyperlink>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20" w:type="dxa"/>
            <w:vAlign w:val="bottom"/>
            <w:tcBorders>
              <w:bottom w:val="single" w:sz="8" w:color="0000FF"/>
            </w:tcBorders>
            <w:gridSpan w:val="24"/>
          </w:tcPr>
          <w:p>
            <w:pPr>
              <w:spacing w:after="0" w:line="169" w:lineRule="exact"/>
              <w:rPr>
                <w:rFonts w:ascii="Times New Roman" w:cs="Times New Roman" w:eastAsia="Times New Roman" w:hAnsi="Times New Roman"/>
                <w:sz w:val="16"/>
                <w:szCs w:val="16"/>
                <w:color w:val="0000FF"/>
                <w:w w:val="98"/>
              </w:rPr>
            </w:pPr>
            <w:hyperlink r:id="rId508">
              <w:r>
                <w:rPr>
                  <w:rFonts w:ascii="Times New Roman" w:cs="Times New Roman" w:eastAsia="Times New Roman" w:hAnsi="Times New Roman"/>
                  <w:sz w:val="16"/>
                  <w:szCs w:val="16"/>
                  <w:color w:val="0000FF"/>
                  <w:w w:val="98"/>
                </w:rPr>
                <w:t>Pte. Ltd.) and SBC Institutional Trust Services (Singapore) Limited, as Trustee</w:t>
              </w:r>
            </w:hyperlink>
          </w:p>
        </w:tc>
        <w:tc>
          <w:tcPr>
            <w:tcW w:w="1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7"/>
              </w:rPr>
            </w:pPr>
            <w:hyperlink r:id="rId508">
              <w:r>
                <w:rPr>
                  <w:rFonts w:ascii="Times New Roman" w:cs="Times New Roman" w:eastAsia="Times New Roman" w:hAnsi="Times New Roman"/>
                  <w:sz w:val="16"/>
                  <w:szCs w:val="16"/>
                  <w:color w:val="0000FF"/>
                  <w:w w:val="97"/>
                </w:rPr>
                <w:t>of Ascendas Real Estate Investment Trust.</w:t>
              </w:r>
            </w:hyperlink>
          </w:p>
        </w:tc>
        <w:tc>
          <w:tcPr>
            <w:tcW w:w="20" w:type="dxa"/>
            <w:vAlign w:val="bottom"/>
            <w:tcBorders>
              <w:bottom w:val="single" w:sz="8" w:color="0000EE"/>
            </w:tcBorders>
          </w:tcPr>
          <w:p>
            <w:pPr>
              <w:spacing w:after="0"/>
              <w:rPr>
                <w:sz w:val="14"/>
                <w:szCs w:val="14"/>
                <w:color w:val="auto"/>
              </w:rPr>
            </w:pPr>
          </w:p>
        </w:tc>
        <w:tc>
          <w:tcPr>
            <w:tcW w:w="244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Pr>
          <w:p>
            <w:pPr>
              <w:spacing w:after="0"/>
              <w:rPr>
                <w:sz w:val="23"/>
                <w:szCs w:val="23"/>
                <w:color w:val="auto"/>
              </w:rPr>
            </w:pPr>
          </w:p>
        </w:tc>
        <w:tc>
          <w:tcPr>
            <w:tcW w:w="494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8"/>
              </w:rPr>
            </w:pPr>
            <w:hyperlink r:id="rId509">
              <w:r>
                <w:rPr>
                  <w:rFonts w:ascii="Times New Roman" w:cs="Times New Roman" w:eastAsia="Times New Roman" w:hAnsi="Times New Roman"/>
                  <w:sz w:val="16"/>
                  <w:szCs w:val="16"/>
                  <w:color w:val="0000FF"/>
                  <w:w w:val="98"/>
                </w:rPr>
                <w:t>Offer of Tenancy for Lease of Additional Space, dated as of April 2, 2015, by</w:t>
              </w:r>
            </w:hyperlink>
          </w:p>
        </w:tc>
        <w:tc>
          <w:tcPr>
            <w:tcW w:w="20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tcBorders>
              <w:bottom w:val="single" w:sz="8" w:color="0000FF"/>
            </w:tcBorders>
            <w:gridSpan w:val="17"/>
          </w:tcPr>
          <w:p>
            <w:pPr>
              <w:spacing w:after="0" w:line="169" w:lineRule="exact"/>
              <w:rPr>
                <w:rFonts w:ascii="Times New Roman" w:cs="Times New Roman" w:eastAsia="Times New Roman" w:hAnsi="Times New Roman"/>
                <w:sz w:val="16"/>
                <w:szCs w:val="16"/>
                <w:color w:val="0000FF"/>
                <w:w w:val="99"/>
              </w:rPr>
            </w:pPr>
            <w:hyperlink r:id="rId509">
              <w:r>
                <w:rPr>
                  <w:rFonts w:ascii="Times New Roman" w:cs="Times New Roman" w:eastAsia="Times New Roman" w:hAnsi="Times New Roman"/>
                  <w:sz w:val="16"/>
                  <w:szCs w:val="16"/>
                  <w:color w:val="0000FF"/>
                  <w:w w:val="99"/>
                </w:rPr>
                <w:t>and between Standard BioTools Singapore Pte. Ltd. (formerly Fluidigm</w:t>
              </w:r>
            </w:hyperlink>
          </w:p>
        </w:tc>
        <w:tc>
          <w:tcPr>
            <w:tcW w:w="5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9"/>
          </w:tcPr>
          <w:p>
            <w:pPr>
              <w:spacing w:after="0" w:line="169" w:lineRule="exact"/>
              <w:rPr>
                <w:rFonts w:ascii="Times New Roman" w:cs="Times New Roman" w:eastAsia="Times New Roman" w:hAnsi="Times New Roman"/>
                <w:sz w:val="16"/>
                <w:szCs w:val="16"/>
                <w:color w:val="0000FF"/>
                <w:w w:val="98"/>
              </w:rPr>
            </w:pPr>
            <w:hyperlink r:id="rId509">
              <w:r>
                <w:rPr>
                  <w:rFonts w:ascii="Times New Roman" w:cs="Times New Roman" w:eastAsia="Times New Roman" w:hAnsi="Times New Roman"/>
                  <w:sz w:val="16"/>
                  <w:szCs w:val="16"/>
                  <w:color w:val="0000FF"/>
                  <w:w w:val="98"/>
                </w:rPr>
                <w:t>Singapore Pte. Ltd.) and HSBC Institutional Trust Services (Singapore) Limited,</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80" w:type="dxa"/>
            <w:vAlign w:val="bottom"/>
            <w:tcBorders>
              <w:bottom w:val="single" w:sz="8" w:color="0000FF"/>
            </w:tcBorders>
            <w:gridSpan w:val="12"/>
          </w:tcPr>
          <w:p>
            <w:pPr>
              <w:spacing w:after="0" w:line="169" w:lineRule="exact"/>
              <w:rPr>
                <w:rFonts w:ascii="Times New Roman" w:cs="Times New Roman" w:eastAsia="Times New Roman" w:hAnsi="Times New Roman"/>
                <w:sz w:val="16"/>
                <w:szCs w:val="16"/>
                <w:color w:val="0000FF"/>
                <w:w w:val="97"/>
              </w:rPr>
            </w:pPr>
            <w:hyperlink r:id="rId509">
              <w:r>
                <w:rPr>
                  <w:rFonts w:ascii="Times New Roman" w:cs="Times New Roman" w:eastAsia="Times New Roman" w:hAnsi="Times New Roman"/>
                  <w:sz w:val="16"/>
                  <w:szCs w:val="16"/>
                  <w:color w:val="0000FF"/>
                  <w:w w:val="97"/>
                </w:rPr>
                <w:t>as Trustee of Ascendas Real Estate Investment Trust.</w:t>
              </w:r>
            </w:hyperlink>
          </w:p>
        </w:tc>
        <w:tc>
          <w:tcPr>
            <w:tcW w:w="17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501"/>
        </w:trPr>
        <w:tc>
          <w:tcPr>
            <w:tcW w:w="780" w:type="dxa"/>
            <w:vAlign w:val="bottom"/>
          </w:tcPr>
          <w:p>
            <w:pPr>
              <w:spacing w:after="0"/>
              <w:rPr>
                <w:sz w:val="24"/>
                <w:szCs w:val="24"/>
                <w:color w:val="auto"/>
              </w:rPr>
            </w:pPr>
          </w:p>
        </w:tc>
        <w:tc>
          <w:tcPr>
            <w:tcW w:w="5120" w:type="dxa"/>
            <w:vAlign w:val="bottom"/>
            <w:gridSpan w:val="24"/>
          </w:tcPr>
          <w:p>
            <w:pPr>
              <w:jc w:val="right"/>
              <w:ind w:right="20"/>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8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2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98"/>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2/4/2014</w:t>
            </w:r>
          </w:p>
        </w:tc>
        <w:tc>
          <w:tcPr>
            <w:tcW w:w="0" w:type="dxa"/>
            <w:vAlign w:val="bottom"/>
          </w:tcPr>
          <w:p>
            <w:pPr>
              <w:spacing w:after="0"/>
              <w:rPr>
                <w:sz w:val="1"/>
                <w:szCs w:val="1"/>
                <w:color w:val="auto"/>
              </w:rPr>
            </w:pPr>
          </w:p>
        </w:tc>
      </w:tr>
      <w:tr>
        <w:trPr>
          <w:trHeight w:val="658"/>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2/4/2014</w:t>
            </w:r>
          </w:p>
        </w:tc>
        <w:tc>
          <w:tcPr>
            <w:tcW w:w="0" w:type="dxa"/>
            <w:vAlign w:val="bottom"/>
          </w:tcPr>
          <w:p>
            <w:pPr>
              <w:spacing w:after="0"/>
              <w:rPr>
                <w:sz w:val="1"/>
                <w:szCs w:val="1"/>
                <w:color w:val="auto"/>
              </w:rPr>
            </w:pPr>
          </w:p>
        </w:tc>
      </w:tr>
      <w:tr>
        <w:trPr>
          <w:trHeight w:val="319"/>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11/22/2019</w:t>
            </w:r>
          </w:p>
        </w:tc>
        <w:tc>
          <w:tcPr>
            <w:tcW w:w="0" w:type="dxa"/>
            <w:vAlign w:val="bottom"/>
          </w:tcPr>
          <w:p>
            <w:pPr>
              <w:spacing w:after="0"/>
              <w:rPr>
                <w:sz w:val="1"/>
                <w:szCs w:val="1"/>
                <w:color w:val="auto"/>
              </w:rPr>
            </w:pPr>
          </w:p>
        </w:tc>
      </w:tr>
      <w:tr>
        <w:trPr>
          <w:trHeight w:val="485"/>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11/22/2019</w:t>
            </w:r>
          </w:p>
        </w:tc>
        <w:tc>
          <w:tcPr>
            <w:tcW w:w="0" w:type="dxa"/>
            <w:vAlign w:val="bottom"/>
          </w:tcPr>
          <w:p>
            <w:pPr>
              <w:spacing w:after="0"/>
              <w:rPr>
                <w:sz w:val="1"/>
                <w:szCs w:val="1"/>
                <w:color w:val="auto"/>
              </w:rPr>
            </w:pPr>
          </w:p>
        </w:tc>
      </w:tr>
      <w:tr>
        <w:trPr>
          <w:trHeight w:val="319"/>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2/26/2021</w:t>
            </w:r>
          </w:p>
        </w:tc>
        <w:tc>
          <w:tcPr>
            <w:tcW w:w="0" w:type="dxa"/>
            <w:vAlign w:val="bottom"/>
          </w:tcPr>
          <w:p>
            <w:pPr>
              <w:spacing w:after="0"/>
              <w:rPr>
                <w:sz w:val="1"/>
                <w:szCs w:val="1"/>
                <w:color w:val="auto"/>
              </w:rPr>
            </w:pPr>
          </w:p>
        </w:tc>
      </w:tr>
      <w:tr>
        <w:trPr>
          <w:trHeight w:val="674"/>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3/29/2021</w:t>
            </w:r>
          </w:p>
        </w:tc>
        <w:tc>
          <w:tcPr>
            <w:tcW w:w="0" w:type="dxa"/>
            <w:vAlign w:val="bottom"/>
          </w:tcPr>
          <w:p>
            <w:pPr>
              <w:spacing w:after="0"/>
              <w:rPr>
                <w:sz w:val="1"/>
                <w:szCs w:val="1"/>
                <w:color w:val="auto"/>
              </w:rPr>
            </w:pPr>
          </w:p>
        </w:tc>
      </w:tr>
      <w:tr>
        <w:trPr>
          <w:trHeight w:val="296"/>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S-1/A</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333-170965</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1/28/2011</w:t>
            </w:r>
          </w:p>
        </w:tc>
        <w:tc>
          <w:tcPr>
            <w:tcW w:w="0" w:type="dxa"/>
            <w:vAlign w:val="bottom"/>
          </w:tcPr>
          <w:p>
            <w:pPr>
              <w:spacing w:after="0"/>
              <w:rPr>
                <w:sz w:val="1"/>
                <w:szCs w:val="1"/>
                <w:color w:val="auto"/>
              </w:rPr>
            </w:pPr>
          </w:p>
        </w:tc>
      </w:tr>
      <w:tr>
        <w:trPr>
          <w:trHeight w:val="674"/>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3/1/2024</w:t>
            </w:r>
          </w:p>
        </w:tc>
        <w:tc>
          <w:tcPr>
            <w:tcW w:w="0" w:type="dxa"/>
            <w:vAlign w:val="bottom"/>
          </w:tcPr>
          <w:p>
            <w:pPr>
              <w:spacing w:after="0"/>
              <w:rPr>
                <w:sz w:val="1"/>
                <w:szCs w:val="1"/>
                <w:color w:val="auto"/>
              </w:rPr>
            </w:pPr>
          </w:p>
        </w:tc>
      </w:tr>
      <w:tr>
        <w:trPr>
          <w:trHeight w:val="485"/>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5/7/2019</w:t>
            </w:r>
          </w:p>
        </w:tc>
        <w:tc>
          <w:tcPr>
            <w:tcW w:w="0" w:type="dxa"/>
            <w:vAlign w:val="bottom"/>
          </w:tcPr>
          <w:p>
            <w:pPr>
              <w:spacing w:after="0"/>
              <w:rPr>
                <w:sz w:val="1"/>
                <w:szCs w:val="1"/>
                <w:color w:val="auto"/>
              </w:rPr>
            </w:pPr>
          </w:p>
        </w:tc>
      </w:tr>
      <w:tr>
        <w:trPr>
          <w:trHeight w:val="485"/>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5/7/2019</w:t>
            </w:r>
          </w:p>
        </w:tc>
        <w:tc>
          <w:tcPr>
            <w:tcW w:w="0" w:type="dxa"/>
            <w:vAlign w:val="bottom"/>
          </w:tcPr>
          <w:p>
            <w:pPr>
              <w:spacing w:after="0"/>
              <w:rPr>
                <w:sz w:val="1"/>
                <w:szCs w:val="1"/>
                <w:color w:val="auto"/>
              </w:rPr>
            </w:pPr>
          </w:p>
        </w:tc>
      </w:tr>
      <w:tr>
        <w:trPr>
          <w:trHeight w:val="485"/>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10.2B</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2/25/2021</w:t>
            </w:r>
          </w:p>
        </w:tc>
        <w:tc>
          <w:tcPr>
            <w:tcW w:w="0" w:type="dxa"/>
            <w:vAlign w:val="bottom"/>
          </w:tcPr>
          <w:p>
            <w:pPr>
              <w:spacing w:after="0"/>
              <w:rPr>
                <w:sz w:val="1"/>
                <w:szCs w:val="1"/>
                <w:color w:val="auto"/>
              </w:rPr>
            </w:pPr>
          </w:p>
        </w:tc>
      </w:tr>
      <w:tr>
        <w:trPr>
          <w:trHeight w:val="674"/>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11/9/2015</w:t>
            </w:r>
          </w:p>
        </w:tc>
        <w:tc>
          <w:tcPr>
            <w:tcW w:w="0" w:type="dxa"/>
            <w:vAlign w:val="bottom"/>
          </w:tcPr>
          <w:p>
            <w:pPr>
              <w:spacing w:after="0"/>
              <w:rPr>
                <w:sz w:val="1"/>
                <w:szCs w:val="1"/>
                <w:color w:val="auto"/>
              </w:rPr>
            </w:pPr>
          </w:p>
        </w:tc>
      </w:tr>
      <w:tr>
        <w:trPr>
          <w:trHeight w:val="674"/>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333-170965</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10.20</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12/3/2010</w:t>
            </w:r>
          </w:p>
        </w:tc>
        <w:tc>
          <w:tcPr>
            <w:tcW w:w="0" w:type="dxa"/>
            <w:vAlign w:val="bottom"/>
          </w:tcPr>
          <w:p>
            <w:pPr>
              <w:spacing w:after="0"/>
              <w:rPr>
                <w:sz w:val="1"/>
                <w:szCs w:val="1"/>
                <w:color w:val="auto"/>
              </w:rPr>
            </w:pPr>
          </w:p>
        </w:tc>
      </w:tr>
      <w:tr>
        <w:trPr>
          <w:trHeight w:val="674"/>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3/12/2014</w:t>
            </w:r>
          </w:p>
        </w:tc>
        <w:tc>
          <w:tcPr>
            <w:tcW w:w="0" w:type="dxa"/>
            <w:vAlign w:val="bottom"/>
          </w:tcPr>
          <w:p>
            <w:pPr>
              <w:spacing w:after="0"/>
              <w:rPr>
                <w:sz w:val="1"/>
                <w:szCs w:val="1"/>
                <w:color w:val="auto"/>
              </w:rPr>
            </w:pPr>
          </w:p>
        </w:tc>
      </w:tr>
      <w:tr>
        <w:trPr>
          <w:trHeight w:val="863"/>
        </w:trPr>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2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8/10/2015</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4"/>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21"/>
          </w:tcPr>
          <w:p>
            <w:pPr>
              <w:ind w:left="1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10.10</w:t>
            </w:r>
          </w:p>
        </w:tc>
        <w:tc>
          <w:tcPr>
            <w:tcW w:w="140" w:type="dxa"/>
            <w:vAlign w:val="bottom"/>
          </w:tcPr>
          <w:p>
            <w:pPr>
              <w:spacing w:after="0"/>
              <w:rPr>
                <w:sz w:val="12"/>
                <w:szCs w:val="12"/>
                <w:color w:val="auto"/>
              </w:rPr>
            </w:pPr>
          </w:p>
        </w:tc>
        <w:tc>
          <w:tcPr>
            <w:tcW w:w="4880" w:type="dxa"/>
            <w:vAlign w:val="bottom"/>
            <w:tcBorders>
              <w:bottom w:val="single" w:sz="8" w:color="0000FF"/>
            </w:tcBorders>
            <w:gridSpan w:val="21"/>
          </w:tcPr>
          <w:p>
            <w:pPr>
              <w:spacing w:after="0" w:line="145" w:lineRule="exact"/>
              <w:rPr>
                <w:rFonts w:ascii="Times New Roman" w:cs="Times New Roman" w:eastAsia="Times New Roman" w:hAnsi="Times New Roman"/>
                <w:sz w:val="16"/>
                <w:szCs w:val="16"/>
                <w:color w:val="0000FF"/>
                <w:w w:val="99"/>
              </w:rPr>
            </w:pPr>
            <w:hyperlink r:id="rId511">
              <w:r>
                <w:rPr>
                  <w:rFonts w:ascii="Times New Roman" w:cs="Times New Roman" w:eastAsia="Times New Roman" w:hAnsi="Times New Roman"/>
                  <w:sz w:val="16"/>
                  <w:szCs w:val="16"/>
                  <w:color w:val="0000FF"/>
                  <w:w w:val="99"/>
                </w:rPr>
                <w:t>Lease Agreement, dated as of November 19, 2020, by and between Standard</w:t>
              </w:r>
            </w:hyperlink>
          </w:p>
        </w:tc>
        <w:tc>
          <w:tcPr>
            <w:tcW w:w="260" w:type="dxa"/>
            <w:vAlign w:val="bottom"/>
            <w:gridSpan w:val="8"/>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line="145" w:lineRule="exact"/>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w w:val="98"/>
              </w:rPr>
              <w:t>8/6/2021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9"/>
          </w:tcPr>
          <w:p>
            <w:pPr>
              <w:spacing w:after="0" w:line="169" w:lineRule="exact"/>
              <w:rPr>
                <w:rFonts w:ascii="Times New Roman" w:cs="Times New Roman" w:eastAsia="Times New Roman" w:hAnsi="Times New Roman"/>
                <w:sz w:val="16"/>
                <w:szCs w:val="16"/>
                <w:color w:val="0000FF"/>
                <w:w w:val="98"/>
              </w:rPr>
            </w:pPr>
            <w:hyperlink r:id="rId511">
              <w:r>
                <w:rPr>
                  <w:rFonts w:ascii="Times New Roman" w:cs="Times New Roman" w:eastAsia="Times New Roman" w:hAnsi="Times New Roman"/>
                  <w:sz w:val="16"/>
                  <w:szCs w:val="16"/>
                  <w:color w:val="0000FF"/>
                  <w:w w:val="98"/>
                </w:rPr>
                <w:t>BioTools Singapore Pte. Ltd. (formerly Fluidigm Singapore Pte. Ltd.) and HSBC</w:t>
              </w:r>
            </w:hyperlink>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bottom w:val="single" w:sz="8" w:color="0000FF"/>
            </w:tcBorders>
            <w:gridSpan w:val="22"/>
          </w:tcPr>
          <w:p>
            <w:pPr>
              <w:spacing w:after="0" w:line="169" w:lineRule="exact"/>
              <w:rPr>
                <w:rFonts w:ascii="Times New Roman" w:cs="Times New Roman" w:eastAsia="Times New Roman" w:hAnsi="Times New Roman"/>
                <w:sz w:val="16"/>
                <w:szCs w:val="16"/>
                <w:color w:val="0000FF"/>
                <w:w w:val="99"/>
              </w:rPr>
            </w:pPr>
            <w:hyperlink r:id="rId511">
              <w:r>
                <w:rPr>
                  <w:rFonts w:ascii="Times New Roman" w:cs="Times New Roman" w:eastAsia="Times New Roman" w:hAnsi="Times New Roman"/>
                  <w:sz w:val="16"/>
                  <w:szCs w:val="16"/>
                  <w:color w:val="0000FF"/>
                  <w:w w:val="99"/>
                </w:rPr>
                <w:t>Institutional Trust Services (Singapore) Limited as Trustee of Ascendas Real</w:t>
              </w:r>
            </w:hyperlink>
          </w:p>
        </w:tc>
        <w:tc>
          <w:tcPr>
            <w:tcW w:w="2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8"/>
              </w:rPr>
            </w:pPr>
            <w:hyperlink r:id="rId511">
              <w:r>
                <w:rPr>
                  <w:rFonts w:ascii="Times New Roman" w:cs="Times New Roman" w:eastAsia="Times New Roman" w:hAnsi="Times New Roman"/>
                  <w:sz w:val="16"/>
                  <w:szCs w:val="16"/>
                  <w:color w:val="0000FF"/>
                  <w:w w:val="98"/>
                </w:rPr>
                <w:t>Estate Investment Trust.</w:t>
              </w:r>
            </w:hyperlink>
          </w:p>
        </w:tc>
        <w:tc>
          <w:tcPr>
            <w:tcW w:w="3580" w:type="dxa"/>
            <w:vAlign w:val="bottom"/>
            <w:gridSpan w:val="24"/>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140" w:type="dxa"/>
            <w:vAlign w:val="bottom"/>
          </w:tcPr>
          <w:p>
            <w:pPr>
              <w:spacing w:after="0"/>
              <w:rPr>
                <w:sz w:val="23"/>
                <w:szCs w:val="23"/>
                <w:color w:val="auto"/>
              </w:rPr>
            </w:pPr>
          </w:p>
        </w:tc>
        <w:tc>
          <w:tcPr>
            <w:tcW w:w="506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9"/>
              </w:rPr>
            </w:pPr>
            <w:hyperlink r:id="rId512">
              <w:r>
                <w:rPr>
                  <w:rFonts w:ascii="Times New Roman" w:cs="Times New Roman" w:eastAsia="Times New Roman" w:hAnsi="Times New Roman"/>
                  <w:sz w:val="16"/>
                  <w:szCs w:val="16"/>
                  <w:color w:val="0000FF"/>
                  <w:w w:val="99"/>
                </w:rPr>
                <w:t>Lease Agreement, dated as of June 8, 2021, by and between Standard BioTools</w:t>
              </w:r>
            </w:hyperlink>
          </w:p>
        </w:tc>
        <w:tc>
          <w:tcPr>
            <w:tcW w:w="8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8/6/2021</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w w:val="98"/>
              </w:rPr>
            </w:pPr>
            <w:hyperlink r:id="rId512">
              <w:r>
                <w:rPr>
                  <w:rFonts w:ascii="Times New Roman" w:cs="Times New Roman" w:eastAsia="Times New Roman" w:hAnsi="Times New Roman"/>
                  <w:sz w:val="16"/>
                  <w:szCs w:val="16"/>
                  <w:color w:val="0000FF"/>
                  <w:w w:val="98"/>
                </w:rPr>
                <w:t>Singapore Pte. Ltd. (formerly Fluidigm Singapore Pte. Ltd.) and HSBC</w:t>
              </w:r>
            </w:hyperlink>
          </w:p>
        </w:tc>
        <w:tc>
          <w:tcPr>
            <w:tcW w:w="600" w:type="dxa"/>
            <w:vAlign w:val="bottom"/>
            <w:gridSpan w:val="13"/>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bottom w:val="single" w:sz="8" w:color="0000FF"/>
            </w:tcBorders>
            <w:gridSpan w:val="22"/>
          </w:tcPr>
          <w:p>
            <w:pPr>
              <w:spacing w:after="0" w:line="169" w:lineRule="exact"/>
              <w:rPr>
                <w:rFonts w:ascii="Times New Roman" w:cs="Times New Roman" w:eastAsia="Times New Roman" w:hAnsi="Times New Roman"/>
                <w:sz w:val="16"/>
                <w:szCs w:val="16"/>
                <w:color w:val="0000FF"/>
                <w:w w:val="99"/>
              </w:rPr>
            </w:pPr>
            <w:hyperlink r:id="rId512">
              <w:r>
                <w:rPr>
                  <w:rFonts w:ascii="Times New Roman" w:cs="Times New Roman" w:eastAsia="Times New Roman" w:hAnsi="Times New Roman"/>
                  <w:sz w:val="16"/>
                  <w:szCs w:val="16"/>
                  <w:color w:val="0000FF"/>
                  <w:w w:val="99"/>
                </w:rPr>
                <w:t>Institutional Trust Services (Singapore) Limited as Trustee of Ascendas Real</w:t>
              </w:r>
            </w:hyperlink>
          </w:p>
        </w:tc>
        <w:tc>
          <w:tcPr>
            <w:tcW w:w="2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8"/>
              </w:rPr>
            </w:pPr>
            <w:hyperlink r:id="rId512">
              <w:r>
                <w:rPr>
                  <w:rFonts w:ascii="Times New Roman" w:cs="Times New Roman" w:eastAsia="Times New Roman" w:hAnsi="Times New Roman"/>
                  <w:sz w:val="16"/>
                  <w:szCs w:val="16"/>
                  <w:color w:val="0000FF"/>
                  <w:w w:val="98"/>
                </w:rPr>
                <w:t>Estate Investment Trust.</w:t>
              </w:r>
            </w:hyperlink>
          </w:p>
        </w:tc>
        <w:tc>
          <w:tcPr>
            <w:tcW w:w="3580" w:type="dxa"/>
            <w:vAlign w:val="bottom"/>
            <w:gridSpan w:val="24"/>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140" w:type="dxa"/>
            <w:vAlign w:val="bottom"/>
          </w:tcPr>
          <w:p>
            <w:pPr>
              <w:spacing w:after="0"/>
              <w:rPr>
                <w:sz w:val="23"/>
                <w:szCs w:val="23"/>
                <w:color w:val="auto"/>
              </w:rPr>
            </w:pPr>
          </w:p>
        </w:tc>
        <w:tc>
          <w:tcPr>
            <w:tcW w:w="486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9"/>
              </w:rPr>
            </w:pPr>
            <w:hyperlink r:id="rId513">
              <w:r>
                <w:rPr>
                  <w:rFonts w:ascii="Times New Roman" w:cs="Times New Roman" w:eastAsia="Times New Roman" w:hAnsi="Times New Roman"/>
                  <w:sz w:val="16"/>
                  <w:szCs w:val="16"/>
                  <w:color w:val="0000FF"/>
                  <w:w w:val="99"/>
                </w:rPr>
                <w:t>Lease Agreement, dated as of December 13, 2021, by and between Standard</w:t>
              </w:r>
            </w:hyperlink>
          </w:p>
        </w:tc>
        <w:tc>
          <w:tcPr>
            <w:tcW w:w="280" w:type="dxa"/>
            <w:vAlign w:val="bottom"/>
            <w:gridSpan w:val="9"/>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10.5D</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3/8/2022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9"/>
          </w:tcPr>
          <w:p>
            <w:pPr>
              <w:spacing w:after="0" w:line="169" w:lineRule="exact"/>
              <w:rPr>
                <w:rFonts w:ascii="Times New Roman" w:cs="Times New Roman" w:eastAsia="Times New Roman" w:hAnsi="Times New Roman"/>
                <w:sz w:val="16"/>
                <w:szCs w:val="16"/>
                <w:color w:val="0000FF"/>
                <w:w w:val="98"/>
              </w:rPr>
            </w:pPr>
            <w:hyperlink r:id="rId513">
              <w:r>
                <w:rPr>
                  <w:rFonts w:ascii="Times New Roman" w:cs="Times New Roman" w:eastAsia="Times New Roman" w:hAnsi="Times New Roman"/>
                  <w:sz w:val="16"/>
                  <w:szCs w:val="16"/>
                  <w:color w:val="0000FF"/>
                  <w:w w:val="98"/>
                </w:rPr>
                <w:t>BioTools Singapore Pte. Ltd. (formerly Fluidigm Singapore Pte. Ltd.) and HSBC</w:t>
              </w:r>
            </w:hyperlink>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tcBorders>
              <w:bottom w:val="single" w:sz="8" w:color="0000FF"/>
            </w:tcBorders>
            <w:gridSpan w:val="22"/>
          </w:tcPr>
          <w:p>
            <w:pPr>
              <w:spacing w:after="0" w:line="169" w:lineRule="exact"/>
              <w:rPr>
                <w:rFonts w:ascii="Times New Roman" w:cs="Times New Roman" w:eastAsia="Times New Roman" w:hAnsi="Times New Roman"/>
                <w:sz w:val="16"/>
                <w:szCs w:val="16"/>
                <w:color w:val="0000FF"/>
                <w:w w:val="99"/>
              </w:rPr>
            </w:pPr>
            <w:hyperlink r:id="rId513">
              <w:r>
                <w:rPr>
                  <w:rFonts w:ascii="Times New Roman" w:cs="Times New Roman" w:eastAsia="Times New Roman" w:hAnsi="Times New Roman"/>
                  <w:sz w:val="16"/>
                  <w:szCs w:val="16"/>
                  <w:color w:val="0000FF"/>
                  <w:w w:val="99"/>
                </w:rPr>
                <w:t>Institutional Trust Services (Singapore) Limited as Trustee of Ascendas Real</w:t>
              </w:r>
            </w:hyperlink>
          </w:p>
        </w:tc>
        <w:tc>
          <w:tcPr>
            <w:tcW w:w="240" w:type="dxa"/>
            <w:vAlign w:val="bottom"/>
            <w:gridSpan w:val="7"/>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bottom w:val="single" w:sz="8" w:color="0000FF"/>
            </w:tcBorders>
            <w:gridSpan w:val="4"/>
          </w:tcPr>
          <w:p>
            <w:pPr>
              <w:spacing w:after="0" w:line="169" w:lineRule="exact"/>
              <w:rPr>
                <w:rFonts w:ascii="Times New Roman" w:cs="Times New Roman" w:eastAsia="Times New Roman" w:hAnsi="Times New Roman"/>
                <w:sz w:val="16"/>
                <w:szCs w:val="16"/>
                <w:color w:val="0000FF"/>
                <w:w w:val="97"/>
              </w:rPr>
            </w:pPr>
            <w:hyperlink r:id="rId513">
              <w:r>
                <w:rPr>
                  <w:rFonts w:ascii="Times New Roman" w:cs="Times New Roman" w:eastAsia="Times New Roman" w:hAnsi="Times New Roman"/>
                  <w:sz w:val="16"/>
                  <w:szCs w:val="16"/>
                  <w:color w:val="0000FF"/>
                  <w:w w:val="97"/>
                </w:rPr>
                <w:t>Estate Investment Trust.</w:t>
              </w:r>
            </w:hyperlink>
          </w:p>
        </w:tc>
        <w:tc>
          <w:tcPr>
            <w:tcW w:w="20" w:type="dxa"/>
            <w:vAlign w:val="bottom"/>
            <w:tcBorders>
              <w:bottom w:val="single" w:sz="8" w:color="0000EE"/>
            </w:tcBorders>
          </w:tcPr>
          <w:p>
            <w:pPr>
              <w:spacing w:after="0"/>
              <w:rPr>
                <w:sz w:val="14"/>
                <w:szCs w:val="14"/>
                <w:color w:val="auto"/>
              </w:rPr>
            </w:pPr>
          </w:p>
        </w:tc>
        <w:tc>
          <w:tcPr>
            <w:tcW w:w="3580" w:type="dxa"/>
            <w:vAlign w:val="bottom"/>
            <w:gridSpan w:val="24"/>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Pr>
          <w:p>
            <w:pPr>
              <w:spacing w:after="0"/>
              <w:rPr>
                <w:sz w:val="23"/>
                <w:szCs w:val="23"/>
                <w:color w:val="auto"/>
              </w:rPr>
            </w:pPr>
          </w:p>
        </w:tc>
        <w:tc>
          <w:tcPr>
            <w:tcW w:w="504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9"/>
              </w:rPr>
            </w:pPr>
            <w:hyperlink r:id="rId514">
              <w:r>
                <w:rPr>
                  <w:rFonts w:ascii="Times New Roman" w:cs="Times New Roman" w:eastAsia="Times New Roman" w:hAnsi="Times New Roman"/>
                  <w:sz w:val="16"/>
                  <w:szCs w:val="16"/>
                  <w:color w:val="0000FF"/>
                  <w:w w:val="99"/>
                </w:rPr>
                <w:t>Sublease, dated as of August 30, 2022, by and between Standard BioTools Inc.</w:t>
              </w:r>
            </w:hyperlink>
          </w:p>
        </w:tc>
        <w:tc>
          <w:tcPr>
            <w:tcW w:w="100" w:type="dxa"/>
            <w:vAlign w:val="bottom"/>
            <w:gridSpan w:val="4"/>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0000FF"/>
            </w:tcBorders>
          </w:tcPr>
          <w:p>
            <w:pPr>
              <w:spacing w:after="0" w:line="169" w:lineRule="exact"/>
              <w:rPr>
                <w:rFonts w:ascii="Times New Roman" w:cs="Times New Roman" w:eastAsia="Times New Roman" w:hAnsi="Times New Roman"/>
                <w:sz w:val="16"/>
                <w:szCs w:val="16"/>
                <w:color w:val="0000FF"/>
                <w:w w:val="96"/>
              </w:rPr>
            </w:pPr>
            <w:hyperlink r:id="rId514">
              <w:r>
                <w:rPr>
                  <w:rFonts w:ascii="Times New Roman" w:cs="Times New Roman" w:eastAsia="Times New Roman" w:hAnsi="Times New Roman"/>
                  <w:sz w:val="16"/>
                  <w:szCs w:val="16"/>
                  <w:color w:val="0000FF"/>
                  <w:w w:val="96"/>
                </w:rPr>
                <w:t>and CIRC Bio, Inc.</w:t>
              </w:r>
            </w:hyperlink>
          </w:p>
        </w:tc>
        <w:tc>
          <w:tcPr>
            <w:tcW w:w="20" w:type="dxa"/>
            <w:vAlign w:val="bottom"/>
            <w:tcBorders>
              <w:bottom w:val="single" w:sz="8" w:color="0000EE"/>
            </w:tcBorders>
          </w:tcPr>
          <w:p>
            <w:pPr>
              <w:spacing w:after="0"/>
              <w:rPr>
                <w:sz w:val="14"/>
                <w:szCs w:val="14"/>
                <w:color w:val="auto"/>
              </w:rPr>
            </w:pPr>
          </w:p>
        </w:tc>
        <w:tc>
          <w:tcPr>
            <w:tcW w:w="3900" w:type="dxa"/>
            <w:vAlign w:val="bottom"/>
            <w:gridSpan w:val="27"/>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140" w:type="dxa"/>
            <w:vAlign w:val="bottom"/>
          </w:tcPr>
          <w:p>
            <w:pPr>
              <w:spacing w:after="0"/>
              <w:rPr>
                <w:sz w:val="23"/>
                <w:szCs w:val="23"/>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w w:val="98"/>
              </w:rPr>
            </w:pPr>
            <w:hyperlink r:id="rId515">
              <w:r>
                <w:rPr>
                  <w:rFonts w:ascii="Times New Roman" w:cs="Times New Roman" w:eastAsia="Times New Roman" w:hAnsi="Times New Roman"/>
                  <w:sz w:val="16"/>
                  <w:szCs w:val="16"/>
                  <w:color w:val="0000FF"/>
                  <w:w w:val="98"/>
                </w:rPr>
                <w:t>Sublease, dated as of February 28, 2023, by and between Standard BioTools Inc.</w:t>
              </w:r>
            </w:hyperlink>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5/9/2023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7"/>
              </w:rPr>
            </w:pPr>
            <w:hyperlink r:id="rId515">
              <w:r>
                <w:rPr>
                  <w:rFonts w:ascii="Times New Roman" w:cs="Times New Roman" w:eastAsia="Times New Roman" w:hAnsi="Times New Roman"/>
                  <w:sz w:val="16"/>
                  <w:szCs w:val="16"/>
                  <w:color w:val="0000FF"/>
                  <w:w w:val="97"/>
                </w:rPr>
                <w:t>and First Databank, Inc.</w:t>
              </w:r>
            </w:hyperlink>
          </w:p>
        </w:tc>
        <w:tc>
          <w:tcPr>
            <w:tcW w:w="20" w:type="dxa"/>
            <w:vAlign w:val="bottom"/>
            <w:tcBorders>
              <w:bottom w:val="single" w:sz="8" w:color="0000EE"/>
            </w:tcBorders>
          </w:tcPr>
          <w:p>
            <w:pPr>
              <w:spacing w:after="0"/>
              <w:rPr>
                <w:sz w:val="14"/>
                <w:szCs w:val="14"/>
                <w:color w:val="auto"/>
              </w:rPr>
            </w:pPr>
          </w:p>
        </w:tc>
        <w:tc>
          <w:tcPr>
            <w:tcW w:w="3600" w:type="dxa"/>
            <w:vAlign w:val="bottom"/>
            <w:gridSpan w:val="25"/>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140" w:type="dxa"/>
            <w:vAlign w:val="bottom"/>
          </w:tcPr>
          <w:p>
            <w:pPr>
              <w:spacing w:after="0"/>
              <w:rPr>
                <w:sz w:val="23"/>
                <w:szCs w:val="23"/>
                <w:color w:val="auto"/>
              </w:rPr>
            </w:pPr>
          </w:p>
        </w:tc>
        <w:tc>
          <w:tcPr>
            <w:tcW w:w="46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8"/>
              </w:rPr>
            </w:pPr>
            <w:hyperlink r:id="rId516">
              <w:r>
                <w:rPr>
                  <w:rFonts w:ascii="Times New Roman" w:cs="Times New Roman" w:eastAsia="Times New Roman" w:hAnsi="Times New Roman"/>
                  <w:sz w:val="16"/>
                  <w:szCs w:val="16"/>
                  <w:color w:val="0000FF"/>
                  <w:w w:val="98"/>
                </w:rPr>
                <w:t>Lease Agreement, dated February 10, 2022, by and between SomaLogic</w:t>
              </w:r>
            </w:hyperlink>
          </w:p>
        </w:tc>
        <w:tc>
          <w:tcPr>
            <w:tcW w:w="540" w:type="dxa"/>
            <w:vAlign w:val="bottom"/>
            <w:gridSpan w:val="12"/>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2/16/2022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tcBorders>
              <w:bottom w:val="single" w:sz="8" w:color="0000FF"/>
            </w:tcBorders>
            <w:gridSpan w:val="15"/>
          </w:tcPr>
          <w:p>
            <w:pPr>
              <w:spacing w:after="0" w:line="169" w:lineRule="exact"/>
              <w:rPr>
                <w:rFonts w:ascii="Times New Roman" w:cs="Times New Roman" w:eastAsia="Times New Roman" w:hAnsi="Times New Roman"/>
                <w:sz w:val="16"/>
                <w:szCs w:val="16"/>
                <w:color w:val="0000FF"/>
                <w:w w:val="98"/>
              </w:rPr>
            </w:pPr>
            <w:hyperlink r:id="rId516">
              <w:r>
                <w:rPr>
                  <w:rFonts w:ascii="Times New Roman" w:cs="Times New Roman" w:eastAsia="Times New Roman" w:hAnsi="Times New Roman"/>
                  <w:sz w:val="16"/>
                  <w:szCs w:val="16"/>
                  <w:color w:val="0000FF"/>
                  <w:w w:val="98"/>
                </w:rPr>
                <w:t>Operating Co., Inc. and Louisville 1 Industrial Owner, LLC.</w:t>
              </w:r>
            </w:hyperlink>
          </w:p>
        </w:tc>
        <w:tc>
          <w:tcPr>
            <w:tcW w:w="1300" w:type="dxa"/>
            <w:vAlign w:val="bottom"/>
            <w:gridSpan w:val="14"/>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140" w:type="dxa"/>
            <w:vAlign w:val="bottom"/>
          </w:tcPr>
          <w:p>
            <w:pPr>
              <w:spacing w:after="0"/>
              <w:rPr>
                <w:sz w:val="23"/>
                <w:szCs w:val="23"/>
                <w:color w:val="auto"/>
              </w:rPr>
            </w:pPr>
          </w:p>
        </w:tc>
        <w:tc>
          <w:tcPr>
            <w:tcW w:w="46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8"/>
              </w:rPr>
            </w:pPr>
            <w:hyperlink r:id="rId517">
              <w:r>
                <w:rPr>
                  <w:rFonts w:ascii="Times New Roman" w:cs="Times New Roman" w:eastAsia="Times New Roman" w:hAnsi="Times New Roman"/>
                  <w:sz w:val="16"/>
                  <w:szCs w:val="16"/>
                  <w:color w:val="0000FF"/>
                  <w:w w:val="98"/>
                </w:rPr>
                <w:t>Lease Agreement, dated February 10, 2022, by and between SomaLogic</w:t>
              </w:r>
            </w:hyperlink>
          </w:p>
        </w:tc>
        <w:tc>
          <w:tcPr>
            <w:tcW w:w="540" w:type="dxa"/>
            <w:vAlign w:val="bottom"/>
            <w:gridSpan w:val="12"/>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2/16/2022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bottom w:val="single" w:sz="8" w:color="0000FF"/>
            </w:tcBorders>
            <w:gridSpan w:val="13"/>
          </w:tcPr>
          <w:p>
            <w:pPr>
              <w:spacing w:after="0" w:line="169" w:lineRule="exact"/>
              <w:rPr>
                <w:rFonts w:ascii="Times New Roman" w:cs="Times New Roman" w:eastAsia="Times New Roman" w:hAnsi="Times New Roman"/>
                <w:sz w:val="16"/>
                <w:szCs w:val="16"/>
                <w:color w:val="0000FF"/>
                <w:w w:val="98"/>
              </w:rPr>
            </w:pPr>
            <w:hyperlink r:id="rId517">
              <w:r>
                <w:rPr>
                  <w:rFonts w:ascii="Times New Roman" w:cs="Times New Roman" w:eastAsia="Times New Roman" w:hAnsi="Times New Roman"/>
                  <w:sz w:val="16"/>
                  <w:szCs w:val="16"/>
                  <w:color w:val="0000FF"/>
                  <w:w w:val="98"/>
                </w:rPr>
                <w:t>Operative Co., Inc. and Louisville 2 Industrial Owner, LLC.</w:t>
              </w:r>
            </w:hyperlink>
          </w:p>
        </w:tc>
        <w:tc>
          <w:tcPr>
            <w:tcW w:w="20" w:type="dxa"/>
            <w:vAlign w:val="bottom"/>
            <w:tcBorders>
              <w:bottom w:val="single" w:sz="8" w:color="0000EE"/>
            </w:tcBorders>
          </w:tcPr>
          <w:p>
            <w:pPr>
              <w:spacing w:after="0"/>
              <w:rPr>
                <w:sz w:val="14"/>
                <w:szCs w:val="14"/>
                <w:color w:val="auto"/>
              </w:rPr>
            </w:pPr>
          </w:p>
        </w:tc>
        <w:tc>
          <w:tcPr>
            <w:tcW w:w="1320" w:type="dxa"/>
            <w:vAlign w:val="bottom"/>
            <w:gridSpan w:val="15"/>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140" w:type="dxa"/>
            <w:vAlign w:val="bottom"/>
          </w:tcPr>
          <w:p>
            <w:pPr>
              <w:spacing w:after="0"/>
              <w:rPr>
                <w:sz w:val="23"/>
                <w:szCs w:val="23"/>
                <w:color w:val="auto"/>
              </w:rPr>
            </w:pPr>
          </w:p>
        </w:tc>
        <w:tc>
          <w:tcPr>
            <w:tcW w:w="512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w w:val="99"/>
              </w:rPr>
            </w:pPr>
            <w:hyperlink r:id="rId518">
              <w:r>
                <w:rPr>
                  <w:rFonts w:ascii="Times New Roman" w:cs="Times New Roman" w:eastAsia="Times New Roman" w:hAnsi="Times New Roman"/>
                  <w:sz w:val="16"/>
                  <w:szCs w:val="16"/>
                  <w:color w:val="0000FF"/>
                  <w:w w:val="99"/>
                </w:rPr>
                <w:t>Second Amended and Restated License Agreement, dated as of May 1, 2004, by</w:t>
              </w:r>
            </w:hyperlink>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Borders>
              <w:bottom w:val="single" w:sz="8" w:color="0000FF"/>
            </w:tcBorders>
            <w:gridSpan w:val="19"/>
          </w:tcPr>
          <w:p>
            <w:pPr>
              <w:spacing w:after="0" w:line="169" w:lineRule="exact"/>
              <w:rPr>
                <w:rFonts w:ascii="Times New Roman" w:cs="Times New Roman" w:eastAsia="Times New Roman" w:hAnsi="Times New Roman"/>
                <w:sz w:val="16"/>
                <w:szCs w:val="16"/>
                <w:color w:val="0000FF"/>
                <w:w w:val="98"/>
              </w:rPr>
            </w:pPr>
            <w:hyperlink r:id="rId518">
              <w:r>
                <w:rPr>
                  <w:rFonts w:ascii="Times New Roman" w:cs="Times New Roman" w:eastAsia="Times New Roman" w:hAnsi="Times New Roman"/>
                  <w:sz w:val="16"/>
                  <w:szCs w:val="16"/>
                  <w:color w:val="0000FF"/>
                  <w:w w:val="98"/>
                </w:rPr>
                <w:t>and between California Institute of Technology and Standard BioTools Inc.</w:t>
              </w:r>
            </w:hyperlink>
          </w:p>
        </w:tc>
        <w:tc>
          <w:tcPr>
            <w:tcW w:w="340" w:type="dxa"/>
            <w:vAlign w:val="bottom"/>
            <w:gridSpan w:val="10"/>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Borders>
              <w:bottom w:val="single" w:sz="8" w:color="0000FF"/>
            </w:tcBorders>
            <w:gridSpan w:val="7"/>
          </w:tcPr>
          <w:p>
            <w:pPr>
              <w:spacing w:after="0" w:line="169" w:lineRule="exact"/>
              <w:rPr>
                <w:rFonts w:ascii="Times New Roman" w:cs="Times New Roman" w:eastAsia="Times New Roman" w:hAnsi="Times New Roman"/>
                <w:sz w:val="16"/>
                <w:szCs w:val="16"/>
                <w:color w:val="0000FF"/>
                <w:w w:val="97"/>
              </w:rPr>
            </w:pPr>
            <w:hyperlink r:id="rId518">
              <w:r>
                <w:rPr>
                  <w:rFonts w:ascii="Times New Roman" w:cs="Times New Roman" w:eastAsia="Times New Roman" w:hAnsi="Times New Roman"/>
                  <w:sz w:val="16"/>
                  <w:szCs w:val="16"/>
                  <w:color w:val="0000FF"/>
                  <w:w w:val="97"/>
                </w:rPr>
                <w:t>(formerly Fluidigm Corporation).</w:t>
              </w:r>
            </w:hyperlink>
          </w:p>
        </w:tc>
        <w:tc>
          <w:tcPr>
            <w:tcW w:w="20" w:type="dxa"/>
            <w:vAlign w:val="bottom"/>
            <w:tcBorders>
              <w:bottom w:val="single" w:sz="8" w:color="0000EE"/>
            </w:tcBorders>
          </w:tcPr>
          <w:p>
            <w:pPr>
              <w:spacing w:after="0"/>
              <w:rPr>
                <w:sz w:val="14"/>
                <w:szCs w:val="14"/>
                <w:color w:val="auto"/>
              </w:rPr>
            </w:pPr>
          </w:p>
        </w:tc>
        <w:tc>
          <w:tcPr>
            <w:tcW w:w="3000" w:type="dxa"/>
            <w:vAlign w:val="bottom"/>
            <w:gridSpan w:val="21"/>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2"/>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140" w:type="dxa"/>
            <w:vAlign w:val="bottom"/>
          </w:tcPr>
          <w:p>
            <w:pPr>
              <w:spacing w:after="0"/>
              <w:rPr>
                <w:sz w:val="24"/>
                <w:szCs w:val="24"/>
                <w:color w:val="auto"/>
              </w:rPr>
            </w:pPr>
          </w:p>
        </w:tc>
        <w:tc>
          <w:tcPr>
            <w:tcW w:w="510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w w:val="98"/>
              </w:rPr>
            </w:pPr>
            <w:hyperlink r:id="rId519">
              <w:r>
                <w:rPr>
                  <w:rFonts w:ascii="Times New Roman" w:cs="Times New Roman" w:eastAsia="Times New Roman" w:hAnsi="Times New Roman"/>
                  <w:sz w:val="16"/>
                  <w:szCs w:val="16"/>
                  <w:color w:val="0000FF"/>
                  <w:w w:val="98"/>
                </w:rPr>
                <w:t>First Addendum to Second Amended and Restated License Agreement, dated as</w:t>
              </w:r>
            </w:hyperlink>
          </w:p>
        </w:tc>
        <w:tc>
          <w:tcPr>
            <w:tcW w:w="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10.2A</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Borders>
              <w:bottom w:val="single" w:sz="8" w:color="0000FF"/>
            </w:tcBorders>
            <w:gridSpan w:val="18"/>
          </w:tcPr>
          <w:p>
            <w:pPr>
              <w:spacing w:after="0" w:line="169" w:lineRule="exact"/>
              <w:rPr>
                <w:rFonts w:ascii="Times New Roman" w:cs="Times New Roman" w:eastAsia="Times New Roman" w:hAnsi="Times New Roman"/>
                <w:sz w:val="16"/>
                <w:szCs w:val="16"/>
                <w:color w:val="0000FF"/>
                <w:w w:val="98"/>
              </w:rPr>
            </w:pPr>
            <w:hyperlink r:id="rId519">
              <w:r>
                <w:rPr>
                  <w:rFonts w:ascii="Times New Roman" w:cs="Times New Roman" w:eastAsia="Times New Roman" w:hAnsi="Times New Roman"/>
                  <w:sz w:val="16"/>
                  <w:szCs w:val="16"/>
                  <w:color w:val="0000FF"/>
                  <w:w w:val="98"/>
                </w:rPr>
                <w:t>of March 29, 2007, by and between California Institute of Technology and</w:t>
              </w:r>
            </w:hyperlink>
          </w:p>
        </w:tc>
        <w:tc>
          <w:tcPr>
            <w:tcW w:w="400" w:type="dxa"/>
            <w:vAlign w:val="bottom"/>
            <w:gridSpan w:val="11"/>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Borders>
              <w:bottom w:val="single" w:sz="8" w:color="0000FF"/>
            </w:tcBorders>
            <w:gridSpan w:val="11"/>
          </w:tcPr>
          <w:p>
            <w:pPr>
              <w:spacing w:after="0" w:line="169" w:lineRule="exact"/>
              <w:rPr>
                <w:rFonts w:ascii="Times New Roman" w:cs="Times New Roman" w:eastAsia="Times New Roman" w:hAnsi="Times New Roman"/>
                <w:sz w:val="16"/>
                <w:szCs w:val="16"/>
                <w:color w:val="0000FF"/>
                <w:w w:val="97"/>
              </w:rPr>
            </w:pPr>
            <w:hyperlink r:id="rId519">
              <w:r>
                <w:rPr>
                  <w:rFonts w:ascii="Times New Roman" w:cs="Times New Roman" w:eastAsia="Times New Roman" w:hAnsi="Times New Roman"/>
                  <w:sz w:val="16"/>
                  <w:szCs w:val="16"/>
                  <w:color w:val="0000FF"/>
                  <w:w w:val="97"/>
                </w:rPr>
                <w:t>Standard BioTools Inc. (formerly Fluidigm Corporation).</w:t>
              </w:r>
            </w:hyperlink>
          </w:p>
        </w:tc>
        <w:tc>
          <w:tcPr>
            <w:tcW w:w="20" w:type="dxa"/>
            <w:vAlign w:val="bottom"/>
            <w:tcBorders>
              <w:bottom w:val="single" w:sz="8" w:color="0000EE"/>
            </w:tcBorders>
          </w:tcPr>
          <w:p>
            <w:pPr>
              <w:spacing w:after="0"/>
              <w:rPr>
                <w:sz w:val="14"/>
                <w:szCs w:val="14"/>
                <w:color w:val="auto"/>
              </w:rPr>
            </w:pPr>
          </w:p>
        </w:tc>
        <w:tc>
          <w:tcPr>
            <w:tcW w:w="1500" w:type="dxa"/>
            <w:vAlign w:val="bottom"/>
            <w:gridSpan w:val="17"/>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23"/>
                <w:szCs w:val="23"/>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w w:val="98"/>
              </w:rPr>
            </w:pPr>
            <w:hyperlink r:id="rId520">
              <w:r>
                <w:rPr>
                  <w:rFonts w:ascii="Times New Roman" w:cs="Times New Roman" w:eastAsia="Times New Roman" w:hAnsi="Times New Roman"/>
                  <w:sz w:val="16"/>
                  <w:szCs w:val="16"/>
                  <w:color w:val="0000FF"/>
                  <w:w w:val="98"/>
                </w:rPr>
                <w:t>Co-Exclusive License Agreement, dated as of October 15, 2000, by and between</w:t>
              </w:r>
            </w:hyperlink>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00" w:type="dxa"/>
            <w:vAlign w:val="bottom"/>
            <w:tcBorders>
              <w:bottom w:val="single" w:sz="8" w:color="0000FF"/>
            </w:tcBorders>
            <w:gridSpan w:val="27"/>
          </w:tcPr>
          <w:p>
            <w:pPr>
              <w:spacing w:after="0" w:line="169" w:lineRule="exact"/>
              <w:rPr>
                <w:rFonts w:ascii="Times New Roman" w:cs="Times New Roman" w:eastAsia="Times New Roman" w:hAnsi="Times New Roman"/>
                <w:sz w:val="16"/>
                <w:szCs w:val="16"/>
                <w:color w:val="0000FF"/>
                <w:w w:val="98"/>
              </w:rPr>
            </w:pPr>
            <w:hyperlink r:id="rId520">
              <w:r>
                <w:rPr>
                  <w:rFonts w:ascii="Times New Roman" w:cs="Times New Roman" w:eastAsia="Times New Roman" w:hAnsi="Times New Roman"/>
                  <w:sz w:val="16"/>
                  <w:szCs w:val="16"/>
                  <w:color w:val="0000FF"/>
                  <w:w w:val="98"/>
                </w:rPr>
                <w:t>President and Fellows of Harvard College and Standard BioTools Inc. (formerly</w:t>
              </w:r>
            </w:hyperlink>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0">
              <w:r>
                <w:rPr>
                  <w:rFonts w:ascii="Times New Roman" w:cs="Times New Roman" w:eastAsia="Times New Roman" w:hAnsi="Times New Roman"/>
                  <w:sz w:val="16"/>
                  <w:szCs w:val="16"/>
                  <w:color w:val="0000FF"/>
                </w:rPr>
                <w:t>Mycometrix Corporation).</w:t>
              </w:r>
            </w:hyperlink>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140" w:type="dxa"/>
            <w:vAlign w:val="bottom"/>
          </w:tcPr>
          <w:p>
            <w:pPr>
              <w:spacing w:after="0"/>
              <w:rPr>
                <w:sz w:val="23"/>
                <w:szCs w:val="23"/>
                <w:color w:val="auto"/>
              </w:rPr>
            </w:pPr>
          </w:p>
        </w:tc>
        <w:tc>
          <w:tcPr>
            <w:tcW w:w="50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w w:val="98"/>
              </w:rPr>
            </w:pPr>
            <w:hyperlink r:id="rId520">
              <w:r>
                <w:rPr>
                  <w:rFonts w:ascii="Times New Roman" w:cs="Times New Roman" w:eastAsia="Times New Roman" w:hAnsi="Times New Roman"/>
                  <w:sz w:val="16"/>
                  <w:szCs w:val="16"/>
                  <w:color w:val="0000FF"/>
                  <w:w w:val="98"/>
                </w:rPr>
                <w:t>First Amendment to Co-Exclusive License Agreement, dated as of October 15,</w:t>
              </w:r>
            </w:hyperlink>
          </w:p>
        </w:tc>
        <w:tc>
          <w:tcPr>
            <w:tcW w:w="120" w:type="dxa"/>
            <w:vAlign w:val="bottom"/>
            <w:gridSpan w:val="5"/>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10.3A</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bottom w:val="single" w:sz="8" w:color="0000FF"/>
            </w:tcBorders>
            <w:gridSpan w:val="23"/>
          </w:tcPr>
          <w:p>
            <w:pPr>
              <w:spacing w:after="0" w:line="169" w:lineRule="exact"/>
              <w:rPr>
                <w:rFonts w:ascii="Times New Roman" w:cs="Times New Roman" w:eastAsia="Times New Roman" w:hAnsi="Times New Roman"/>
                <w:sz w:val="16"/>
                <w:szCs w:val="16"/>
                <w:color w:val="0000FF"/>
                <w:w w:val="98"/>
              </w:rPr>
            </w:pPr>
            <w:hyperlink r:id="rId520">
              <w:r>
                <w:rPr>
                  <w:rFonts w:ascii="Times New Roman" w:cs="Times New Roman" w:eastAsia="Times New Roman" w:hAnsi="Times New Roman"/>
                  <w:sz w:val="16"/>
                  <w:szCs w:val="16"/>
                  <w:color w:val="0000FF"/>
                  <w:w w:val="98"/>
                </w:rPr>
                <w:t>2000, by and between President and Fellows of Harvard College and Standard</w:t>
              </w:r>
            </w:hyperlink>
          </w:p>
        </w:tc>
        <w:tc>
          <w:tcPr>
            <w:tcW w:w="160" w:type="dxa"/>
            <w:vAlign w:val="bottom"/>
            <w:gridSpan w:val="6"/>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7"/>
              </w:rPr>
            </w:pPr>
            <w:hyperlink r:id="rId520">
              <w:r>
                <w:rPr>
                  <w:rFonts w:ascii="Times New Roman" w:cs="Times New Roman" w:eastAsia="Times New Roman" w:hAnsi="Times New Roman"/>
                  <w:sz w:val="16"/>
                  <w:szCs w:val="16"/>
                  <w:color w:val="0000FF"/>
                  <w:w w:val="97"/>
                </w:rPr>
                <w:t>BioTools Inc. (formerly Mycometrix Corporation).</w:t>
              </w:r>
            </w:hyperlink>
          </w:p>
        </w:tc>
        <w:tc>
          <w:tcPr>
            <w:tcW w:w="20" w:type="dxa"/>
            <w:vAlign w:val="bottom"/>
            <w:tcBorders>
              <w:bottom w:val="single" w:sz="8" w:color="0000EE"/>
            </w:tcBorders>
          </w:tcPr>
          <w:p>
            <w:pPr>
              <w:spacing w:after="0"/>
              <w:rPr>
                <w:sz w:val="14"/>
                <w:szCs w:val="14"/>
                <w:color w:val="auto"/>
              </w:rPr>
            </w:pPr>
          </w:p>
        </w:tc>
        <w:tc>
          <w:tcPr>
            <w:tcW w:w="1900" w:type="dxa"/>
            <w:vAlign w:val="bottom"/>
            <w:gridSpan w:val="19"/>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140" w:type="dxa"/>
            <w:vAlign w:val="bottom"/>
          </w:tcPr>
          <w:p>
            <w:pPr>
              <w:spacing w:after="0"/>
              <w:rPr>
                <w:sz w:val="23"/>
                <w:szCs w:val="23"/>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w w:val="98"/>
              </w:rPr>
            </w:pPr>
            <w:hyperlink r:id="rId521">
              <w:r>
                <w:rPr>
                  <w:rFonts w:ascii="Times New Roman" w:cs="Times New Roman" w:eastAsia="Times New Roman" w:hAnsi="Times New Roman"/>
                  <w:sz w:val="16"/>
                  <w:szCs w:val="16"/>
                  <w:color w:val="0000FF"/>
                  <w:w w:val="98"/>
                </w:rPr>
                <w:t>Co-Exclusive License Agreement, dated as of October 15, 2000, by and between</w:t>
              </w:r>
            </w:hyperlink>
          </w:p>
        </w:tc>
        <w:tc>
          <w:tcPr>
            <w:tcW w:w="120" w:type="dxa"/>
            <w:vAlign w:val="bottom"/>
          </w:tcPr>
          <w:p>
            <w:pPr>
              <w:spacing w:after="0"/>
              <w:rPr>
                <w:sz w:val="23"/>
                <w:szCs w:val="23"/>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00" w:type="dxa"/>
            <w:vAlign w:val="bottom"/>
            <w:tcBorders>
              <w:bottom w:val="single" w:sz="8" w:color="0000FF"/>
            </w:tcBorders>
            <w:gridSpan w:val="27"/>
          </w:tcPr>
          <w:p>
            <w:pPr>
              <w:spacing w:after="0" w:line="169" w:lineRule="exact"/>
              <w:rPr>
                <w:rFonts w:ascii="Times New Roman" w:cs="Times New Roman" w:eastAsia="Times New Roman" w:hAnsi="Times New Roman"/>
                <w:sz w:val="16"/>
                <w:szCs w:val="16"/>
                <w:color w:val="0000FF"/>
                <w:w w:val="98"/>
              </w:rPr>
            </w:pPr>
            <w:hyperlink r:id="rId521">
              <w:r>
                <w:rPr>
                  <w:rFonts w:ascii="Times New Roman" w:cs="Times New Roman" w:eastAsia="Times New Roman" w:hAnsi="Times New Roman"/>
                  <w:sz w:val="16"/>
                  <w:szCs w:val="16"/>
                  <w:color w:val="0000FF"/>
                  <w:w w:val="98"/>
                </w:rPr>
                <w:t>President and Fellows of Harvard College and Standard BioTools Inc. (formerly</w:t>
              </w:r>
            </w:hyperlink>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1">
              <w:r>
                <w:rPr>
                  <w:rFonts w:ascii="Times New Roman" w:cs="Times New Roman" w:eastAsia="Times New Roman" w:hAnsi="Times New Roman"/>
                  <w:sz w:val="16"/>
                  <w:szCs w:val="16"/>
                  <w:color w:val="0000FF"/>
                </w:rPr>
                <w:t>Mycometrix Corporation).</w:t>
              </w:r>
            </w:hyperlink>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1"/>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Borders>
              <w:top w:val="single" w:sz="8" w:color="0000FF"/>
            </w:tcBorders>
            <w:gridSpan w:val="6"/>
          </w:tcPr>
          <w:p>
            <w:pPr>
              <w:spacing w:after="0"/>
              <w:rPr>
                <w:sz w:val="24"/>
                <w:szCs w:val="24"/>
                <w:color w:val="auto"/>
              </w:rPr>
            </w:pPr>
          </w:p>
        </w:tc>
        <w:tc>
          <w:tcPr>
            <w:tcW w:w="3320" w:type="dxa"/>
            <w:vAlign w:val="bottom"/>
            <w:gridSpan w:val="17"/>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5"/>
        </w:trPr>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44" w:right="319" w:bottom="1440" w:gutter="0" w:footer="0" w:header="0"/>
        </w:sectPr>
      </w:pPr>
    </w:p>
    <w:bookmarkStart w:id="122" w:name="page123"/>
    <w:bookmarkEnd w:id="122"/>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20" w:type="dxa"/>
            <w:vAlign w:val="bottom"/>
            <w:gridSpan w:val="20"/>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13"/>
                <w:szCs w:val="13"/>
                <w:color w:val="auto"/>
              </w:rPr>
            </w:pPr>
          </w:p>
        </w:tc>
        <w:tc>
          <w:tcPr>
            <w:tcW w:w="5140" w:type="dxa"/>
            <w:vAlign w:val="bottom"/>
            <w:tcBorders>
              <w:bottom w:val="single" w:sz="8" w:color="0000FF"/>
            </w:tcBorders>
            <w:gridSpan w:val="29"/>
          </w:tcPr>
          <w:p>
            <w:pPr>
              <w:spacing w:after="0" w:line="154" w:lineRule="exact"/>
              <w:rPr>
                <w:rFonts w:ascii="Times New Roman" w:cs="Times New Roman" w:eastAsia="Times New Roman" w:hAnsi="Times New Roman"/>
                <w:sz w:val="16"/>
                <w:szCs w:val="16"/>
                <w:color w:val="0000FF"/>
                <w:w w:val="98"/>
              </w:rPr>
            </w:pPr>
            <w:hyperlink r:id="rId524">
              <w:r>
                <w:rPr>
                  <w:rFonts w:ascii="Times New Roman" w:cs="Times New Roman" w:eastAsia="Times New Roman" w:hAnsi="Times New Roman"/>
                  <w:sz w:val="16"/>
                  <w:szCs w:val="16"/>
                  <w:color w:val="0000FF"/>
                  <w:w w:val="98"/>
                </w:rPr>
                <w:t>Co-Exclusive License Agreement, dated as of October 15, 2000, by and between</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Borders>
              <w:bottom w:val="single" w:sz="8" w:color="0000FF"/>
            </w:tcBorders>
            <w:gridSpan w:val="28"/>
          </w:tcPr>
          <w:p>
            <w:pPr>
              <w:spacing w:after="0" w:line="169" w:lineRule="exact"/>
              <w:rPr>
                <w:rFonts w:ascii="Times New Roman" w:cs="Times New Roman" w:eastAsia="Times New Roman" w:hAnsi="Times New Roman"/>
                <w:sz w:val="16"/>
                <w:szCs w:val="16"/>
                <w:color w:val="0000FF"/>
                <w:w w:val="99"/>
              </w:rPr>
            </w:pPr>
            <w:hyperlink r:id="rId524">
              <w:r>
                <w:rPr>
                  <w:rFonts w:ascii="Times New Roman" w:cs="Times New Roman" w:eastAsia="Times New Roman" w:hAnsi="Times New Roman"/>
                  <w:sz w:val="16"/>
                  <w:szCs w:val="16"/>
                  <w:color w:val="0000FF"/>
                  <w:w w:val="99"/>
                </w:rPr>
                <w:t>President and Fellows of Harvard College and Standard BioTools Inc. (formerly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4">
              <w:r>
                <w:rPr>
                  <w:rFonts w:ascii="Times New Roman" w:cs="Times New Roman" w:eastAsia="Times New Roman" w:hAnsi="Times New Roman"/>
                  <w:sz w:val="16"/>
                  <w:szCs w:val="16"/>
                  <w:color w:val="0000FF"/>
                </w:rPr>
                <w:t>Mycometrix Corporation).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140" w:type="dxa"/>
            <w:vAlign w:val="bottom"/>
          </w:tcPr>
          <w:p>
            <w:pPr>
              <w:spacing w:after="0"/>
              <w:rPr>
                <w:sz w:val="23"/>
                <w:szCs w:val="23"/>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w w:val="98"/>
              </w:rPr>
            </w:pPr>
            <w:hyperlink r:id="rId525">
              <w:r>
                <w:rPr>
                  <w:rFonts w:ascii="Times New Roman" w:cs="Times New Roman" w:eastAsia="Times New Roman" w:hAnsi="Times New Roman"/>
                  <w:sz w:val="16"/>
                  <w:szCs w:val="16"/>
                  <w:color w:val="0000FF"/>
                  <w:w w:val="98"/>
                </w:rPr>
                <w:t>Letter Agreement, dated as of December 22, 2004, by and between President and</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40" w:type="dxa"/>
            <w:vAlign w:val="bottom"/>
            <w:tcBorders>
              <w:bottom w:val="single" w:sz="8" w:color="0000FF"/>
            </w:tcBorders>
            <w:gridSpan w:val="19"/>
          </w:tcPr>
          <w:p>
            <w:pPr>
              <w:spacing w:after="0" w:line="169" w:lineRule="exact"/>
              <w:rPr>
                <w:rFonts w:ascii="Times New Roman" w:cs="Times New Roman" w:eastAsia="Times New Roman" w:hAnsi="Times New Roman"/>
                <w:sz w:val="16"/>
                <w:szCs w:val="16"/>
                <w:color w:val="0000FF"/>
                <w:w w:val="99"/>
              </w:rPr>
            </w:pPr>
            <w:hyperlink r:id="rId525">
              <w:r>
                <w:rPr>
                  <w:rFonts w:ascii="Times New Roman" w:cs="Times New Roman" w:eastAsia="Times New Roman" w:hAnsi="Times New Roman"/>
                  <w:sz w:val="16"/>
                  <w:szCs w:val="16"/>
                  <w:color w:val="0000FF"/>
                  <w:w w:val="99"/>
                </w:rPr>
                <w:t>Fellows of Harvard College and Standard BioTools Inc. (formerly Fluidigm</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0000FF"/>
            </w:tcBorders>
            <w:gridSpan w:val="3"/>
          </w:tcPr>
          <w:p>
            <w:pPr>
              <w:spacing w:after="0" w:line="169" w:lineRule="exact"/>
              <w:rPr>
                <w:rFonts w:ascii="Times New Roman" w:cs="Times New Roman" w:eastAsia="Times New Roman" w:hAnsi="Times New Roman"/>
                <w:sz w:val="16"/>
                <w:szCs w:val="16"/>
                <w:color w:val="0000FF"/>
                <w:w w:val="96"/>
              </w:rPr>
            </w:pPr>
            <w:hyperlink r:id="rId525">
              <w:r>
                <w:rPr>
                  <w:rFonts w:ascii="Times New Roman" w:cs="Times New Roman" w:eastAsia="Times New Roman" w:hAnsi="Times New Roman"/>
                  <w:sz w:val="16"/>
                  <w:szCs w:val="16"/>
                  <w:color w:val="0000FF"/>
                  <w:w w:val="96"/>
                </w:rPr>
                <w:t>Corporation).</w:t>
              </w:r>
            </w:hyperlink>
          </w:p>
        </w:tc>
        <w:tc>
          <w:tcPr>
            <w:tcW w:w="428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140" w:type="dxa"/>
            <w:vAlign w:val="bottom"/>
          </w:tcPr>
          <w:p>
            <w:pPr>
              <w:spacing w:after="0"/>
              <w:rPr>
                <w:sz w:val="23"/>
                <w:szCs w:val="23"/>
                <w:color w:val="auto"/>
              </w:rPr>
            </w:pPr>
          </w:p>
        </w:tc>
        <w:tc>
          <w:tcPr>
            <w:tcW w:w="50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9"/>
              </w:rPr>
            </w:pPr>
            <w:hyperlink r:id="rId526">
              <w:r>
                <w:rPr>
                  <w:rFonts w:ascii="Times New Roman" w:cs="Times New Roman" w:eastAsia="Times New Roman" w:hAnsi="Times New Roman"/>
                  <w:sz w:val="16"/>
                  <w:szCs w:val="16"/>
                  <w:color w:val="0000FF"/>
                  <w:w w:val="99"/>
                </w:rPr>
                <w:t>Purchase Agreement, dated as of November 20, 2019, by and between Standard</w:t>
              </w:r>
            </w:hyperlink>
          </w:p>
        </w:tc>
        <w:tc>
          <w:tcPr>
            <w:tcW w:w="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tcBorders>
              <w:bottom w:val="single" w:sz="8" w:color="0000FF"/>
            </w:tcBorders>
            <w:gridSpan w:val="21"/>
          </w:tcPr>
          <w:p>
            <w:pPr>
              <w:spacing w:after="0" w:line="169" w:lineRule="exact"/>
              <w:rPr>
                <w:rFonts w:ascii="Times New Roman" w:cs="Times New Roman" w:eastAsia="Times New Roman" w:hAnsi="Times New Roman"/>
                <w:sz w:val="16"/>
                <w:szCs w:val="16"/>
                <w:color w:val="0000FF"/>
                <w:w w:val="99"/>
              </w:rPr>
            </w:pPr>
            <w:hyperlink r:id="rId526">
              <w:r>
                <w:rPr>
                  <w:rFonts w:ascii="Times New Roman" w:cs="Times New Roman" w:eastAsia="Times New Roman" w:hAnsi="Times New Roman"/>
                  <w:sz w:val="16"/>
                  <w:szCs w:val="16"/>
                  <w:color w:val="0000FF"/>
                  <w:w w:val="99"/>
                </w:rPr>
                <w:t>BioTools Inc. (formerly Fluidigm Corporation) and Barclays Capital Inc., as</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6">
              <w:r>
                <w:rPr>
                  <w:rFonts w:ascii="Times New Roman" w:cs="Times New Roman" w:eastAsia="Times New Roman" w:hAnsi="Times New Roman"/>
                  <w:sz w:val="16"/>
                  <w:szCs w:val="16"/>
                  <w:color w:val="0000FF"/>
                </w:rPr>
                <w:t>representative of the several initial purchasers named in Schedule I thereto.</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140" w:type="dxa"/>
            <w:vAlign w:val="bottom"/>
          </w:tcPr>
          <w:p>
            <w:pPr>
              <w:spacing w:after="0"/>
              <w:rPr>
                <w:sz w:val="23"/>
                <w:szCs w:val="23"/>
                <w:color w:val="auto"/>
              </w:rPr>
            </w:pPr>
          </w:p>
        </w:tc>
        <w:tc>
          <w:tcPr>
            <w:tcW w:w="50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8"/>
              </w:rPr>
            </w:pPr>
            <w:hyperlink r:id="rId527">
              <w:r>
                <w:rPr>
                  <w:rFonts w:ascii="Times New Roman" w:cs="Times New Roman" w:eastAsia="Times New Roman" w:hAnsi="Times New Roman"/>
                  <w:sz w:val="16"/>
                  <w:szCs w:val="16"/>
                  <w:color w:val="0000FF"/>
                  <w:w w:val="98"/>
                </w:rPr>
                <w:t>Solicitation/Contract/Order for Commercial Items, dated as of July 30, 2020, by</w:t>
              </w:r>
            </w:hyperlink>
          </w:p>
        </w:tc>
        <w:tc>
          <w:tcPr>
            <w:tcW w:w="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40" w:type="dxa"/>
            <w:vAlign w:val="bottom"/>
            <w:tcBorders>
              <w:bottom w:val="single" w:sz="8" w:color="0000FF"/>
            </w:tcBorders>
            <w:gridSpan w:val="17"/>
          </w:tcPr>
          <w:p>
            <w:pPr>
              <w:spacing w:after="0" w:line="169" w:lineRule="exact"/>
              <w:rPr>
                <w:rFonts w:ascii="Times New Roman" w:cs="Times New Roman" w:eastAsia="Times New Roman" w:hAnsi="Times New Roman"/>
                <w:sz w:val="16"/>
                <w:szCs w:val="16"/>
                <w:color w:val="0000FF"/>
                <w:w w:val="98"/>
              </w:rPr>
            </w:pPr>
            <w:hyperlink r:id="rId527">
              <w:r>
                <w:rPr>
                  <w:rFonts w:ascii="Times New Roman" w:cs="Times New Roman" w:eastAsia="Times New Roman" w:hAnsi="Times New Roman"/>
                  <w:sz w:val="16"/>
                  <w:szCs w:val="16"/>
                  <w:color w:val="0000FF"/>
                  <w:w w:val="98"/>
                </w:rPr>
                <w:t>and between Standard BioTools Inc. (formerly Fluidigm Corporation) and</w:t>
              </w:r>
            </w:hyperlink>
          </w:p>
        </w:tc>
        <w:tc>
          <w:tcPr>
            <w:tcW w:w="4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7">
              <w:r>
                <w:rPr>
                  <w:rFonts w:ascii="Times New Roman" w:cs="Times New Roman" w:eastAsia="Times New Roman" w:hAnsi="Times New Roman"/>
                  <w:sz w:val="16"/>
                  <w:szCs w:val="16"/>
                  <w:color w:val="0000FF"/>
                </w:rPr>
                <w:t>National Institutes of Health, as amended on September 28,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tcPr>
          <w:p>
            <w:pPr>
              <w:spacing w:after="0"/>
              <w:rPr>
                <w:sz w:val="23"/>
                <w:szCs w:val="23"/>
                <w:color w:val="auto"/>
              </w:rPr>
            </w:pPr>
          </w:p>
        </w:tc>
        <w:tc>
          <w:tcPr>
            <w:tcW w:w="510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w w:val="98"/>
              </w:rPr>
            </w:pPr>
            <w:hyperlink r:id="rId528">
              <w:r>
                <w:rPr>
                  <w:rFonts w:ascii="Times New Roman" w:cs="Times New Roman" w:eastAsia="Times New Roman" w:hAnsi="Times New Roman"/>
                  <w:sz w:val="16"/>
                  <w:szCs w:val="16"/>
                  <w:color w:val="0000FF"/>
                  <w:w w:val="98"/>
                </w:rPr>
                <w:t>Amendment of Solicitation/Modification of Contract, dated as of May 10, 2021,</w:t>
              </w:r>
            </w:hyperlink>
          </w:p>
        </w:tc>
        <w:tc>
          <w:tcPr>
            <w:tcW w:w="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9"/>
          </w:tcPr>
          <w:p>
            <w:pPr>
              <w:spacing w:after="0" w:line="169" w:lineRule="exact"/>
              <w:rPr>
                <w:rFonts w:ascii="Times New Roman" w:cs="Times New Roman" w:eastAsia="Times New Roman" w:hAnsi="Times New Roman"/>
                <w:sz w:val="16"/>
                <w:szCs w:val="16"/>
                <w:color w:val="0000FF"/>
                <w:w w:val="98"/>
              </w:rPr>
            </w:pPr>
            <w:hyperlink r:id="rId528">
              <w:r>
                <w:rPr>
                  <w:rFonts w:ascii="Times New Roman" w:cs="Times New Roman" w:eastAsia="Times New Roman" w:hAnsi="Times New Roman"/>
                  <w:sz w:val="16"/>
                  <w:szCs w:val="16"/>
                  <w:color w:val="0000FF"/>
                  <w:w w:val="98"/>
                </w:rPr>
                <w:t>by and between Standard BioTools Inc. (formerly Fluidigm Corporation) and the</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8">
              <w:r>
                <w:rPr>
                  <w:rFonts w:ascii="Times New Roman" w:cs="Times New Roman" w:eastAsia="Times New Roman" w:hAnsi="Times New Roman"/>
                  <w:sz w:val="16"/>
                  <w:szCs w:val="16"/>
                  <w:color w:val="0000FF"/>
                </w:rPr>
                <w:t>National Institutes of Health.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140" w:type="dxa"/>
            <w:vAlign w:val="bottom"/>
          </w:tcPr>
          <w:p>
            <w:pPr>
              <w:spacing w:after="0"/>
              <w:rPr>
                <w:sz w:val="23"/>
                <w:szCs w:val="23"/>
                <w:color w:val="auto"/>
              </w:rPr>
            </w:pPr>
          </w:p>
        </w:tc>
        <w:tc>
          <w:tcPr>
            <w:tcW w:w="508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8"/>
              </w:rPr>
            </w:pPr>
            <w:hyperlink r:id="rId529">
              <w:r>
                <w:rPr>
                  <w:rFonts w:ascii="Times New Roman" w:cs="Times New Roman" w:eastAsia="Times New Roman" w:hAnsi="Times New Roman"/>
                  <w:sz w:val="16"/>
                  <w:szCs w:val="16"/>
                  <w:color w:val="0000FF"/>
                  <w:w w:val="98"/>
                </w:rPr>
                <w:t>Amendment of Solicitation/Modification of Contract, dated as of September 29,</w:t>
              </w:r>
            </w:hyperlink>
          </w:p>
        </w:tc>
        <w:tc>
          <w:tcPr>
            <w:tcW w:w="6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60" w:type="dxa"/>
            <w:vAlign w:val="bottom"/>
            <w:tcBorders>
              <w:bottom w:val="single" w:sz="8" w:color="0000FF"/>
            </w:tcBorders>
            <w:gridSpan w:val="25"/>
          </w:tcPr>
          <w:p>
            <w:pPr>
              <w:spacing w:after="0" w:line="169" w:lineRule="exact"/>
              <w:rPr>
                <w:rFonts w:ascii="Times New Roman" w:cs="Times New Roman" w:eastAsia="Times New Roman" w:hAnsi="Times New Roman"/>
                <w:sz w:val="16"/>
                <w:szCs w:val="16"/>
                <w:color w:val="0000FF"/>
                <w:w w:val="98"/>
              </w:rPr>
            </w:pPr>
            <w:hyperlink r:id="rId529">
              <w:r>
                <w:rPr>
                  <w:rFonts w:ascii="Times New Roman" w:cs="Times New Roman" w:eastAsia="Times New Roman" w:hAnsi="Times New Roman"/>
                  <w:sz w:val="16"/>
                  <w:szCs w:val="16"/>
                  <w:color w:val="0000FF"/>
                  <w:w w:val="98"/>
                </w:rPr>
                <w:t>2021, by and between Standard BioTools Inc. (formerly Fluidigm Corporation)</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29">
              <w:r>
                <w:rPr>
                  <w:rFonts w:ascii="Times New Roman" w:cs="Times New Roman" w:eastAsia="Times New Roman" w:hAnsi="Times New Roman"/>
                  <w:sz w:val="16"/>
                  <w:szCs w:val="16"/>
                  <w:color w:val="0000FF"/>
                </w:rPr>
                <w:t>and the National Institutes of Health.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140" w:type="dxa"/>
            <w:vAlign w:val="bottom"/>
          </w:tcPr>
          <w:p>
            <w:pPr>
              <w:spacing w:after="0"/>
              <w:rPr>
                <w:sz w:val="23"/>
                <w:szCs w:val="23"/>
                <w:color w:val="auto"/>
              </w:rPr>
            </w:pPr>
          </w:p>
        </w:tc>
        <w:tc>
          <w:tcPr>
            <w:tcW w:w="5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w w:val="98"/>
              </w:rPr>
            </w:pPr>
            <w:hyperlink r:id="rId530">
              <w:r>
                <w:rPr>
                  <w:rFonts w:ascii="Times New Roman" w:cs="Times New Roman" w:eastAsia="Times New Roman" w:hAnsi="Times New Roman"/>
                  <w:sz w:val="16"/>
                  <w:szCs w:val="16"/>
                  <w:color w:val="0000FF"/>
                  <w:w w:val="98"/>
                </w:rPr>
                <w:t>Private Placement Warrants Purchase Agreement, dated February 22, 2021, by</w:t>
              </w:r>
            </w:hyperlink>
          </w:p>
        </w:tc>
        <w:tc>
          <w:tcPr>
            <w:tcW w:w="140" w:type="dxa"/>
            <w:vAlign w:val="bottom"/>
            <w:gridSpan w:val="5"/>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w w:val="98"/>
              </w:rPr>
            </w:pPr>
            <w:hyperlink r:id="rId530">
              <w:r>
                <w:rPr>
                  <w:rFonts w:ascii="Times New Roman" w:cs="Times New Roman" w:eastAsia="Times New Roman" w:hAnsi="Times New Roman"/>
                  <w:sz w:val="16"/>
                  <w:szCs w:val="16"/>
                  <w:color w:val="0000FF"/>
                  <w:w w:val="98"/>
                </w:rPr>
                <w:t>and among SomaLogic, Inc. (formerly CM Life Sciences II Inc.), CMLS</w:t>
              </w:r>
            </w:hyperlink>
          </w:p>
        </w:tc>
        <w:tc>
          <w:tcPr>
            <w:tcW w:w="5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tcBorders>
              <w:bottom w:val="single" w:sz="8" w:color="0000FF"/>
            </w:tcBorders>
            <w:gridSpan w:val="24"/>
          </w:tcPr>
          <w:p>
            <w:pPr>
              <w:spacing w:after="0" w:line="169" w:lineRule="exact"/>
              <w:rPr>
                <w:rFonts w:ascii="Times New Roman" w:cs="Times New Roman" w:eastAsia="Times New Roman" w:hAnsi="Times New Roman"/>
                <w:sz w:val="16"/>
                <w:szCs w:val="16"/>
                <w:color w:val="0000FF"/>
                <w:w w:val="98"/>
              </w:rPr>
            </w:pPr>
            <w:hyperlink r:id="rId530">
              <w:r>
                <w:rPr>
                  <w:rFonts w:ascii="Times New Roman" w:cs="Times New Roman" w:eastAsia="Times New Roman" w:hAnsi="Times New Roman"/>
                  <w:sz w:val="16"/>
                  <w:szCs w:val="16"/>
                  <w:color w:val="0000FF"/>
                  <w:w w:val="98"/>
                </w:rPr>
                <w:t>Holdings LLC and certain directors (and/or entities controlled by them) named</w:t>
              </w:r>
            </w:hyperlink>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0000FF"/>
            </w:tcBorders>
            <w:gridSpan w:val="4"/>
          </w:tcPr>
          <w:p>
            <w:pPr>
              <w:spacing w:after="0" w:line="169" w:lineRule="exact"/>
              <w:rPr>
                <w:rFonts w:ascii="Times New Roman" w:cs="Times New Roman" w:eastAsia="Times New Roman" w:hAnsi="Times New Roman"/>
                <w:sz w:val="16"/>
                <w:szCs w:val="16"/>
                <w:color w:val="0000FF"/>
                <w:w w:val="97"/>
              </w:rPr>
            </w:pPr>
            <w:hyperlink r:id="rId530">
              <w:r>
                <w:rPr>
                  <w:rFonts w:ascii="Times New Roman" w:cs="Times New Roman" w:eastAsia="Times New Roman" w:hAnsi="Times New Roman"/>
                  <w:sz w:val="16"/>
                  <w:szCs w:val="16"/>
                  <w:color w:val="0000FF"/>
                  <w:w w:val="97"/>
                </w:rPr>
                <w:t>in Exhibit A thereto.</w:t>
              </w:r>
            </w:hyperlink>
          </w:p>
        </w:tc>
        <w:tc>
          <w:tcPr>
            <w:tcW w:w="384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140" w:type="dxa"/>
            <w:vAlign w:val="bottom"/>
          </w:tcPr>
          <w:p>
            <w:pPr>
              <w:spacing w:after="0"/>
              <w:rPr>
                <w:sz w:val="23"/>
                <w:szCs w:val="23"/>
                <w:color w:val="auto"/>
              </w:rPr>
            </w:pPr>
          </w:p>
        </w:tc>
        <w:tc>
          <w:tcPr>
            <w:tcW w:w="496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w w:val="99"/>
              </w:rPr>
            </w:pPr>
            <w:hyperlink r:id="rId531">
              <w:r>
                <w:rPr>
                  <w:rFonts w:ascii="Times New Roman" w:cs="Times New Roman" w:eastAsia="Times New Roman" w:hAnsi="Times New Roman"/>
                  <w:sz w:val="16"/>
                  <w:szCs w:val="16"/>
                  <w:color w:val="0000FF"/>
                  <w:w w:val="99"/>
                </w:rPr>
                <w:t>Registration Rights Agreement, dated as of January 23, 2022, by and between</w:t>
              </w:r>
            </w:hyperlink>
          </w:p>
        </w:tc>
        <w:tc>
          <w:tcPr>
            <w:tcW w:w="18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9"/>
          </w:tcPr>
          <w:p>
            <w:pPr>
              <w:spacing w:after="0" w:line="169" w:lineRule="exact"/>
              <w:rPr>
                <w:rFonts w:ascii="Times New Roman" w:cs="Times New Roman" w:eastAsia="Times New Roman" w:hAnsi="Times New Roman"/>
                <w:sz w:val="16"/>
                <w:szCs w:val="16"/>
                <w:color w:val="0000FF"/>
                <w:w w:val="98"/>
              </w:rPr>
            </w:pPr>
            <w:hyperlink r:id="rId531">
              <w:r>
                <w:rPr>
                  <w:rFonts w:ascii="Times New Roman" w:cs="Times New Roman" w:eastAsia="Times New Roman" w:hAnsi="Times New Roman"/>
                  <w:sz w:val="16"/>
                  <w:szCs w:val="16"/>
                  <w:color w:val="0000FF"/>
                  <w:w w:val="98"/>
                </w:rPr>
                <w:t>Standard BioTools Inc. (formerly Fluidigm Corporation), Casdin Private Growth</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tcBorders>
              <w:bottom w:val="single" w:sz="8" w:color="0000FF"/>
            </w:tcBorders>
            <w:gridSpan w:val="15"/>
          </w:tcPr>
          <w:p>
            <w:pPr>
              <w:spacing w:after="0" w:line="169" w:lineRule="exact"/>
              <w:rPr>
                <w:rFonts w:ascii="Times New Roman" w:cs="Times New Roman" w:eastAsia="Times New Roman" w:hAnsi="Times New Roman"/>
                <w:sz w:val="16"/>
                <w:szCs w:val="16"/>
                <w:color w:val="0000FF"/>
                <w:w w:val="98"/>
              </w:rPr>
            </w:pPr>
            <w:hyperlink r:id="rId531">
              <w:r>
                <w:rPr>
                  <w:rFonts w:ascii="Times New Roman" w:cs="Times New Roman" w:eastAsia="Times New Roman" w:hAnsi="Times New Roman"/>
                  <w:sz w:val="16"/>
                  <w:szCs w:val="16"/>
                  <w:color w:val="0000FF"/>
                  <w:w w:val="98"/>
                </w:rPr>
                <w:t>Equity Fund II, L.P., Casdin Partners Master Fund, L.P., Viking Global</w:t>
              </w:r>
            </w:hyperlink>
          </w:p>
        </w:tc>
        <w:tc>
          <w:tcPr>
            <w:tcW w:w="6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60" w:type="dxa"/>
            <w:vAlign w:val="bottom"/>
            <w:tcBorders>
              <w:bottom w:val="single" w:sz="8" w:color="0000FF"/>
            </w:tcBorders>
            <w:gridSpan w:val="14"/>
          </w:tcPr>
          <w:p>
            <w:pPr>
              <w:spacing w:after="0" w:line="169" w:lineRule="exact"/>
              <w:rPr>
                <w:rFonts w:ascii="Times New Roman" w:cs="Times New Roman" w:eastAsia="Times New Roman" w:hAnsi="Times New Roman"/>
                <w:sz w:val="16"/>
                <w:szCs w:val="16"/>
                <w:color w:val="0000FF"/>
                <w:w w:val="98"/>
              </w:rPr>
            </w:pPr>
            <w:hyperlink r:id="rId531">
              <w:r>
                <w:rPr>
                  <w:rFonts w:ascii="Times New Roman" w:cs="Times New Roman" w:eastAsia="Times New Roman" w:hAnsi="Times New Roman"/>
                  <w:sz w:val="16"/>
                  <w:szCs w:val="16"/>
                  <w:color w:val="0000FF"/>
                  <w:w w:val="98"/>
                </w:rPr>
                <w:t>Opportunities Illiquid Investments Sub-Master LP, and Viking Global</w:t>
              </w:r>
            </w:hyperlink>
          </w:p>
        </w:tc>
        <w:tc>
          <w:tcPr>
            <w:tcW w:w="6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9"/>
          </w:tcPr>
          <w:p>
            <w:pPr>
              <w:spacing w:after="0" w:line="169" w:lineRule="exact"/>
              <w:rPr>
                <w:rFonts w:ascii="Times New Roman" w:cs="Times New Roman" w:eastAsia="Times New Roman" w:hAnsi="Times New Roman"/>
                <w:sz w:val="16"/>
                <w:szCs w:val="16"/>
                <w:color w:val="0000FF"/>
              </w:rPr>
            </w:pPr>
            <w:hyperlink r:id="rId531">
              <w:r>
                <w:rPr>
                  <w:rFonts w:ascii="Times New Roman" w:cs="Times New Roman" w:eastAsia="Times New Roman" w:hAnsi="Times New Roman"/>
                  <w:sz w:val="16"/>
                  <w:szCs w:val="16"/>
                  <w:color w:val="0000FF"/>
                </w:rPr>
                <w:t>Opportunities Drawdown (Aggregator) LP.</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140" w:type="dxa"/>
            <w:vAlign w:val="bottom"/>
          </w:tcPr>
          <w:p>
            <w:pPr>
              <w:spacing w:after="0"/>
              <w:rPr>
                <w:sz w:val="23"/>
                <w:szCs w:val="23"/>
                <w:color w:val="auto"/>
              </w:rPr>
            </w:pPr>
          </w:p>
        </w:tc>
        <w:tc>
          <w:tcPr>
            <w:tcW w:w="486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9"/>
              </w:rPr>
            </w:pPr>
            <w:hyperlink r:id="rId532">
              <w:r>
                <w:rPr>
                  <w:rFonts w:ascii="Times New Roman" w:cs="Times New Roman" w:eastAsia="Times New Roman" w:hAnsi="Times New Roman"/>
                  <w:sz w:val="16"/>
                  <w:szCs w:val="16"/>
                  <w:color w:val="0000FF"/>
                  <w:w w:val="99"/>
                </w:rPr>
                <w:t>SomaLogic, Inc. (formerly CM Life Sciences II Inc.) Form of Amended and</w:t>
              </w:r>
            </w:hyperlink>
          </w:p>
        </w:tc>
        <w:tc>
          <w:tcPr>
            <w:tcW w:w="28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0000FF"/>
            </w:tcBorders>
            <w:gridSpan w:val="11"/>
          </w:tcPr>
          <w:p>
            <w:pPr>
              <w:spacing w:after="0" w:line="169" w:lineRule="exact"/>
              <w:rPr>
                <w:rFonts w:ascii="Times New Roman" w:cs="Times New Roman" w:eastAsia="Times New Roman" w:hAnsi="Times New Roman"/>
                <w:sz w:val="16"/>
                <w:szCs w:val="16"/>
                <w:color w:val="0000FF"/>
                <w:w w:val="97"/>
              </w:rPr>
            </w:pPr>
            <w:hyperlink r:id="rId532">
              <w:r>
                <w:rPr>
                  <w:rFonts w:ascii="Times New Roman" w:cs="Times New Roman" w:eastAsia="Times New Roman" w:hAnsi="Times New Roman"/>
                  <w:sz w:val="16"/>
                  <w:szCs w:val="16"/>
                  <w:color w:val="0000FF"/>
                  <w:w w:val="97"/>
                </w:rPr>
                <w:t>Restated Registration Rights Agreement.</w:t>
              </w:r>
            </w:hyperlink>
          </w:p>
        </w:tc>
        <w:tc>
          <w:tcPr>
            <w:tcW w:w="25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140" w:type="dxa"/>
            <w:vAlign w:val="bottom"/>
          </w:tcPr>
          <w:p>
            <w:pPr>
              <w:spacing w:after="0"/>
              <w:rPr>
                <w:sz w:val="23"/>
                <w:szCs w:val="23"/>
                <w:color w:val="auto"/>
              </w:rPr>
            </w:pPr>
          </w:p>
        </w:tc>
        <w:tc>
          <w:tcPr>
            <w:tcW w:w="5140" w:type="dxa"/>
            <w:vAlign w:val="bottom"/>
            <w:gridSpan w:val="29"/>
          </w:tcPr>
          <w:p>
            <w:pPr>
              <w:spacing w:after="0"/>
              <w:rPr>
                <w:rFonts w:ascii="Times New Roman" w:cs="Times New Roman" w:eastAsia="Times New Roman" w:hAnsi="Times New Roman"/>
                <w:sz w:val="16"/>
                <w:szCs w:val="16"/>
                <w:color w:val="0000FF"/>
                <w:w w:val="99"/>
              </w:rPr>
            </w:pPr>
            <w:hyperlink r:id="rId533">
              <w:r>
                <w:rPr>
                  <w:rFonts w:ascii="Times New Roman" w:cs="Times New Roman" w:eastAsia="Times New Roman" w:hAnsi="Times New Roman"/>
                  <w:sz w:val="16"/>
                  <w:szCs w:val="16"/>
                  <w:color w:val="0000FF"/>
                  <w:w w:val="99"/>
                </w:rPr>
                <w:t>Standard BioTools Inc. (formerly Fluidigm Corporation) Executive Bonus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700" w:type="dxa"/>
            <w:vAlign w:val="bottom"/>
            <w:gridSpan w:val="9"/>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140" w:type="dxa"/>
            <w:vAlign w:val="bottom"/>
          </w:tcPr>
          <w:p>
            <w:pPr>
              <w:spacing w:after="0"/>
              <w:rPr>
                <w:sz w:val="23"/>
                <w:szCs w:val="23"/>
                <w:color w:val="auto"/>
              </w:rPr>
            </w:pPr>
          </w:p>
        </w:tc>
        <w:tc>
          <w:tcPr>
            <w:tcW w:w="510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w w:val="98"/>
              </w:rPr>
            </w:pPr>
            <w:hyperlink r:id="rId534">
              <w:r>
                <w:rPr>
                  <w:rFonts w:ascii="Times New Roman" w:cs="Times New Roman" w:eastAsia="Times New Roman" w:hAnsi="Times New Roman"/>
                  <w:sz w:val="16"/>
                  <w:szCs w:val="16"/>
                  <w:color w:val="0000FF"/>
                  <w:w w:val="98"/>
                </w:rPr>
                <w:t>Form of Amended and Restated Employment and Severance Agreement entered</w:t>
              </w:r>
            </w:hyperlink>
          </w:p>
        </w:tc>
        <w:tc>
          <w:tcPr>
            <w:tcW w:w="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tcBorders>
              <w:bottom w:val="single" w:sz="8" w:color="0000FF"/>
            </w:tcBorders>
            <w:gridSpan w:val="22"/>
          </w:tcPr>
          <w:p>
            <w:pPr>
              <w:spacing w:after="0" w:line="169" w:lineRule="exact"/>
              <w:rPr>
                <w:rFonts w:ascii="Times New Roman" w:cs="Times New Roman" w:eastAsia="Times New Roman" w:hAnsi="Times New Roman"/>
                <w:sz w:val="16"/>
                <w:szCs w:val="16"/>
                <w:color w:val="0000FF"/>
                <w:w w:val="99"/>
              </w:rPr>
            </w:pPr>
            <w:hyperlink r:id="rId534">
              <w:r>
                <w:rPr>
                  <w:rFonts w:ascii="Times New Roman" w:cs="Times New Roman" w:eastAsia="Times New Roman" w:hAnsi="Times New Roman"/>
                  <w:sz w:val="16"/>
                  <w:szCs w:val="16"/>
                  <w:color w:val="0000FF"/>
                  <w:w w:val="99"/>
                </w:rPr>
                <w:t>into by and between Standard BioTools Inc. (formerly Fluidigm Corporation)</w:t>
              </w:r>
            </w:hyperlink>
          </w:p>
        </w:tc>
        <w:tc>
          <w:tcPr>
            <w:tcW w:w="2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7"/>
              </w:rPr>
            </w:pPr>
            <w:hyperlink r:id="rId534">
              <w:r>
                <w:rPr>
                  <w:rFonts w:ascii="Times New Roman" w:cs="Times New Roman" w:eastAsia="Times New Roman" w:hAnsi="Times New Roman"/>
                  <w:sz w:val="16"/>
                  <w:szCs w:val="16"/>
                  <w:color w:val="0000FF"/>
                  <w:w w:val="97"/>
                </w:rPr>
                <w:t>and each of its executive officers.</w:t>
              </w:r>
            </w:hyperlink>
          </w:p>
        </w:tc>
        <w:tc>
          <w:tcPr>
            <w:tcW w:w="302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140" w:type="dxa"/>
            <w:vAlign w:val="bottom"/>
          </w:tcPr>
          <w:p>
            <w:pPr>
              <w:spacing w:after="0"/>
              <w:rPr>
                <w:sz w:val="23"/>
                <w:szCs w:val="23"/>
                <w:color w:val="auto"/>
              </w:rPr>
            </w:pPr>
          </w:p>
        </w:tc>
        <w:tc>
          <w:tcPr>
            <w:tcW w:w="48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8"/>
              </w:rPr>
            </w:pPr>
            <w:hyperlink r:id="rId535">
              <w:r>
                <w:rPr>
                  <w:rFonts w:ascii="Times New Roman" w:cs="Times New Roman" w:eastAsia="Times New Roman" w:hAnsi="Times New Roman"/>
                  <w:sz w:val="16"/>
                  <w:szCs w:val="16"/>
                  <w:color w:val="0000FF"/>
                  <w:w w:val="98"/>
                </w:rPr>
                <w:t>Standard BioTools Inc. (formerly Fluidigm Corporation) Form of Retention</w:t>
              </w:r>
            </w:hyperlink>
          </w:p>
        </w:tc>
        <w:tc>
          <w:tcPr>
            <w:tcW w:w="32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0000FF"/>
            </w:tcBorders>
          </w:tcPr>
          <w:p>
            <w:pPr>
              <w:spacing w:after="0" w:line="169" w:lineRule="exact"/>
              <w:rPr>
                <w:rFonts w:ascii="Times New Roman" w:cs="Times New Roman" w:eastAsia="Times New Roman" w:hAnsi="Times New Roman"/>
                <w:sz w:val="16"/>
                <w:szCs w:val="16"/>
                <w:color w:val="0000FF"/>
                <w:w w:val="94"/>
              </w:rPr>
            </w:pPr>
            <w:hyperlink r:id="rId535">
              <w:r>
                <w:rPr>
                  <w:rFonts w:ascii="Times New Roman" w:cs="Times New Roman" w:eastAsia="Times New Roman" w:hAnsi="Times New Roman"/>
                  <w:sz w:val="16"/>
                  <w:szCs w:val="16"/>
                  <w:color w:val="0000FF"/>
                  <w:w w:val="94"/>
                </w:rPr>
                <w:t>Letter.</w:t>
              </w:r>
            </w:hyperlink>
          </w:p>
        </w:tc>
        <w:tc>
          <w:tcPr>
            <w:tcW w:w="20" w:type="dxa"/>
            <w:vAlign w:val="bottom"/>
            <w:tcBorders>
              <w:bottom w:val="single" w:sz="8" w:color="0000EE"/>
            </w:tcBorders>
          </w:tcPr>
          <w:p>
            <w:pPr>
              <w:spacing w:after="0"/>
              <w:rPr>
                <w:sz w:val="14"/>
                <w:szCs w:val="14"/>
                <w:color w:val="auto"/>
              </w:rPr>
            </w:pPr>
          </w:p>
        </w:tc>
        <w:tc>
          <w:tcPr>
            <w:tcW w:w="4700" w:type="dxa"/>
            <w:vAlign w:val="bottom"/>
            <w:gridSpan w:val="27"/>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tcPr>
          <w:p>
            <w:pPr>
              <w:spacing w:after="0"/>
              <w:rPr>
                <w:sz w:val="23"/>
                <w:szCs w:val="23"/>
                <w:color w:val="auto"/>
              </w:rPr>
            </w:pPr>
          </w:p>
        </w:tc>
        <w:tc>
          <w:tcPr>
            <w:tcW w:w="5140" w:type="dxa"/>
            <w:vAlign w:val="bottom"/>
            <w:gridSpan w:val="29"/>
          </w:tcPr>
          <w:p>
            <w:pPr>
              <w:spacing w:after="0"/>
              <w:rPr>
                <w:rFonts w:ascii="Times New Roman" w:cs="Times New Roman" w:eastAsia="Times New Roman" w:hAnsi="Times New Roman"/>
                <w:sz w:val="16"/>
                <w:szCs w:val="16"/>
                <w:color w:val="0000FF"/>
              </w:rPr>
            </w:pPr>
            <w:hyperlink r:id="rId536">
              <w:r>
                <w:rPr>
                  <w:rFonts w:ascii="Times New Roman" w:cs="Times New Roman" w:eastAsia="Times New Roman" w:hAnsi="Times New Roman"/>
                  <w:sz w:val="16"/>
                  <w:szCs w:val="16"/>
                  <w:color w:val="0000FF"/>
                </w:rPr>
                <w:t>Michael Egholm Offer Letter.</w:t>
              </w:r>
            </w:hyperlink>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140" w:type="dxa"/>
            <w:vAlign w:val="bottom"/>
          </w:tcPr>
          <w:p>
            <w:pPr>
              <w:spacing w:after="0"/>
              <w:rPr>
                <w:sz w:val="23"/>
                <w:szCs w:val="23"/>
                <w:color w:val="auto"/>
              </w:rPr>
            </w:pPr>
          </w:p>
        </w:tc>
        <w:tc>
          <w:tcPr>
            <w:tcW w:w="14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w w:val="96"/>
              </w:rPr>
            </w:pPr>
            <w:hyperlink r:id="rId537">
              <w:r>
                <w:rPr>
                  <w:rFonts w:ascii="Times New Roman" w:cs="Times New Roman" w:eastAsia="Times New Roman" w:hAnsi="Times New Roman"/>
                  <w:sz w:val="16"/>
                  <w:szCs w:val="16"/>
                  <w:color w:val="0000FF"/>
                  <w:w w:val="96"/>
                </w:rPr>
                <w:t>Alex Kim Offer Letter.</w:t>
              </w:r>
            </w:hyperlink>
          </w:p>
        </w:tc>
        <w:tc>
          <w:tcPr>
            <w:tcW w:w="420" w:type="dxa"/>
            <w:vAlign w:val="bottom"/>
            <w:tcBorders>
              <w:top w:val="single" w:sz="8" w:color="0000FF"/>
            </w:tcBorders>
            <w:gridSpan w:val="3"/>
          </w:tcPr>
          <w:p>
            <w:pPr>
              <w:spacing w:after="0"/>
              <w:rPr>
                <w:sz w:val="23"/>
                <w:szCs w:val="23"/>
                <w:color w:val="auto"/>
              </w:rPr>
            </w:pPr>
          </w:p>
        </w:tc>
        <w:tc>
          <w:tcPr>
            <w:tcW w:w="3260" w:type="dxa"/>
            <w:vAlign w:val="bottom"/>
            <w:gridSpan w:val="21"/>
          </w:tcPr>
          <w:p>
            <w:pPr>
              <w:spacing w:after="0"/>
              <w:rPr>
                <w:sz w:val="23"/>
                <w:szCs w:val="23"/>
                <w:color w:val="auto"/>
              </w:rPr>
            </w:pPr>
          </w:p>
        </w:tc>
        <w:tc>
          <w:tcPr>
            <w:tcW w:w="0" w:type="dxa"/>
            <w:vAlign w:val="bottom"/>
          </w:tcPr>
          <w:p>
            <w:pPr>
              <w:spacing w:after="0"/>
              <w:rPr>
                <w:sz w:val="1"/>
                <w:szCs w:val="1"/>
                <w:color w:val="auto"/>
              </w:rPr>
            </w:pPr>
          </w:p>
        </w:tc>
      </w:tr>
      <w:tr>
        <w:trPr>
          <w:trHeight w:val="501"/>
        </w:trPr>
        <w:tc>
          <w:tcPr>
            <w:tcW w:w="780" w:type="dxa"/>
            <w:vAlign w:val="bottom"/>
          </w:tcPr>
          <w:p>
            <w:pPr>
              <w:spacing w:after="0"/>
              <w:rPr>
                <w:sz w:val="24"/>
                <w:szCs w:val="24"/>
                <w:color w:val="auto"/>
              </w:rPr>
            </w:pPr>
          </w:p>
        </w:tc>
        <w:tc>
          <w:tcPr>
            <w:tcW w:w="5140" w:type="dxa"/>
            <w:vAlign w:val="bottom"/>
            <w:gridSpan w:val="25"/>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80" w:type="dxa"/>
            <w:vAlign w:val="bottom"/>
            <w:vMerge w:val="restart"/>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8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80" w:type="dxa"/>
            <w:vAlign w:val="bottom"/>
          </w:tcPr>
          <w:p>
            <w:pPr>
              <w:jc w:val="center"/>
              <w:ind w:right="44"/>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98"/>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58"/>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11/22/2019</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11/9/2020</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8/6/2021</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11/9/2021</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2/26/2021</w:t>
            </w:r>
          </w:p>
        </w:tc>
        <w:tc>
          <w:tcPr>
            <w:tcW w:w="0" w:type="dxa"/>
            <w:vAlign w:val="bottom"/>
          </w:tcPr>
          <w:p>
            <w:pPr>
              <w:spacing w:after="0"/>
              <w:rPr>
                <w:sz w:val="1"/>
                <w:szCs w:val="1"/>
                <w:color w:val="auto"/>
              </w:rPr>
            </w:pPr>
          </w:p>
        </w:tc>
      </w:tr>
      <w:tr>
        <w:trPr>
          <w:trHeight w:val="863"/>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r>
        <w:trPr>
          <w:trHeight w:val="1053"/>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3/29/2021</w:t>
            </w:r>
          </w:p>
        </w:tc>
        <w:tc>
          <w:tcPr>
            <w:tcW w:w="0" w:type="dxa"/>
            <w:vAlign w:val="bottom"/>
          </w:tcPr>
          <w:p>
            <w:pPr>
              <w:spacing w:after="0"/>
              <w:rPr>
                <w:sz w:val="1"/>
                <w:szCs w:val="1"/>
                <w:color w:val="auto"/>
              </w:rPr>
            </w:pPr>
          </w:p>
        </w:tc>
      </w:tr>
      <w:tr>
        <w:trPr>
          <w:trHeight w:val="485"/>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7"/>
              </w:rPr>
              <w:t>10-Q</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3/28/2011</w:t>
            </w:r>
          </w:p>
        </w:tc>
        <w:tc>
          <w:tcPr>
            <w:tcW w:w="0" w:type="dxa"/>
            <w:vAlign w:val="bottom"/>
          </w:tcPr>
          <w:p>
            <w:pPr>
              <w:spacing w:after="0"/>
              <w:rPr>
                <w:sz w:val="1"/>
                <w:szCs w:val="1"/>
                <w:color w:val="auto"/>
              </w:rPr>
            </w:pPr>
          </w:p>
        </w:tc>
      </w:tr>
      <w:tr>
        <w:trPr>
          <w:trHeight w:val="296"/>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12/11/2012</w:t>
            </w:r>
          </w:p>
        </w:tc>
        <w:tc>
          <w:tcPr>
            <w:tcW w:w="0" w:type="dxa"/>
            <w:vAlign w:val="bottom"/>
          </w:tcPr>
          <w:p>
            <w:pPr>
              <w:spacing w:after="0"/>
              <w:rPr>
                <w:sz w:val="1"/>
                <w:szCs w:val="1"/>
                <w:color w:val="auto"/>
              </w:rPr>
            </w:pPr>
          </w:p>
        </w:tc>
      </w:tr>
      <w:tr>
        <w:trPr>
          <w:trHeight w:val="674"/>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10.10</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r>
        <w:trPr>
          <w:trHeight w:val="485"/>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r>
        <w:trPr>
          <w:trHeight w:val="296"/>
        </w:trPr>
        <w:tc>
          <w:tcPr>
            <w:tcW w:w="1080" w:type="dxa"/>
            <w:vAlign w:val="bottom"/>
          </w:tcPr>
          <w:p>
            <w:pPr>
              <w:jc w:val="center"/>
              <w:ind w:right="44"/>
              <w:spacing w:after="0"/>
              <w:rPr>
                <w:sz w:val="20"/>
                <w:szCs w:val="20"/>
                <w:color w:val="auto"/>
              </w:rPr>
            </w:pPr>
            <w:r>
              <w:rPr>
                <w:rFonts w:ascii="Times New Roman" w:cs="Times New Roman" w:eastAsia="Times New Roman" w:hAnsi="Times New Roman"/>
                <w:sz w:val="16"/>
                <w:szCs w:val="16"/>
                <w:color w:val="auto"/>
                <w:w w:val="96"/>
              </w:rPr>
              <w:t>8-K</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10.9</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1/24/2022</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123" w:name="page124"/>
    <w:bookmarkEnd w:id="123"/>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980" w:type="dxa"/>
            <w:vAlign w:val="bottom"/>
            <w:vMerge w:val="restart"/>
          </w:tcPr>
          <w:p>
            <w:pPr>
              <w:ind w:left="1360"/>
              <w:spacing w:after="0"/>
              <w:rPr>
                <w:sz w:val="20"/>
                <w:szCs w:val="20"/>
                <w:color w:val="auto"/>
              </w:rPr>
            </w:pPr>
            <w:r>
              <w:rPr>
                <w:rFonts w:ascii="Times New Roman" w:cs="Times New Roman" w:eastAsia="Times New Roman" w:hAnsi="Times New Roman"/>
                <w:sz w:val="13"/>
                <w:szCs w:val="13"/>
                <w:b w:val="1"/>
                <w:bCs w:val="1"/>
                <w:color w:val="auto"/>
                <w:w w:val="93"/>
              </w:rPr>
              <w:t>Description</w:t>
            </w:r>
          </w:p>
        </w:tc>
        <w:tc>
          <w:tcPr>
            <w:tcW w:w="0" w:type="dxa"/>
            <w:vAlign w:val="bottom"/>
          </w:tcPr>
          <w:p>
            <w:pPr>
              <w:spacing w:after="0"/>
              <w:rPr>
                <w:sz w:val="1"/>
                <w:szCs w:val="1"/>
                <w:color w:val="auto"/>
              </w:rPr>
            </w:pPr>
          </w:p>
        </w:tc>
      </w:tr>
      <w:tr>
        <w:trPr>
          <w:trHeight w:val="166"/>
        </w:trPr>
        <w:tc>
          <w:tcPr>
            <w:tcW w:w="1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color w:val="auto"/>
        </w:rPr>
        <w:t>10.36#</w:t>
      </w:r>
      <w:r>
        <w:rPr>
          <w:sz w:val="20"/>
          <w:szCs w:val="20"/>
          <w:color w:val="auto"/>
        </w:rPr>
        <w:tab/>
      </w:r>
      <w:r>
        <w:rPr>
          <w:rFonts w:ascii="Times New Roman" w:cs="Times New Roman" w:eastAsia="Times New Roman" w:hAnsi="Times New Roman"/>
          <w:sz w:val="15"/>
          <w:szCs w:val="15"/>
          <w:u w:val="single" w:color="auto"/>
          <w:color w:val="0000FF"/>
        </w:rPr>
        <w:t>Sean Mackay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3852545"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9">
                      <a:extLst>
                        <a:ext uri="{28A0092B-C50C-407E-A947-70E740481C1C}"/>
                      </a:extLst>
                    </a:blip>
                    <a:srcRect/>
                    <a:stretch>
                      <a:fillRect/>
                    </a:stretch>
                  </pic:blipFill>
                  <pic:spPr bwMode="auto">
                    <a:xfrm>
                      <a:off x="0" y="0"/>
                      <a:ext cx="385254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-8255</wp:posOffset>
            </wp:positionV>
            <wp:extent cx="107251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0">
                      <a:extLst>
                        <a:ext uri="{28A0092B-C50C-407E-A947-70E740481C1C}"/>
                      </a:extLst>
                    </a:blip>
                    <a:srcRect/>
                    <a:stretch>
                      <a:fillRect/>
                    </a:stretch>
                  </pic:blipFill>
                  <pic:spPr bwMode="auto">
                    <a:xfrm>
                      <a:off x="0" y="0"/>
                      <a:ext cx="1072515" cy="7620"/>
                    </a:xfrm>
                    <a:prstGeom prst="rect">
                      <a:avLst/>
                    </a:prstGeom>
                    <a:noFill/>
                  </pic:spPr>
                </pic:pic>
              </a:graphicData>
            </a:graphic>
          </wp:anchor>
        </w:drawing>
      </w:r>
    </w:p>
    <w:p>
      <w:pPr>
        <w:spacing w:after="0" w:line="281" w:lineRule="exact"/>
        <w:rPr>
          <w:sz w:val="20"/>
          <w:szCs w:val="20"/>
          <w:color w:val="auto"/>
        </w:rPr>
      </w:pPr>
    </w:p>
    <w:p>
      <w:pPr>
        <w:ind w:left="920" w:right="44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10.37#</w:t>
      </w:r>
      <w:r>
        <w:rPr>
          <w:sz w:val="20"/>
          <w:szCs w:val="20"/>
          <w:color w:val="auto"/>
        </w:rPr>
        <w:tab/>
      </w:r>
      <w:hyperlink r:id="rId541">
        <w:r>
          <w:rPr>
            <w:rFonts w:ascii="Times New Roman" w:cs="Times New Roman" w:eastAsia="Times New Roman" w:hAnsi="Times New Roman"/>
            <w:sz w:val="16"/>
            <w:szCs w:val="16"/>
            <w:u w:val="single" w:color="auto"/>
            <w:color w:val="0000FF"/>
          </w:rPr>
          <w:t>Standard BioTools Inc. (formerly Fluidigm Corporation) 2020 Change of</w:t>
        </w:r>
      </w:hyperlink>
      <w:r>
        <w:rPr>
          <w:rFonts w:ascii="Times New Roman" w:cs="Times New Roman" w:eastAsia="Times New Roman" w:hAnsi="Times New Roman"/>
          <w:sz w:val="16"/>
          <w:szCs w:val="16"/>
          <w:u w:val="single" w:color="auto"/>
          <w:color w:val="0000FF"/>
        </w:rPr>
        <w:t xml:space="preserve"> </w:t>
      </w:r>
      <w:hyperlink r:id="rId541">
        <w:r>
          <w:rPr>
            <w:rFonts w:ascii="Times New Roman" w:cs="Times New Roman" w:eastAsia="Times New Roman" w:hAnsi="Times New Roman"/>
            <w:sz w:val="16"/>
            <w:szCs w:val="16"/>
            <w:u w:val="single" w:color="auto"/>
            <w:color w:val="0000FF"/>
          </w:rPr>
          <w:t>Control and 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296354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2">
                      <a:extLst>
                        <a:ext uri="{28A0092B-C50C-407E-A947-70E740481C1C}"/>
                      </a:extLst>
                    </a:blip>
                    <a:srcRect/>
                    <a:stretch>
                      <a:fillRect/>
                    </a:stretch>
                  </pic:blipFill>
                  <pic:spPr bwMode="auto">
                    <a:xfrm>
                      <a:off x="0" y="0"/>
                      <a:ext cx="296354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1139825"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3">
                      <a:extLst>
                        <a:ext uri="{28A0092B-C50C-407E-A947-70E740481C1C}"/>
                      </a:extLst>
                    </a:blip>
                    <a:srcRect/>
                    <a:stretch>
                      <a:fillRect/>
                    </a:stretch>
                  </pic:blipFill>
                  <pic:spPr bwMode="auto">
                    <a:xfrm>
                      <a:off x="0" y="0"/>
                      <a:ext cx="1139825" cy="7620"/>
                    </a:xfrm>
                    <a:prstGeom prst="rect">
                      <a:avLst/>
                    </a:prstGeom>
                    <a:noFill/>
                  </pic:spPr>
                </pic:pic>
              </a:graphicData>
            </a:graphic>
          </wp:anchor>
        </w:drawing>
      </w:r>
    </w:p>
    <w:p>
      <w:pPr>
        <w:spacing w:after="0" w:line="42" w:lineRule="exact"/>
        <w:rPr>
          <w:sz w:val="20"/>
          <w:szCs w:val="20"/>
          <w:color w:val="auto"/>
        </w:rPr>
      </w:pPr>
    </w:p>
    <w:p>
      <w:pPr>
        <w:spacing w:after="0"/>
        <w:tabs>
          <w:tab w:leader="none" w:pos="9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10.38#</w:t>
      </w:r>
      <w:r>
        <w:rPr>
          <w:sz w:val="20"/>
          <w:szCs w:val="20"/>
          <w:color w:val="auto"/>
        </w:rPr>
        <w:tab/>
      </w:r>
      <w:hyperlink r:id="rId544">
        <w:r>
          <w:rPr>
            <w:rFonts w:ascii="Times New Roman" w:cs="Times New Roman" w:eastAsia="Times New Roman" w:hAnsi="Times New Roman"/>
            <w:sz w:val="15"/>
            <w:szCs w:val="15"/>
            <w:u w:val="single" w:color="auto"/>
            <w:color w:val="0000FF"/>
          </w:rPr>
          <w:t>Standard BioTools Inc. 2023 Change of Control and 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-8255</wp:posOffset>
            </wp:positionV>
            <wp:extent cx="276034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5">
                      <a:extLst>
                        <a:ext uri="{28A0092B-C50C-407E-A947-70E740481C1C}"/>
                      </a:extLst>
                    </a:blip>
                    <a:srcRect/>
                    <a:stretch>
                      <a:fillRect/>
                    </a:stretch>
                  </pic:blipFill>
                  <pic:spPr bwMode="auto">
                    <a:xfrm>
                      <a:off x="0" y="0"/>
                      <a:ext cx="2760345" cy="7620"/>
                    </a:xfrm>
                    <a:prstGeom prst="rect">
                      <a:avLst/>
                    </a:prstGeom>
                    <a:noFill/>
                  </pic:spPr>
                </pic:pic>
              </a:graphicData>
            </a:graphic>
          </wp:anchor>
        </w:drawing>
      </w:r>
    </w:p>
    <w:p>
      <w:pPr>
        <w:spacing w:after="0" w:line="92" w:lineRule="exact"/>
        <w:rPr>
          <w:sz w:val="20"/>
          <w:szCs w:val="20"/>
          <w:color w:val="auto"/>
        </w:rPr>
      </w:pPr>
    </w:p>
    <w:p>
      <w:pPr>
        <w:ind w:left="920" w:right="200" w:hanging="910"/>
        <w:spacing w:after="0" w:line="261"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10.39#</w:t>
      </w:r>
      <w:r>
        <w:rPr>
          <w:sz w:val="20"/>
          <w:szCs w:val="20"/>
          <w:color w:val="auto"/>
        </w:rPr>
        <w:tab/>
      </w:r>
      <w:hyperlink r:id="rId546">
        <w:r>
          <w:rPr>
            <w:rFonts w:ascii="Times New Roman" w:cs="Times New Roman" w:eastAsia="Times New Roman" w:hAnsi="Times New Roman"/>
            <w:sz w:val="16"/>
            <w:szCs w:val="16"/>
            <w:u w:val="single" w:color="auto"/>
            <w:color w:val="0000FF"/>
          </w:rPr>
          <w:t>Standard BioTools Inc. 2023 Change of Control and Severance Plan</w:t>
        </w:r>
      </w:hyperlink>
      <w:r>
        <w:rPr>
          <w:rFonts w:ascii="Times New Roman" w:cs="Times New Roman" w:eastAsia="Times New Roman" w:hAnsi="Times New Roman"/>
          <w:sz w:val="16"/>
          <w:szCs w:val="16"/>
          <w:u w:val="single" w:color="auto"/>
          <w:color w:val="0000FF"/>
        </w:rPr>
        <w:t xml:space="preserve"> </w:t>
      </w:r>
      <w:hyperlink r:id="rId546">
        <w:r>
          <w:rPr>
            <w:rFonts w:ascii="Times New Roman" w:cs="Times New Roman" w:eastAsia="Times New Roman" w:hAnsi="Times New Roman"/>
            <w:sz w:val="16"/>
            <w:szCs w:val="16"/>
            <w:u w:val="single" w:color="auto"/>
            <w:color w:val="0000FF"/>
          </w:rPr>
          <w:t>Participation Agreement, dated as of July 27, 2023, by and between Standard</w:t>
        </w:r>
      </w:hyperlink>
      <w:r>
        <w:rPr>
          <w:rFonts w:ascii="Times New Roman" w:cs="Times New Roman" w:eastAsia="Times New Roman" w:hAnsi="Times New Roman"/>
          <w:sz w:val="16"/>
          <w:szCs w:val="16"/>
          <w:u w:val="single" w:color="auto"/>
          <w:color w:val="0000FF"/>
        </w:rPr>
        <w:t xml:space="preserve"> </w:t>
      </w:r>
      <w:hyperlink r:id="rId546">
        <w:r>
          <w:rPr>
            <w:rFonts w:ascii="Times New Roman" w:cs="Times New Roman" w:eastAsia="Times New Roman" w:hAnsi="Times New Roman"/>
            <w:sz w:val="16"/>
            <w:szCs w:val="16"/>
            <w:u w:val="single" w:color="auto"/>
            <w:color w:val="0000FF"/>
          </w:rPr>
          <w:t>BioTools Inc. and Michael Egholm, Ph.D.</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-272415</wp:posOffset>
            </wp:positionV>
            <wp:extent cx="276034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7">
                      <a:extLst>
                        <a:ext uri="{28A0092B-C50C-407E-A947-70E740481C1C}"/>
                      </a:extLst>
                    </a:blip>
                    <a:srcRect/>
                    <a:stretch>
                      <a:fillRect/>
                    </a:stretch>
                  </pic:blipFill>
                  <pic:spPr bwMode="auto">
                    <a:xfrm>
                      <a:off x="0" y="0"/>
                      <a:ext cx="276034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-152400</wp:posOffset>
            </wp:positionV>
            <wp:extent cx="3115945"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8">
                      <a:extLst>
                        <a:ext uri="{28A0092B-C50C-407E-A947-70E740481C1C}"/>
                      </a:extLst>
                    </a:blip>
                    <a:srcRect/>
                    <a:stretch>
                      <a:fillRect/>
                    </a:stretch>
                  </pic:blipFill>
                  <pic:spPr bwMode="auto">
                    <a:xfrm>
                      <a:off x="0" y="0"/>
                      <a:ext cx="311594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-32385</wp:posOffset>
            </wp:positionV>
            <wp:extent cx="169291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9">
                      <a:extLst>
                        <a:ext uri="{28A0092B-C50C-407E-A947-70E740481C1C}"/>
                      </a:extLst>
                    </a:blip>
                    <a:srcRect/>
                    <a:stretch>
                      <a:fillRect/>
                    </a:stretch>
                  </pic:blipFill>
                  <pic:spPr bwMode="auto">
                    <a:xfrm>
                      <a:off x="0" y="0"/>
                      <a:ext cx="1692910" cy="7620"/>
                    </a:xfrm>
                    <a:prstGeom prst="rect">
                      <a:avLst/>
                    </a:prstGeom>
                    <a:noFill/>
                  </pic:spPr>
                </pic:pic>
              </a:graphicData>
            </a:graphic>
          </wp:anchor>
        </w:drawing>
      </w:r>
    </w:p>
    <w:p>
      <w:pPr>
        <w:spacing w:after="0" w:line="54" w:lineRule="exact"/>
        <w:rPr>
          <w:rFonts w:ascii="Times New Roman" w:cs="Times New Roman" w:eastAsia="Times New Roman" w:hAnsi="Times New Roman"/>
          <w:sz w:val="16"/>
          <w:szCs w:val="16"/>
          <w:u w:val="single" w:color="auto"/>
          <w:color w:val="0000FF"/>
        </w:rPr>
      </w:pPr>
    </w:p>
    <w:p>
      <w:pPr>
        <w:spacing w:after="0"/>
        <w:tabs>
          <w:tab w:leader="none" w:pos="9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10.40#</w:t>
      </w:r>
      <w:r>
        <w:rPr>
          <w:sz w:val="20"/>
          <w:szCs w:val="20"/>
          <w:color w:val="auto"/>
        </w:rPr>
        <w:tab/>
      </w:r>
      <w:hyperlink r:id="rId550">
        <w:r>
          <w:rPr>
            <w:rFonts w:ascii="Times New Roman" w:cs="Times New Roman" w:eastAsia="Times New Roman" w:hAnsi="Times New Roman"/>
            <w:sz w:val="15"/>
            <w:szCs w:val="15"/>
            <w:u w:val="single" w:color="auto"/>
            <w:color w:val="0000FF"/>
          </w:rPr>
          <w:t>2024 Change of Control and Severance Plan and Participation Agreement.</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-8255</wp:posOffset>
            </wp:positionV>
            <wp:extent cx="297942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1">
                      <a:extLst>
                        <a:ext uri="{28A0092B-C50C-407E-A947-70E740481C1C}"/>
                      </a:extLst>
                    </a:blip>
                    <a:srcRect/>
                    <a:stretch>
                      <a:fillRect/>
                    </a:stretch>
                  </pic:blipFill>
                  <pic:spPr bwMode="auto">
                    <a:xfrm>
                      <a:off x="0" y="0"/>
                      <a:ext cx="2979420" cy="7620"/>
                    </a:xfrm>
                    <a:prstGeom prst="rect">
                      <a:avLst/>
                    </a:prstGeom>
                    <a:noFill/>
                  </pic:spPr>
                </pic:pic>
              </a:graphicData>
            </a:graphic>
          </wp:anchor>
        </w:drawing>
      </w:r>
    </w:p>
    <w:p>
      <w:pPr>
        <w:spacing w:after="0" w:line="198" w:lineRule="exact"/>
        <w:rPr>
          <w:rFonts w:ascii="Times New Roman" w:cs="Times New Roman" w:eastAsia="Times New Roman" w:hAnsi="Times New Roman"/>
          <w:sz w:val="16"/>
          <w:szCs w:val="16"/>
          <w:u w:val="single" w:color="auto"/>
          <w:color w:val="0000FF"/>
        </w:rPr>
      </w:pPr>
    </w:p>
    <w:p>
      <w:pPr>
        <w:ind w:left="920" w:right="4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10.41#</w:t>
      </w:r>
      <w:r>
        <w:rPr>
          <w:sz w:val="20"/>
          <w:szCs w:val="20"/>
          <w:color w:val="auto"/>
        </w:rPr>
        <w:tab/>
      </w:r>
      <w:hyperlink r:id="rId552">
        <w:r>
          <w:rPr>
            <w:rFonts w:ascii="Times New Roman" w:cs="Times New Roman" w:eastAsia="Times New Roman" w:hAnsi="Times New Roman"/>
            <w:sz w:val="16"/>
            <w:szCs w:val="16"/>
            <w:u w:val="single" w:color="auto"/>
            <w:color w:val="0000FF"/>
          </w:rPr>
          <w:t>Standard BioTools Inc. (formerly Fluidigm Corporation) 2009 Equity Incentive</w:t>
        </w:r>
      </w:hyperlink>
      <w:r>
        <w:rPr>
          <w:rFonts w:ascii="Times New Roman" w:cs="Times New Roman" w:eastAsia="Times New Roman" w:hAnsi="Times New Roman"/>
          <w:sz w:val="16"/>
          <w:szCs w:val="16"/>
          <w:u w:val="single" w:color="auto"/>
          <w:color w:val="0000FF"/>
        </w:rPr>
        <w:t xml:space="preserve"> </w:t>
      </w:r>
      <w:hyperlink r:id="rId552">
        <w:r>
          <w:rPr>
            <w:rFonts w:ascii="Times New Roman" w:cs="Times New Roman" w:eastAsia="Times New Roman" w:hAnsi="Times New Roman"/>
            <w:sz w:val="16"/>
            <w:szCs w:val="16"/>
            <w:u w:val="single" w:color="auto"/>
            <w:color w:val="0000FF"/>
          </w:rPr>
          <w:t>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321310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3">
                      <a:extLst>
                        <a:ext uri="{28A0092B-C50C-407E-A947-70E740481C1C}"/>
                      </a:extLst>
                    </a:blip>
                    <a:srcRect/>
                    <a:stretch>
                      <a:fillRect/>
                    </a:stretch>
                  </pic:blipFill>
                  <pic:spPr bwMode="auto">
                    <a:xfrm>
                      <a:off x="0" y="0"/>
                      <a:ext cx="321310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72263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4">
                      <a:extLst>
                        <a:ext uri="{28A0092B-C50C-407E-A947-70E740481C1C}"/>
                      </a:extLst>
                    </a:blip>
                    <a:srcRect/>
                    <a:stretch>
                      <a:fillRect/>
                    </a:stretch>
                  </pic:blipFill>
                  <pic:spPr bwMode="auto">
                    <a:xfrm>
                      <a:off x="0" y="0"/>
                      <a:ext cx="722630" cy="7620"/>
                    </a:xfrm>
                    <a:prstGeom prst="rect">
                      <a:avLst/>
                    </a:prstGeom>
                    <a:noFill/>
                  </pic:spPr>
                </pic:pic>
              </a:graphicData>
            </a:graphic>
          </wp:anchor>
        </w:drawing>
      </w:r>
    </w:p>
    <w:p>
      <w:pPr>
        <w:spacing w:after="0" w:line="42" w:lineRule="exact"/>
        <w:rPr>
          <w:sz w:val="20"/>
          <w:szCs w:val="20"/>
          <w:color w:val="auto"/>
        </w:rPr>
      </w:pPr>
    </w:p>
    <w:p>
      <w:pPr>
        <w:ind w:left="920" w:right="4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10.42#</w:t>
      </w:r>
      <w:r>
        <w:rPr>
          <w:sz w:val="20"/>
          <w:szCs w:val="20"/>
          <w:color w:val="auto"/>
        </w:rPr>
        <w:tab/>
      </w:r>
      <w:hyperlink r:id="rId555">
        <w:r>
          <w:rPr>
            <w:rFonts w:ascii="Times New Roman" w:cs="Times New Roman" w:eastAsia="Times New Roman" w:hAnsi="Times New Roman"/>
            <w:sz w:val="16"/>
            <w:szCs w:val="16"/>
            <w:u w:val="single" w:color="auto"/>
            <w:color w:val="0000FF"/>
          </w:rPr>
          <w:t>Standard BioTools Inc. (formerly Fluidigm Corporation) 2009 Equity Incentive</w:t>
        </w:r>
      </w:hyperlink>
      <w:r>
        <w:rPr>
          <w:rFonts w:ascii="Times New Roman" w:cs="Times New Roman" w:eastAsia="Times New Roman" w:hAnsi="Times New Roman"/>
          <w:sz w:val="16"/>
          <w:szCs w:val="16"/>
          <w:u w:val="single" w:color="auto"/>
          <w:color w:val="0000FF"/>
        </w:rPr>
        <w:t xml:space="preserve"> </w:t>
      </w:r>
      <w:hyperlink r:id="rId555">
        <w:r>
          <w:rPr>
            <w:rFonts w:ascii="Times New Roman" w:cs="Times New Roman" w:eastAsia="Times New Roman" w:hAnsi="Times New Roman"/>
            <w:sz w:val="16"/>
            <w:szCs w:val="16"/>
            <w:u w:val="single" w:color="auto"/>
            <w:color w:val="0000FF"/>
          </w:rPr>
          <w:t>Plan Forms of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321310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6">
                      <a:extLst>
                        <a:ext uri="{28A0092B-C50C-407E-A947-70E740481C1C}"/>
                      </a:extLst>
                    </a:blip>
                    <a:srcRect/>
                    <a:stretch>
                      <a:fillRect/>
                    </a:stretch>
                  </pic:blipFill>
                  <pic:spPr bwMode="auto">
                    <a:xfrm>
                      <a:off x="0" y="0"/>
                      <a:ext cx="321310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110045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7">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spacing w:after="0" w:line="42" w:lineRule="exact"/>
        <w:rPr>
          <w:sz w:val="20"/>
          <w:szCs w:val="20"/>
          <w:color w:val="auto"/>
        </w:rPr>
      </w:pPr>
    </w:p>
    <w:p>
      <w:pPr>
        <w:ind w:left="920" w:hanging="910"/>
        <w:spacing w:after="0" w:line="25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10.43#</w:t>
      </w:r>
      <w:r>
        <w:rPr>
          <w:sz w:val="20"/>
          <w:szCs w:val="20"/>
          <w:color w:val="auto"/>
        </w:rPr>
        <w:tab/>
      </w:r>
      <w:hyperlink r:id="rId558">
        <w:r>
          <w:rPr>
            <w:rFonts w:ascii="Times New Roman" w:cs="Times New Roman" w:eastAsia="Times New Roman" w:hAnsi="Times New Roman"/>
            <w:sz w:val="16"/>
            <w:szCs w:val="16"/>
            <w:u w:val="single" w:color="auto"/>
            <w:color w:val="0000FF"/>
          </w:rPr>
          <w:t>Amendments to the Standard BioTools Inc. 2011 Equity Incentive Plan, the</w:t>
        </w:r>
      </w:hyperlink>
      <w:r>
        <w:rPr>
          <w:rFonts w:ascii="Times New Roman" w:cs="Times New Roman" w:eastAsia="Times New Roman" w:hAnsi="Times New Roman"/>
          <w:sz w:val="16"/>
          <w:szCs w:val="16"/>
          <w:u w:val="single" w:color="auto"/>
          <w:color w:val="0000FF"/>
        </w:rPr>
        <w:t xml:space="preserve"> </w:t>
      </w:r>
      <w:hyperlink r:id="rId558">
        <w:r>
          <w:rPr>
            <w:rFonts w:ascii="Times New Roman" w:cs="Times New Roman" w:eastAsia="Times New Roman" w:hAnsi="Times New Roman"/>
            <w:sz w:val="16"/>
            <w:szCs w:val="16"/>
            <w:u w:val="single" w:color="auto"/>
            <w:color w:val="0000FF"/>
          </w:rPr>
          <w:t>Standard BioTools Inc. (formerly Fluidigm Corporation) 2009 Equity Incentive</w:t>
        </w:r>
      </w:hyperlink>
      <w:r>
        <w:rPr>
          <w:rFonts w:ascii="Times New Roman" w:cs="Times New Roman" w:eastAsia="Times New Roman" w:hAnsi="Times New Roman"/>
          <w:sz w:val="16"/>
          <w:szCs w:val="16"/>
          <w:u w:val="single" w:color="auto"/>
          <w:color w:val="0000FF"/>
        </w:rPr>
        <w:t xml:space="preserve"> </w:t>
      </w:r>
      <w:hyperlink r:id="rId558">
        <w:r>
          <w:rPr>
            <w:rFonts w:ascii="Times New Roman" w:cs="Times New Roman" w:eastAsia="Times New Roman" w:hAnsi="Times New Roman"/>
            <w:sz w:val="16"/>
            <w:szCs w:val="16"/>
            <w:u w:val="single" w:color="auto"/>
            <w:color w:val="0000FF"/>
          </w:rPr>
          <w:t>Plan and the Standard BioTools Inc. (formerly DVS Sciences, Inc.) 2010 Equity</w:t>
        </w:r>
      </w:hyperlink>
      <w:r>
        <w:rPr>
          <w:rFonts w:ascii="Times New Roman" w:cs="Times New Roman" w:eastAsia="Times New Roman" w:hAnsi="Times New Roman"/>
          <w:sz w:val="16"/>
          <w:szCs w:val="16"/>
          <w:u w:val="single" w:color="auto"/>
          <w:color w:val="0000FF"/>
        </w:rPr>
        <w:t xml:space="preserve"> </w:t>
      </w:r>
      <w:hyperlink r:id="rId558">
        <w:r>
          <w:rPr>
            <w:rFonts w:ascii="Times New Roman" w:cs="Times New Roman" w:eastAsia="Times New Roman" w:hAnsi="Times New Roman"/>
            <w:sz w:val="16"/>
            <w:szCs w:val="16"/>
            <w:u w:val="single" w:color="auto"/>
            <w:color w:val="0000FF"/>
          </w:rPr>
          <w:t>Incentive Plan.</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-389890</wp:posOffset>
            </wp:positionV>
            <wp:extent cx="305498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9">
                      <a:extLst>
                        <a:ext uri="{28A0092B-C50C-407E-A947-70E740481C1C}"/>
                      </a:extLst>
                    </a:blip>
                    <a:srcRect/>
                    <a:stretch>
                      <a:fillRect/>
                    </a:stretch>
                  </pic:blipFill>
                  <pic:spPr bwMode="auto">
                    <a:xfrm>
                      <a:off x="0" y="0"/>
                      <a:ext cx="305498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-269240</wp:posOffset>
            </wp:positionV>
            <wp:extent cx="321310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0">
                      <a:extLst>
                        <a:ext uri="{28A0092B-C50C-407E-A947-70E740481C1C}"/>
                      </a:extLst>
                    </a:blip>
                    <a:srcRect/>
                    <a:stretch>
                      <a:fillRect/>
                    </a:stretch>
                  </pic:blipFill>
                  <pic:spPr bwMode="auto">
                    <a:xfrm>
                      <a:off x="0" y="0"/>
                      <a:ext cx="321310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-149225</wp:posOffset>
            </wp:positionV>
            <wp:extent cx="323850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1">
                      <a:extLst>
                        <a:ext uri="{28A0092B-C50C-407E-A947-70E740481C1C}"/>
                      </a:extLst>
                    </a:blip>
                    <a:srcRect/>
                    <a:stretch>
                      <a:fillRect/>
                    </a:stretch>
                  </pic:blipFill>
                  <pic:spPr bwMode="auto">
                    <a:xfrm>
                      <a:off x="0" y="0"/>
                      <a:ext cx="323850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-29210</wp:posOffset>
            </wp:positionV>
            <wp:extent cx="60007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2">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58" w:lineRule="exact"/>
        <w:rPr>
          <w:rFonts w:ascii="Times New Roman" w:cs="Times New Roman" w:eastAsia="Times New Roman" w:hAnsi="Times New Roman"/>
          <w:sz w:val="16"/>
          <w:szCs w:val="16"/>
          <w:u w:val="single" w:color="auto"/>
          <w:color w:val="0000FF"/>
        </w:rPr>
      </w:pPr>
    </w:p>
    <w:p>
      <w:pPr>
        <w:spacing w:after="0"/>
        <w:tabs>
          <w:tab w:leader="none" w:pos="9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10.44#</w:t>
      </w:r>
      <w:r>
        <w:rPr>
          <w:sz w:val="20"/>
          <w:szCs w:val="20"/>
          <w:color w:val="auto"/>
        </w:rPr>
        <w:tab/>
      </w:r>
      <w:hyperlink r:id="rId563">
        <w:r>
          <w:rPr>
            <w:rFonts w:ascii="Times New Roman" w:cs="Times New Roman" w:eastAsia="Times New Roman" w:hAnsi="Times New Roman"/>
            <w:sz w:val="15"/>
            <w:szCs w:val="15"/>
            <w:u w:val="single" w:color="auto"/>
            <w:color w:val="0000FF"/>
          </w:rPr>
          <w:t>Standard BioTools Inc. Amended and Restated 2011 Equity Incentive Plan.</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-8255</wp:posOffset>
            </wp:positionV>
            <wp:extent cx="302704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4">
                      <a:extLst>
                        <a:ext uri="{28A0092B-C50C-407E-A947-70E740481C1C}"/>
                      </a:extLst>
                    </a:blip>
                    <a:srcRect/>
                    <a:stretch>
                      <a:fillRect/>
                    </a:stretch>
                  </pic:blipFill>
                  <pic:spPr bwMode="auto">
                    <a:xfrm>
                      <a:off x="0" y="0"/>
                      <a:ext cx="3027045" cy="7620"/>
                    </a:xfrm>
                    <a:prstGeom prst="rect">
                      <a:avLst/>
                    </a:prstGeom>
                    <a:noFill/>
                  </pic:spPr>
                </pic:pic>
              </a:graphicData>
            </a:graphic>
          </wp:anchor>
        </w:drawing>
      </w:r>
    </w:p>
    <w:p>
      <w:pPr>
        <w:spacing w:after="0" w:line="92" w:lineRule="exact"/>
        <w:rPr>
          <w:rFonts w:ascii="Times New Roman" w:cs="Times New Roman" w:eastAsia="Times New Roman" w:hAnsi="Times New Roman"/>
          <w:sz w:val="16"/>
          <w:szCs w:val="16"/>
          <w:u w:val="single" w:color="auto"/>
          <w:color w:val="0000FF"/>
        </w:rPr>
      </w:pPr>
    </w:p>
    <w:p>
      <w:pPr>
        <w:ind w:left="920" w:right="4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10.45#</w:t>
      </w:r>
      <w:r>
        <w:rPr>
          <w:sz w:val="20"/>
          <w:szCs w:val="20"/>
          <w:color w:val="auto"/>
        </w:rPr>
        <w:tab/>
      </w:r>
      <w:hyperlink r:id="rId565">
        <w:r>
          <w:rPr>
            <w:rFonts w:ascii="Times New Roman" w:cs="Times New Roman" w:eastAsia="Times New Roman" w:hAnsi="Times New Roman"/>
            <w:sz w:val="16"/>
            <w:szCs w:val="16"/>
            <w:u w:val="single" w:color="auto"/>
            <w:color w:val="0000FF"/>
          </w:rPr>
          <w:t>Standard BioTools Inc. (formerly Fluidigm Corporation) 2011 Equity Incentive</w:t>
        </w:r>
      </w:hyperlink>
      <w:r>
        <w:rPr>
          <w:rFonts w:ascii="Times New Roman" w:cs="Times New Roman" w:eastAsia="Times New Roman" w:hAnsi="Times New Roman"/>
          <w:sz w:val="16"/>
          <w:szCs w:val="16"/>
          <w:u w:val="single" w:color="auto"/>
          <w:color w:val="0000FF"/>
        </w:rPr>
        <w:t xml:space="preserve"> </w:t>
      </w:r>
      <w:hyperlink r:id="rId565">
        <w:r>
          <w:rPr>
            <w:rFonts w:ascii="Times New Roman" w:cs="Times New Roman" w:eastAsia="Times New Roman" w:hAnsi="Times New Roman"/>
            <w:sz w:val="16"/>
            <w:szCs w:val="16"/>
            <w:u w:val="single" w:color="auto"/>
            <w:color w:val="0000FF"/>
          </w:rPr>
          <w:t>Plan Forms of Agreements for U.S. Participants.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321310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6">
                      <a:extLst>
                        <a:ext uri="{28A0092B-C50C-407E-A947-70E740481C1C}"/>
                      </a:extLst>
                    </a:blip>
                    <a:srcRect/>
                    <a:stretch>
                      <a:fillRect/>
                    </a:stretch>
                  </pic:blipFill>
                  <pic:spPr bwMode="auto">
                    <a:xfrm>
                      <a:off x="0" y="0"/>
                      <a:ext cx="321310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194310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7">
                      <a:extLst>
                        <a:ext uri="{28A0092B-C50C-407E-A947-70E740481C1C}"/>
                      </a:extLst>
                    </a:blip>
                    <a:srcRect/>
                    <a:stretch>
                      <a:fillRect/>
                    </a:stretch>
                  </pic:blipFill>
                  <pic:spPr bwMode="auto">
                    <a:xfrm>
                      <a:off x="0" y="0"/>
                      <a:ext cx="1943100" cy="7620"/>
                    </a:xfrm>
                    <a:prstGeom prst="rect">
                      <a:avLst/>
                    </a:prstGeom>
                    <a:noFill/>
                  </pic:spPr>
                </pic:pic>
              </a:graphicData>
            </a:graphic>
          </wp:anchor>
        </w:drawing>
      </w:r>
    </w:p>
    <w:p>
      <w:pPr>
        <w:spacing w:after="0" w:line="42" w:lineRule="exact"/>
        <w:rPr>
          <w:sz w:val="20"/>
          <w:szCs w:val="20"/>
          <w:color w:val="auto"/>
        </w:rPr>
      </w:pPr>
    </w:p>
    <w:p>
      <w:pPr>
        <w:jc w:val="both"/>
        <w:ind w:left="920" w:right="320" w:hanging="910"/>
        <w:spacing w:after="0" w:line="261"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10.46#</w:t>
      </w:r>
      <w:r>
        <w:rPr>
          <w:sz w:val="20"/>
          <w:szCs w:val="20"/>
          <w:color w:val="auto"/>
        </w:rPr>
        <w:tab/>
      </w:r>
      <w:hyperlink r:id="rId568">
        <w:r>
          <w:rPr>
            <w:rFonts w:ascii="Times New Roman" w:cs="Times New Roman" w:eastAsia="Times New Roman" w:hAnsi="Times New Roman"/>
            <w:sz w:val="16"/>
            <w:szCs w:val="16"/>
            <w:u w:val="single" w:color="auto"/>
            <w:color w:val="0000FF"/>
          </w:rPr>
          <w:t>Rules of the Standard BioTools Inc. (formerly Fluidigm Corporation) 2011</w:t>
        </w:r>
      </w:hyperlink>
      <w:r>
        <w:rPr>
          <w:rFonts w:ascii="Times New Roman" w:cs="Times New Roman" w:eastAsia="Times New Roman" w:hAnsi="Times New Roman"/>
          <w:sz w:val="16"/>
          <w:szCs w:val="16"/>
          <w:u w:val="single" w:color="auto"/>
          <w:color w:val="0000FF"/>
        </w:rPr>
        <w:t xml:space="preserve"> </w:t>
      </w:r>
      <w:hyperlink r:id="rId568">
        <w:r>
          <w:rPr>
            <w:rFonts w:ascii="Times New Roman" w:cs="Times New Roman" w:eastAsia="Times New Roman" w:hAnsi="Times New Roman"/>
            <w:sz w:val="16"/>
            <w:szCs w:val="16"/>
            <w:u w:val="single" w:color="auto"/>
            <w:color w:val="0000FF"/>
          </w:rPr>
          <w:t>Equity Incentive Plan for Restricted Stock Unit Awards Granted to French</w:t>
        </w:r>
      </w:hyperlink>
      <w:r>
        <w:rPr>
          <w:rFonts w:ascii="Times New Roman" w:cs="Times New Roman" w:eastAsia="Times New Roman" w:hAnsi="Times New Roman"/>
          <w:sz w:val="16"/>
          <w:szCs w:val="16"/>
          <w:u w:val="single" w:color="auto"/>
          <w:color w:val="0000FF"/>
        </w:rPr>
        <w:t xml:space="preserve"> </w:t>
      </w:r>
      <w:hyperlink r:id="rId568">
        <w:r>
          <w:rPr>
            <w:rFonts w:ascii="Times New Roman" w:cs="Times New Roman" w:eastAsia="Times New Roman" w:hAnsi="Times New Roman"/>
            <w:sz w:val="16"/>
            <w:szCs w:val="16"/>
            <w:u w:val="single" w:color="auto"/>
            <w:color w:val="0000FF"/>
          </w:rPr>
          <w:t>Participants.</w:t>
        </w:r>
      </w:hyperlink>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582295</wp:posOffset>
            </wp:positionH>
            <wp:positionV relativeFrom="paragraph">
              <wp:posOffset>-272415</wp:posOffset>
            </wp:positionV>
            <wp:extent cx="303276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9">
                      <a:extLst>
                        <a:ext uri="{28A0092B-C50C-407E-A947-70E740481C1C}"/>
                      </a:extLst>
                    </a:blip>
                    <a:srcRect/>
                    <a:stretch>
                      <a:fillRect/>
                    </a:stretch>
                  </pic:blipFill>
                  <pic:spPr bwMode="auto">
                    <a:xfrm>
                      <a:off x="0" y="0"/>
                      <a:ext cx="303276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-152400</wp:posOffset>
            </wp:positionV>
            <wp:extent cx="3010535"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0">
                      <a:extLst>
                        <a:ext uri="{28A0092B-C50C-407E-A947-70E740481C1C}"/>
                      </a:extLst>
                    </a:blip>
                    <a:srcRect/>
                    <a:stretch>
                      <a:fillRect/>
                    </a:stretch>
                  </pic:blipFill>
                  <pic:spPr bwMode="auto">
                    <a:xfrm>
                      <a:off x="0" y="0"/>
                      <a:ext cx="3010535"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-32385</wp:posOffset>
            </wp:positionV>
            <wp:extent cx="49784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1">
                      <a:extLst>
                        <a:ext uri="{28A0092B-C50C-407E-A947-70E740481C1C}"/>
                      </a:extLst>
                    </a:blip>
                    <a:srcRect/>
                    <a:stretch>
                      <a:fillRect/>
                    </a:stretch>
                  </pic:blipFill>
                  <pic:spPr bwMode="auto">
                    <a:xfrm>
                      <a:off x="0" y="0"/>
                      <a:ext cx="497840" cy="7620"/>
                    </a:xfrm>
                    <a:prstGeom prst="rect">
                      <a:avLst/>
                    </a:prstGeom>
                    <a:noFill/>
                  </pic:spPr>
                </pic:pic>
              </a:graphicData>
            </a:graphic>
          </wp:anchor>
        </w:drawing>
      </w:r>
    </w:p>
    <w:p>
      <w:pPr>
        <w:spacing w:after="0" w:line="54" w:lineRule="exact"/>
        <w:rPr>
          <w:rFonts w:ascii="Times New Roman" w:cs="Times New Roman" w:eastAsia="Times New Roman" w:hAnsi="Times New Roman"/>
          <w:sz w:val="16"/>
          <w:szCs w:val="16"/>
          <w:u w:val="single" w:color="auto"/>
          <w:color w:val="0000FF"/>
        </w:rPr>
      </w:pPr>
    </w:p>
    <w:p>
      <w:pPr>
        <w:jc w:val="both"/>
        <w:ind w:left="920" w:right="32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10.47#</w:t>
      </w:r>
      <w:r>
        <w:rPr>
          <w:sz w:val="20"/>
          <w:szCs w:val="20"/>
          <w:color w:val="auto"/>
        </w:rPr>
        <w:tab/>
      </w:r>
      <w:hyperlink r:id="rId572">
        <w:r>
          <w:rPr>
            <w:rFonts w:ascii="Times New Roman" w:cs="Times New Roman" w:eastAsia="Times New Roman" w:hAnsi="Times New Roman"/>
            <w:sz w:val="16"/>
            <w:szCs w:val="16"/>
            <w:u w:val="single" w:color="auto"/>
            <w:color w:val="0000FF"/>
          </w:rPr>
          <w:t>Rules of the Standard BioTools Inc. (formerly Fluidigm Corporation) 2011</w:t>
        </w:r>
      </w:hyperlink>
      <w:r>
        <w:rPr>
          <w:rFonts w:ascii="Times New Roman" w:cs="Times New Roman" w:eastAsia="Times New Roman" w:hAnsi="Times New Roman"/>
          <w:sz w:val="16"/>
          <w:szCs w:val="16"/>
          <w:u w:val="single" w:color="auto"/>
          <w:color w:val="0000FF"/>
        </w:rPr>
        <w:t xml:space="preserve"> </w:t>
      </w:r>
      <w:hyperlink r:id="rId572">
        <w:r>
          <w:rPr>
            <w:rFonts w:ascii="Times New Roman" w:cs="Times New Roman" w:eastAsia="Times New Roman" w:hAnsi="Times New Roman"/>
            <w:sz w:val="16"/>
            <w:szCs w:val="16"/>
            <w:u w:val="single" w:color="auto"/>
            <w:color w:val="0000FF"/>
          </w:rPr>
          <w:t>Equity Incentive Plan for Options Granted to French Participants.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303276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3">
                      <a:extLst>
                        <a:ext uri="{28A0092B-C50C-407E-A947-70E740481C1C}"/>
                      </a:extLst>
                    </a:blip>
                    <a:srcRect/>
                    <a:stretch>
                      <a:fillRect/>
                    </a:stretch>
                  </pic:blipFill>
                  <pic:spPr bwMode="auto">
                    <a:xfrm>
                      <a:off x="0" y="0"/>
                      <a:ext cx="303276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262699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4">
                      <a:extLst>
                        <a:ext uri="{28A0092B-C50C-407E-A947-70E740481C1C}"/>
                      </a:extLst>
                    </a:blip>
                    <a:srcRect/>
                    <a:stretch>
                      <a:fillRect/>
                    </a:stretch>
                  </pic:blipFill>
                  <pic:spPr bwMode="auto">
                    <a:xfrm>
                      <a:off x="0" y="0"/>
                      <a:ext cx="2626995" cy="7620"/>
                    </a:xfrm>
                    <a:prstGeom prst="rect">
                      <a:avLst/>
                    </a:prstGeom>
                    <a:noFill/>
                  </pic:spPr>
                </pic:pic>
              </a:graphicData>
            </a:graphic>
          </wp:anchor>
        </w:drawing>
      </w:r>
    </w:p>
    <w:p>
      <w:pPr>
        <w:spacing w:after="0" w:line="42" w:lineRule="exact"/>
        <w:rPr>
          <w:sz w:val="20"/>
          <w:szCs w:val="20"/>
          <w:color w:val="auto"/>
        </w:rPr>
      </w:pPr>
    </w:p>
    <w:p>
      <w:pPr>
        <w:spacing w:after="0"/>
        <w:tabs>
          <w:tab w:leader="none" w:pos="9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10.48#</w:t>
      </w:r>
      <w:r>
        <w:rPr>
          <w:sz w:val="20"/>
          <w:szCs w:val="20"/>
          <w:color w:val="auto"/>
        </w:rPr>
        <w:tab/>
      </w:r>
      <w:hyperlink r:id="rId575">
        <w:r>
          <w:rPr>
            <w:rFonts w:ascii="Times New Roman" w:cs="Times New Roman" w:eastAsia="Times New Roman" w:hAnsi="Times New Roman"/>
            <w:sz w:val="15"/>
            <w:szCs w:val="15"/>
            <w:u w:val="single" w:color="auto"/>
            <w:color w:val="0000FF"/>
          </w:rPr>
          <w:t>UK Sub-Plan to the Standard BioTools Inc. (formerly Fluidigm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-8255</wp:posOffset>
            </wp:positionV>
            <wp:extent cx="311086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6">
                      <a:extLst>
                        <a:ext uri="{28A0092B-C50C-407E-A947-70E740481C1C}"/>
                      </a:extLst>
                    </a:blip>
                    <a:srcRect/>
                    <a:stretch>
                      <a:fillRect/>
                    </a:stretch>
                  </pic:blipFill>
                  <pic:spPr bwMode="auto">
                    <a:xfrm>
                      <a:off x="0" y="0"/>
                      <a:ext cx="3110865" cy="7620"/>
                    </a:xfrm>
                    <a:prstGeom prst="rect">
                      <a:avLst/>
                    </a:prstGeom>
                    <a:noFill/>
                  </pic:spPr>
                </pic:pic>
              </a:graphicData>
            </a:graphic>
          </wp:anchor>
        </w:drawing>
      </w:r>
    </w:p>
    <w:p>
      <w:pPr>
        <w:spacing w:after="0" w:line="2" w:lineRule="exact"/>
        <w:rPr>
          <w:sz w:val="20"/>
          <w:szCs w:val="20"/>
          <w:color w:val="auto"/>
        </w:rPr>
      </w:pPr>
    </w:p>
    <w:p>
      <w:pPr>
        <w:ind w:left="920"/>
        <w:spacing w:after="0"/>
        <w:rPr>
          <w:rFonts w:ascii="Times New Roman" w:cs="Times New Roman" w:eastAsia="Times New Roman" w:hAnsi="Times New Roman"/>
          <w:sz w:val="16"/>
          <w:szCs w:val="16"/>
          <w:u w:val="single" w:color="auto"/>
          <w:color w:val="0000FF"/>
        </w:rPr>
      </w:pPr>
      <w:hyperlink r:id="rId575">
        <w:r>
          <w:rPr>
            <w:rFonts w:ascii="Times New Roman" w:cs="Times New Roman" w:eastAsia="Times New Roman" w:hAnsi="Times New Roman"/>
            <w:sz w:val="16"/>
            <w:szCs w:val="16"/>
            <w:u w:val="single" w:color="auto"/>
            <w:color w:val="0000FF"/>
          </w:rPr>
          <w:t>2011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-19050</wp:posOffset>
            </wp:positionV>
            <wp:extent cx="111760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7">
                      <a:extLst>
                        <a:ext uri="{28A0092B-C50C-407E-A947-70E740481C1C}"/>
                      </a:extLst>
                    </a:blip>
                    <a:srcRect/>
                    <a:stretch>
                      <a:fillRect/>
                    </a:stretch>
                  </pic:blipFill>
                  <pic:spPr bwMode="auto">
                    <a:xfrm>
                      <a:off x="0" y="0"/>
                      <a:ext cx="1117600" cy="7620"/>
                    </a:xfrm>
                    <a:prstGeom prst="rect">
                      <a:avLst/>
                    </a:prstGeom>
                    <a:noFill/>
                  </pic:spPr>
                </pic:pic>
              </a:graphicData>
            </a:graphic>
          </wp:anchor>
        </w:drawing>
      </w:r>
    </w:p>
    <w:p>
      <w:pPr>
        <w:spacing w:after="0" w:line="74" w:lineRule="exact"/>
        <w:rPr>
          <w:sz w:val="20"/>
          <w:szCs w:val="20"/>
          <w:color w:val="auto"/>
        </w:rPr>
      </w:pPr>
    </w:p>
    <w:p>
      <w:pPr>
        <w:ind w:left="920" w:right="40" w:hanging="910"/>
        <w:spacing w:after="0" w:line="310" w:lineRule="auto"/>
        <w:tabs>
          <w:tab w:leader="none" w:pos="9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10.49#</w:t>
      </w:r>
      <w:r>
        <w:rPr>
          <w:sz w:val="20"/>
          <w:szCs w:val="20"/>
          <w:color w:val="auto"/>
        </w:rPr>
        <w:tab/>
      </w:r>
      <w:hyperlink r:id="rId578">
        <w:r>
          <w:rPr>
            <w:rFonts w:ascii="Times New Roman" w:cs="Times New Roman" w:eastAsia="Times New Roman" w:hAnsi="Times New Roman"/>
            <w:sz w:val="15"/>
            <w:szCs w:val="15"/>
            <w:u w:val="single" w:color="auto"/>
            <w:color w:val="0000FF"/>
          </w:rPr>
          <w:t>Standard BioTools Inc. (formerly Fluidigm Corporation) 2011 Equity Incentive</w:t>
        </w:r>
      </w:hyperlink>
      <w:r>
        <w:rPr>
          <w:rFonts w:ascii="Times New Roman" w:cs="Times New Roman" w:eastAsia="Times New Roman" w:hAnsi="Times New Roman"/>
          <w:sz w:val="15"/>
          <w:szCs w:val="15"/>
          <w:u w:val="single" w:color="auto"/>
          <w:color w:val="0000FF"/>
        </w:rPr>
        <w:t xml:space="preserve"> </w:t>
      </w:r>
      <w:hyperlink r:id="rId578">
        <w:r>
          <w:rPr>
            <w:rFonts w:ascii="Times New Roman" w:cs="Times New Roman" w:eastAsia="Times New Roman" w:hAnsi="Times New Roman"/>
            <w:sz w:val="15"/>
            <w:szCs w:val="15"/>
            <w:u w:val="single" w:color="auto"/>
            <w:color w:val="0000FF"/>
          </w:rPr>
          <w:t>Plan Form of Restricted Stock Unit Agreement for Non-U.S. Participants.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-173990</wp:posOffset>
            </wp:positionV>
            <wp:extent cx="321310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9">
                      <a:extLst>
                        <a:ext uri="{28A0092B-C50C-407E-A947-70E740481C1C}"/>
                      </a:extLst>
                    </a:blip>
                    <a:srcRect/>
                    <a:stretch>
                      <a:fillRect/>
                    </a:stretch>
                  </pic:blipFill>
                  <pic:spPr bwMode="auto">
                    <a:xfrm>
                      <a:off x="0" y="0"/>
                      <a:ext cx="321310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-53975</wp:posOffset>
            </wp:positionV>
            <wp:extent cx="295783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0">
                      <a:extLst>
                        <a:ext uri="{28A0092B-C50C-407E-A947-70E740481C1C}"/>
                      </a:extLst>
                    </a:blip>
                    <a:srcRect/>
                    <a:stretch>
                      <a:fillRect/>
                    </a:stretch>
                  </pic:blipFill>
                  <pic:spPr bwMode="auto">
                    <a:xfrm>
                      <a:off x="0" y="0"/>
                      <a:ext cx="2957830" cy="7620"/>
                    </a:xfrm>
                    <a:prstGeom prst="rect">
                      <a:avLst/>
                    </a:prstGeom>
                    <a:noFill/>
                  </pic:spPr>
                </pic:pic>
              </a:graphicData>
            </a:graphic>
          </wp:anchor>
        </w:drawing>
      </w:r>
    </w:p>
    <w:p>
      <w:pPr>
        <w:spacing w:after="0" w:line="19" w:lineRule="exact"/>
        <w:rPr>
          <w:sz w:val="20"/>
          <w:szCs w:val="20"/>
          <w:color w:val="auto"/>
        </w:rPr>
      </w:pPr>
    </w:p>
    <w:p>
      <w:pPr>
        <w:spacing w:after="0"/>
        <w:tabs>
          <w:tab w:leader="none" w:pos="9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10.50#</w:t>
      </w:r>
      <w:r>
        <w:rPr>
          <w:sz w:val="20"/>
          <w:szCs w:val="20"/>
          <w:color w:val="auto"/>
        </w:rPr>
        <w:tab/>
      </w:r>
      <w:hyperlink r:id="rId581">
        <w:r>
          <w:rPr>
            <w:rFonts w:ascii="Times New Roman" w:cs="Times New Roman" w:eastAsia="Times New Roman" w:hAnsi="Times New Roman"/>
            <w:sz w:val="15"/>
            <w:szCs w:val="15"/>
            <w:u w:val="single" w:color="auto"/>
            <w:color w:val="0000FF"/>
          </w:rPr>
          <w:t>Standard BioTools Inc. (formerly Fluidigm Corporation) 2011 Equity Incentive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-8255</wp:posOffset>
            </wp:positionV>
            <wp:extent cx="321310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2">
                      <a:extLst>
                        <a:ext uri="{28A0092B-C50C-407E-A947-70E740481C1C}"/>
                      </a:extLst>
                    </a:blip>
                    <a:srcRect/>
                    <a:stretch>
                      <a:fillRect/>
                    </a:stretch>
                  </pic:blipFill>
                  <pic:spPr bwMode="auto">
                    <a:xfrm>
                      <a:off x="0" y="0"/>
                      <a:ext cx="3213100" cy="7620"/>
                    </a:xfrm>
                    <a:prstGeom prst="rect">
                      <a:avLst/>
                    </a:prstGeom>
                    <a:noFill/>
                  </pic:spPr>
                </pic:pic>
              </a:graphicData>
            </a:graphic>
          </wp:anchor>
        </w:drawing>
      </w:r>
    </w:p>
    <w:p>
      <w:pPr>
        <w:spacing w:after="0" w:line="2" w:lineRule="exact"/>
        <w:rPr>
          <w:sz w:val="20"/>
          <w:szCs w:val="20"/>
          <w:color w:val="auto"/>
        </w:rPr>
      </w:pPr>
    </w:p>
    <w:p>
      <w:pPr>
        <w:ind w:left="920"/>
        <w:spacing w:after="0"/>
        <w:rPr>
          <w:rFonts w:ascii="Times New Roman" w:cs="Times New Roman" w:eastAsia="Times New Roman" w:hAnsi="Times New Roman"/>
          <w:sz w:val="16"/>
          <w:szCs w:val="16"/>
          <w:u w:val="single" w:color="auto"/>
          <w:color w:val="0000FF"/>
        </w:rPr>
      </w:pPr>
      <w:hyperlink r:id="rId581">
        <w:r>
          <w:rPr>
            <w:rFonts w:ascii="Times New Roman" w:cs="Times New Roman" w:eastAsia="Times New Roman" w:hAnsi="Times New Roman"/>
            <w:sz w:val="16"/>
            <w:szCs w:val="16"/>
            <w:u w:val="single" w:color="auto"/>
            <w:color w:val="0000FF"/>
          </w:rPr>
          <w:t>Plan Form of Stock Option Agreement for Non-U.S. Participants.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-19050</wp:posOffset>
            </wp:positionV>
            <wp:extent cx="262699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3">
                      <a:extLst>
                        <a:ext uri="{28A0092B-C50C-407E-A947-70E740481C1C}"/>
                      </a:extLst>
                    </a:blip>
                    <a:srcRect/>
                    <a:stretch>
                      <a:fillRect/>
                    </a:stretch>
                  </pic:blipFill>
                  <pic:spPr bwMode="auto">
                    <a:xfrm>
                      <a:off x="0" y="0"/>
                      <a:ext cx="2626995" cy="7620"/>
                    </a:xfrm>
                    <a:prstGeom prst="rect">
                      <a:avLst/>
                    </a:prstGeom>
                    <a:noFill/>
                  </pic:spPr>
                </pic:pic>
              </a:graphicData>
            </a:graphic>
          </wp:anchor>
        </w:drawing>
      </w:r>
    </w:p>
    <w:p>
      <w:pPr>
        <w:spacing w:after="0" w:line="74" w:lineRule="exact"/>
        <w:rPr>
          <w:sz w:val="20"/>
          <w:szCs w:val="20"/>
          <w:color w:val="auto"/>
        </w:rPr>
      </w:pPr>
    </w:p>
    <w:p>
      <w:pPr>
        <w:ind w:left="920" w:right="48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10.51#</w:t>
      </w:r>
      <w:r>
        <w:rPr>
          <w:sz w:val="20"/>
          <w:szCs w:val="20"/>
          <w:color w:val="auto"/>
        </w:rPr>
        <w:tab/>
      </w:r>
      <w:hyperlink r:id="rId584">
        <w:r>
          <w:rPr>
            <w:rFonts w:ascii="Times New Roman" w:cs="Times New Roman" w:eastAsia="Times New Roman" w:hAnsi="Times New Roman"/>
            <w:sz w:val="16"/>
            <w:szCs w:val="16"/>
            <w:u w:val="single" w:color="auto"/>
            <w:color w:val="0000FF"/>
          </w:rPr>
          <w:t>Standard BioTools Inc. 2011 Equity Incentive Plan Form of PSU Award</w:t>
        </w:r>
      </w:hyperlink>
      <w:r>
        <w:rPr>
          <w:rFonts w:ascii="Times New Roman" w:cs="Times New Roman" w:eastAsia="Times New Roman" w:hAnsi="Times New Roman"/>
          <w:sz w:val="16"/>
          <w:szCs w:val="16"/>
          <w:u w:val="single" w:color="auto"/>
          <w:color w:val="0000FF"/>
        </w:rPr>
        <w:t xml:space="preserve"> </w:t>
      </w:r>
      <w:hyperlink r:id="rId584">
        <w:r>
          <w:rPr>
            <w:rFonts w:ascii="Times New Roman" w:cs="Times New Roman" w:eastAsia="Times New Roman" w:hAnsi="Times New Roman"/>
            <w:sz w:val="16"/>
            <w:szCs w:val="16"/>
            <w:u w:val="single" w:color="auto"/>
            <w:color w:val="0000FF"/>
          </w:rPr>
          <w:t>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292989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5">
                      <a:extLst>
                        <a:ext uri="{28A0092B-C50C-407E-A947-70E740481C1C}"/>
                      </a:extLst>
                    </a:blip>
                    <a:srcRect/>
                    <a:stretch>
                      <a:fillRect/>
                    </a:stretch>
                  </pic:blipFill>
                  <pic:spPr bwMode="auto">
                    <a:xfrm>
                      <a:off x="0" y="0"/>
                      <a:ext cx="292989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46990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6">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42" w:lineRule="exact"/>
        <w:rPr>
          <w:sz w:val="20"/>
          <w:szCs w:val="20"/>
          <w:color w:val="auto"/>
        </w:rPr>
      </w:pPr>
    </w:p>
    <w:p>
      <w:pPr>
        <w:ind w:left="920" w:right="340" w:hanging="910"/>
        <w:spacing w:after="0" w:line="276" w:lineRule="auto"/>
        <w:tabs>
          <w:tab w:leader="none" w:pos="9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10.52#</w:t>
      </w:r>
      <w:r>
        <w:rPr>
          <w:sz w:val="20"/>
          <w:szCs w:val="20"/>
          <w:color w:val="auto"/>
        </w:rPr>
        <w:tab/>
      </w:r>
      <w:hyperlink r:id="rId587">
        <w:r>
          <w:rPr>
            <w:rFonts w:ascii="Times New Roman" w:cs="Times New Roman" w:eastAsia="Times New Roman" w:hAnsi="Times New Roman"/>
            <w:sz w:val="16"/>
            <w:szCs w:val="16"/>
            <w:u w:val="single" w:color="auto"/>
            <w:color w:val="0000FF"/>
          </w:rPr>
          <w:t>Standard BioTools Inc. (formerly Fluidigm Corporation) 2017 Inducement</w:t>
        </w:r>
      </w:hyperlink>
      <w:r>
        <w:rPr>
          <w:rFonts w:ascii="Times New Roman" w:cs="Times New Roman" w:eastAsia="Times New Roman" w:hAnsi="Times New Roman"/>
          <w:sz w:val="16"/>
          <w:szCs w:val="16"/>
          <w:u w:val="single" w:color="auto"/>
          <w:color w:val="0000FF"/>
        </w:rPr>
        <w:t xml:space="preserve"> </w:t>
      </w:r>
      <w:hyperlink r:id="rId587">
        <w:r>
          <w:rPr>
            <w:rFonts w:ascii="Times New Roman" w:cs="Times New Roman" w:eastAsia="Times New Roman" w:hAnsi="Times New Roman"/>
            <w:sz w:val="16"/>
            <w:szCs w:val="16"/>
            <w:u w:val="single" w:color="auto"/>
            <w:color w:val="0000FF"/>
          </w:rPr>
          <w:t>Award Plan and Form of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-160020</wp:posOffset>
            </wp:positionV>
            <wp:extent cx="302133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8">
                      <a:extLst>
                        <a:ext uri="{28A0092B-C50C-407E-A947-70E740481C1C}"/>
                      </a:extLst>
                    </a:blip>
                    <a:srcRect/>
                    <a:stretch>
                      <a:fillRect/>
                    </a:stretch>
                  </pic:blipFill>
                  <pic:spPr bwMode="auto">
                    <a:xfrm>
                      <a:off x="0" y="0"/>
                      <a:ext cx="302133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-40005</wp:posOffset>
            </wp:positionV>
            <wp:extent cx="152908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9">
                      <a:extLst>
                        <a:ext uri="{28A0092B-C50C-407E-A947-70E740481C1C}"/>
                      </a:extLst>
                    </a:blip>
                    <a:srcRect/>
                    <a:stretch>
                      <a:fillRect/>
                    </a:stretch>
                  </pic:blipFill>
                  <pic:spPr bwMode="auto">
                    <a:xfrm>
                      <a:off x="0" y="0"/>
                      <a:ext cx="1529080" cy="7620"/>
                    </a:xfrm>
                    <a:prstGeom prst="rect">
                      <a:avLst/>
                    </a:prstGeom>
                    <a:noFill/>
                  </pic:spPr>
                </pic:pic>
              </a:graphicData>
            </a:graphic>
          </wp:anchor>
        </w:drawing>
      </w:r>
    </w:p>
    <w:p>
      <w:pPr>
        <w:spacing w:after="0" w:line="1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9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jc w:val="center"/>
              <w:ind w:right="23"/>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65"/>
        </w:trPr>
        <w:tc>
          <w:tcPr>
            <w:tcW w:w="1060" w:type="dxa"/>
            <w:vAlign w:val="bottom"/>
          </w:tcPr>
          <w:p>
            <w:pPr>
              <w:jc w:val="center"/>
              <w:ind w:right="63"/>
              <w:spacing w:after="0" w:line="165" w:lineRule="exact"/>
              <w:rPr>
                <w:sz w:val="20"/>
                <w:szCs w:val="20"/>
                <w:color w:val="auto"/>
              </w:rPr>
            </w:pPr>
            <w:r>
              <w:rPr>
                <w:rFonts w:ascii="Times New Roman" w:cs="Times New Roman" w:eastAsia="Times New Roman" w:hAnsi="Times New Roman"/>
                <w:sz w:val="16"/>
                <w:szCs w:val="16"/>
                <w:color w:val="auto"/>
                <w:w w:val="97"/>
              </w:rPr>
              <w:t>Filed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Herewith</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8/7/2020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7/28/2023</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7/28/2023</w:t>
            </w:r>
          </w:p>
        </w:tc>
        <w:tc>
          <w:tcPr>
            <w:tcW w:w="0" w:type="dxa"/>
            <w:vAlign w:val="bottom"/>
          </w:tcPr>
          <w:p>
            <w:pPr>
              <w:spacing w:after="0"/>
              <w:rPr>
                <w:sz w:val="1"/>
                <w:szCs w:val="1"/>
                <w:color w:val="auto"/>
              </w:rPr>
            </w:pPr>
          </w:p>
        </w:tc>
      </w:tr>
      <w:tr>
        <w:trPr>
          <w:trHeight w:val="674"/>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8/30/2024</w:t>
            </w:r>
          </w:p>
        </w:tc>
        <w:tc>
          <w:tcPr>
            <w:tcW w:w="0" w:type="dxa"/>
            <w:vAlign w:val="bottom"/>
          </w:tcPr>
          <w:p>
            <w:pPr>
              <w:spacing w:after="0"/>
              <w:rPr>
                <w:sz w:val="1"/>
                <w:szCs w:val="1"/>
                <w:color w:val="auto"/>
              </w:rPr>
            </w:pPr>
          </w:p>
        </w:tc>
      </w:tr>
      <w:tr>
        <w:trPr>
          <w:trHeight w:val="402"/>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333-170965</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12/3/2010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333-170965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10.3A</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12/3/2010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8/2/2017</w:t>
            </w:r>
          </w:p>
        </w:tc>
        <w:tc>
          <w:tcPr>
            <w:tcW w:w="0" w:type="dxa"/>
            <w:vAlign w:val="bottom"/>
          </w:tcPr>
          <w:p>
            <w:pPr>
              <w:spacing w:after="0"/>
              <w:rPr>
                <w:sz w:val="1"/>
                <w:szCs w:val="1"/>
                <w:color w:val="auto"/>
              </w:rPr>
            </w:pPr>
          </w:p>
        </w:tc>
      </w:tr>
      <w:tr>
        <w:trPr>
          <w:trHeight w:val="863"/>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1/5/2024</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674"/>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8/23/20217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005-86635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8/23/2017</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7/28/2023</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1/11/2017</w:t>
            </w:r>
          </w:p>
        </w:tc>
        <w:tc>
          <w:tcPr>
            <w:tcW w:w="0" w:type="dxa"/>
            <w:vAlign w:val="bottom"/>
          </w:tcPr>
          <w:p>
            <w:pPr>
              <w:spacing w:after="0"/>
              <w:rPr>
                <w:sz w:val="1"/>
                <w:szCs w:val="1"/>
                <w:color w:val="auto"/>
              </w:rPr>
            </w:pPr>
          </w:p>
        </w:tc>
      </w:tr>
    </w:tbl>
    <w:p>
      <w:pPr>
        <w:sectPr>
          <w:pgSz w:w="11900" w:h="16838" w:orient="portrait"/>
          <w:cols w:equalWidth="0" w:num="2">
            <w:col w:w="5980" w:space="200"/>
            <w:col w:w="4740"/>
          </w:cols>
          <w:pgMar w:left="320" w:top="1044" w:right="659" w:bottom="1440" w:gutter="0" w:footer="0" w:header="0"/>
        </w:sectPr>
      </w:pPr>
    </w:p>
    <w:bookmarkStart w:id="124" w:name="page125"/>
    <w:bookmarkEnd w:id="124"/>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19"/>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10.53#</w:t>
            </w:r>
          </w:p>
        </w:tc>
        <w:tc>
          <w:tcPr>
            <w:tcW w:w="140" w:type="dxa"/>
            <w:vAlign w:val="bottom"/>
          </w:tcPr>
          <w:p>
            <w:pPr>
              <w:spacing w:after="0"/>
              <w:rPr>
                <w:sz w:val="22"/>
                <w:szCs w:val="22"/>
                <w:color w:val="auto"/>
              </w:rPr>
            </w:pPr>
          </w:p>
        </w:tc>
        <w:tc>
          <w:tcPr>
            <w:tcW w:w="512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w w:val="98"/>
              </w:rPr>
            </w:pPr>
            <w:hyperlink r:id="rId591">
              <w:r>
                <w:rPr>
                  <w:rFonts w:ascii="Times New Roman" w:cs="Times New Roman" w:eastAsia="Times New Roman" w:hAnsi="Times New Roman"/>
                  <w:sz w:val="16"/>
                  <w:szCs w:val="16"/>
                  <w:color w:val="0000FF"/>
                  <w:w w:val="98"/>
                </w:rPr>
                <w:t>Standard BioTools Inc. (formerly Fluidigm Corporation) Amended and Restated</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7"/>
              </w:rPr>
            </w:pPr>
            <w:hyperlink r:id="rId591">
              <w:r>
                <w:rPr>
                  <w:rFonts w:ascii="Times New Roman" w:cs="Times New Roman" w:eastAsia="Times New Roman" w:hAnsi="Times New Roman"/>
                  <w:sz w:val="16"/>
                  <w:szCs w:val="16"/>
                  <w:color w:val="0000FF"/>
                  <w:w w:val="97"/>
                </w:rPr>
                <w:t>2017 Employee Stock Purchase Plan.</w:t>
              </w:r>
            </w:hyperlink>
          </w:p>
        </w:tc>
        <w:tc>
          <w:tcPr>
            <w:tcW w:w="278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10.54#</w:t>
            </w:r>
          </w:p>
        </w:tc>
        <w:tc>
          <w:tcPr>
            <w:tcW w:w="140" w:type="dxa"/>
            <w:vAlign w:val="bottom"/>
          </w:tcPr>
          <w:p>
            <w:pPr>
              <w:spacing w:after="0"/>
              <w:rPr>
                <w:sz w:val="23"/>
                <w:szCs w:val="23"/>
                <w:color w:val="auto"/>
              </w:rPr>
            </w:pPr>
          </w:p>
        </w:tc>
        <w:tc>
          <w:tcPr>
            <w:tcW w:w="5140" w:type="dxa"/>
            <w:vAlign w:val="bottom"/>
            <w:gridSpan w:val="27"/>
          </w:tcPr>
          <w:p>
            <w:pPr>
              <w:spacing w:after="0"/>
              <w:rPr>
                <w:rFonts w:ascii="Times New Roman" w:cs="Times New Roman" w:eastAsia="Times New Roman" w:hAnsi="Times New Roman"/>
                <w:sz w:val="16"/>
                <w:szCs w:val="16"/>
                <w:color w:val="0000FF"/>
              </w:rPr>
            </w:pPr>
            <w:hyperlink r:id="rId592">
              <w:r>
                <w:rPr>
                  <w:rFonts w:ascii="Times New Roman" w:cs="Times New Roman" w:eastAsia="Times New Roman" w:hAnsi="Times New Roman"/>
                  <w:sz w:val="16"/>
                  <w:szCs w:val="16"/>
                  <w:color w:val="0000FF"/>
                </w:rPr>
                <w:t>Standard BioTools Inc. 2022 Inducement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10.55#</w:t>
            </w:r>
          </w:p>
        </w:tc>
        <w:tc>
          <w:tcPr>
            <w:tcW w:w="140" w:type="dxa"/>
            <w:vAlign w:val="bottom"/>
          </w:tcPr>
          <w:p>
            <w:pPr>
              <w:spacing w:after="0"/>
              <w:rPr>
                <w:sz w:val="23"/>
                <w:szCs w:val="23"/>
                <w:color w:val="auto"/>
              </w:rPr>
            </w:pPr>
          </w:p>
        </w:tc>
        <w:tc>
          <w:tcPr>
            <w:tcW w:w="506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8"/>
              </w:rPr>
            </w:pPr>
            <w:hyperlink r:id="rId593">
              <w:r>
                <w:rPr>
                  <w:rFonts w:ascii="Times New Roman" w:cs="Times New Roman" w:eastAsia="Times New Roman" w:hAnsi="Times New Roman"/>
                  <w:sz w:val="16"/>
                  <w:szCs w:val="16"/>
                  <w:color w:val="0000FF"/>
                  <w:w w:val="98"/>
                </w:rPr>
                <w:t>Standard BioTools Inc. 2022 Inducement Equity Incentive Plan Form of Notice</w:t>
              </w:r>
            </w:hyperlink>
          </w:p>
        </w:tc>
        <w:tc>
          <w:tcPr>
            <w:tcW w:w="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593">
              <w:r>
                <w:rPr>
                  <w:rFonts w:ascii="Times New Roman" w:cs="Times New Roman" w:eastAsia="Times New Roman" w:hAnsi="Times New Roman"/>
                  <w:sz w:val="16"/>
                  <w:szCs w:val="16"/>
                  <w:color w:val="0000FF"/>
                </w:rPr>
                <w:t>of Stock Option Grant and Stock Option Agreement.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10.56#</w:t>
            </w:r>
          </w:p>
        </w:tc>
        <w:tc>
          <w:tcPr>
            <w:tcW w:w="140" w:type="dxa"/>
            <w:vAlign w:val="bottom"/>
          </w:tcPr>
          <w:p>
            <w:pPr>
              <w:spacing w:after="0"/>
              <w:rPr>
                <w:sz w:val="23"/>
                <w:szCs w:val="23"/>
                <w:color w:val="auto"/>
              </w:rPr>
            </w:pPr>
          </w:p>
        </w:tc>
        <w:tc>
          <w:tcPr>
            <w:tcW w:w="506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8"/>
              </w:rPr>
            </w:pPr>
            <w:hyperlink r:id="rId594">
              <w:r>
                <w:rPr>
                  <w:rFonts w:ascii="Times New Roman" w:cs="Times New Roman" w:eastAsia="Times New Roman" w:hAnsi="Times New Roman"/>
                  <w:sz w:val="16"/>
                  <w:szCs w:val="16"/>
                  <w:color w:val="0000FF"/>
                  <w:w w:val="98"/>
                </w:rPr>
                <w:t>Standard BioTools Inc. 2022 Inducement Equity Incentive Plan Form of Notice</w:t>
              </w:r>
            </w:hyperlink>
          </w:p>
        </w:tc>
        <w:tc>
          <w:tcPr>
            <w:tcW w:w="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w w:val="98"/>
              </w:rPr>
            </w:pPr>
            <w:hyperlink r:id="rId594">
              <w:r>
                <w:rPr>
                  <w:rFonts w:ascii="Times New Roman" w:cs="Times New Roman" w:eastAsia="Times New Roman" w:hAnsi="Times New Roman"/>
                  <w:sz w:val="16"/>
                  <w:szCs w:val="16"/>
                  <w:color w:val="0000FF"/>
                  <w:w w:val="98"/>
                </w:rPr>
                <w:t>of Restricted Stock Unit Grant and Restricted Stock Unit Agreement.</w:t>
              </w:r>
            </w:hyperlink>
          </w:p>
        </w:tc>
        <w:tc>
          <w:tcPr>
            <w:tcW w:w="7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10.57#</w:t>
            </w:r>
          </w:p>
        </w:tc>
        <w:tc>
          <w:tcPr>
            <w:tcW w:w="140" w:type="dxa"/>
            <w:vAlign w:val="bottom"/>
          </w:tcPr>
          <w:p>
            <w:pPr>
              <w:spacing w:after="0"/>
              <w:rPr>
                <w:sz w:val="23"/>
                <w:szCs w:val="23"/>
                <w:color w:val="auto"/>
              </w:rPr>
            </w:pPr>
          </w:p>
        </w:tc>
        <w:tc>
          <w:tcPr>
            <w:tcW w:w="5140" w:type="dxa"/>
            <w:vAlign w:val="bottom"/>
            <w:gridSpan w:val="27"/>
          </w:tcPr>
          <w:p>
            <w:pPr>
              <w:spacing w:after="0"/>
              <w:rPr>
                <w:rFonts w:ascii="Times New Roman" w:cs="Times New Roman" w:eastAsia="Times New Roman" w:hAnsi="Times New Roman"/>
                <w:sz w:val="16"/>
                <w:szCs w:val="16"/>
                <w:color w:val="0000FF"/>
              </w:rPr>
            </w:pPr>
            <w:hyperlink r:id="rId595">
              <w:r>
                <w:rPr>
                  <w:rFonts w:ascii="Times New Roman" w:cs="Times New Roman" w:eastAsia="Times New Roman" w:hAnsi="Times New Roman"/>
                  <w:sz w:val="16"/>
                  <w:szCs w:val="16"/>
                  <w:color w:val="0000FF"/>
                </w:rPr>
                <w:t>SomaLogic, Inc. 2009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10.58#</w:t>
            </w:r>
          </w:p>
        </w:tc>
        <w:tc>
          <w:tcPr>
            <w:tcW w:w="140" w:type="dxa"/>
            <w:vAlign w:val="bottom"/>
          </w:tcPr>
          <w:p>
            <w:pPr>
              <w:spacing w:after="0"/>
              <w:rPr>
                <w:sz w:val="23"/>
                <w:szCs w:val="23"/>
                <w:color w:val="auto"/>
              </w:rPr>
            </w:pPr>
          </w:p>
        </w:tc>
        <w:tc>
          <w:tcPr>
            <w:tcW w:w="48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8"/>
              </w:rPr>
            </w:pPr>
            <w:hyperlink r:id="rId596">
              <w:r>
                <w:rPr>
                  <w:rFonts w:ascii="Times New Roman" w:cs="Times New Roman" w:eastAsia="Times New Roman" w:hAnsi="Times New Roman"/>
                  <w:sz w:val="16"/>
                  <w:szCs w:val="16"/>
                  <w:color w:val="0000FF"/>
                  <w:w w:val="98"/>
                </w:rPr>
                <w:t>Form of Non-Statutory Stock Option Agreement under the SomaLogic, Inc.</w:t>
              </w:r>
            </w:hyperlink>
          </w:p>
        </w:tc>
        <w:tc>
          <w:tcPr>
            <w:tcW w:w="32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Borders>
              <w:bottom w:val="single" w:sz="8" w:color="0000FF"/>
            </w:tcBorders>
            <w:gridSpan w:val="4"/>
          </w:tcPr>
          <w:p>
            <w:pPr>
              <w:spacing w:after="0" w:line="169" w:lineRule="exact"/>
              <w:rPr>
                <w:rFonts w:ascii="Times New Roman" w:cs="Times New Roman" w:eastAsia="Times New Roman" w:hAnsi="Times New Roman"/>
                <w:sz w:val="16"/>
                <w:szCs w:val="16"/>
                <w:color w:val="0000FF"/>
                <w:w w:val="97"/>
              </w:rPr>
            </w:pPr>
            <w:hyperlink r:id="rId596">
              <w:r>
                <w:rPr>
                  <w:rFonts w:ascii="Times New Roman" w:cs="Times New Roman" w:eastAsia="Times New Roman" w:hAnsi="Times New Roman"/>
                  <w:sz w:val="16"/>
                  <w:szCs w:val="16"/>
                  <w:color w:val="0000FF"/>
                  <w:w w:val="97"/>
                </w:rPr>
                <w:t>2009 Equity Incentive Plan.</w:t>
              </w:r>
            </w:hyperlink>
          </w:p>
        </w:tc>
        <w:tc>
          <w:tcPr>
            <w:tcW w:w="338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10.59#</w:t>
            </w:r>
          </w:p>
        </w:tc>
        <w:tc>
          <w:tcPr>
            <w:tcW w:w="140" w:type="dxa"/>
            <w:vAlign w:val="bottom"/>
          </w:tcPr>
          <w:p>
            <w:pPr>
              <w:spacing w:after="0"/>
              <w:rPr>
                <w:sz w:val="23"/>
                <w:szCs w:val="23"/>
                <w:color w:val="auto"/>
              </w:rPr>
            </w:pPr>
          </w:p>
        </w:tc>
        <w:tc>
          <w:tcPr>
            <w:tcW w:w="486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8"/>
              </w:rPr>
            </w:pPr>
            <w:hyperlink r:id="rId597">
              <w:r>
                <w:rPr>
                  <w:rFonts w:ascii="Times New Roman" w:cs="Times New Roman" w:eastAsia="Times New Roman" w:hAnsi="Times New Roman"/>
                  <w:sz w:val="16"/>
                  <w:szCs w:val="16"/>
                  <w:color w:val="0000FF"/>
                  <w:w w:val="98"/>
                </w:rPr>
                <w:t>Form of Incentive Stock Option Agreement under the SomaLogic, Inc. 2009</w:t>
              </w:r>
            </w:hyperlink>
          </w:p>
        </w:tc>
        <w:tc>
          <w:tcPr>
            <w:tcW w:w="2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597">
              <w:r>
                <w:rPr>
                  <w:rFonts w:ascii="Times New Roman" w:cs="Times New Roman" w:eastAsia="Times New Roman" w:hAnsi="Times New Roman"/>
                  <w:sz w:val="16"/>
                  <w:szCs w:val="16"/>
                  <w:color w:val="0000FF"/>
                </w:rPr>
                <w:t>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23"/>
                <w:szCs w:val="23"/>
                <w:color w:val="auto"/>
              </w:rPr>
            </w:pPr>
          </w:p>
        </w:tc>
        <w:tc>
          <w:tcPr>
            <w:tcW w:w="5140" w:type="dxa"/>
            <w:vAlign w:val="bottom"/>
            <w:gridSpan w:val="27"/>
          </w:tcPr>
          <w:p>
            <w:pPr>
              <w:spacing w:after="0"/>
              <w:rPr>
                <w:rFonts w:ascii="Times New Roman" w:cs="Times New Roman" w:eastAsia="Times New Roman" w:hAnsi="Times New Roman"/>
                <w:sz w:val="16"/>
                <w:szCs w:val="16"/>
                <w:color w:val="0000FF"/>
              </w:rPr>
            </w:pPr>
            <w:hyperlink r:id="rId598">
              <w:r>
                <w:rPr>
                  <w:rFonts w:ascii="Times New Roman" w:cs="Times New Roman" w:eastAsia="Times New Roman" w:hAnsi="Times New Roman"/>
                  <w:sz w:val="16"/>
                  <w:szCs w:val="16"/>
                  <w:color w:val="0000FF"/>
                </w:rPr>
                <w:t>SomaLogic, Inc. 2017 Equity Incentive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10.61#</w:t>
            </w:r>
          </w:p>
        </w:tc>
        <w:tc>
          <w:tcPr>
            <w:tcW w:w="140" w:type="dxa"/>
            <w:vAlign w:val="bottom"/>
          </w:tcPr>
          <w:p>
            <w:pPr>
              <w:spacing w:after="0"/>
              <w:rPr>
                <w:sz w:val="23"/>
                <w:szCs w:val="23"/>
                <w:color w:val="auto"/>
              </w:rPr>
            </w:pPr>
          </w:p>
        </w:tc>
        <w:tc>
          <w:tcPr>
            <w:tcW w:w="480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8"/>
              </w:rPr>
            </w:pPr>
            <w:hyperlink r:id="rId599">
              <w:r>
                <w:rPr>
                  <w:rFonts w:ascii="Times New Roman" w:cs="Times New Roman" w:eastAsia="Times New Roman" w:hAnsi="Times New Roman"/>
                  <w:sz w:val="16"/>
                  <w:szCs w:val="16"/>
                  <w:color w:val="0000FF"/>
                  <w:w w:val="98"/>
                </w:rPr>
                <w:t>Form of Option Agreement (Incentive Stock Option or Non-statutory Stock</w:t>
              </w:r>
            </w:hyperlink>
          </w:p>
        </w:tc>
        <w:tc>
          <w:tcPr>
            <w:tcW w:w="340" w:type="dxa"/>
            <w:vAlign w:val="bottom"/>
            <w:gridSpan w:val="9"/>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599">
              <w:r>
                <w:rPr>
                  <w:rFonts w:ascii="Times New Roman" w:cs="Times New Roman" w:eastAsia="Times New Roman" w:hAnsi="Times New Roman"/>
                  <w:sz w:val="16"/>
                  <w:szCs w:val="16"/>
                  <w:color w:val="0000FF"/>
                </w:rPr>
                <w:t>Option) under the SomaLogic, Inc. 2017 Equity Incentive Plan.</w:t>
              </w:r>
            </w:hyperlink>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10.62#</w:t>
            </w:r>
          </w:p>
        </w:tc>
        <w:tc>
          <w:tcPr>
            <w:tcW w:w="140" w:type="dxa"/>
            <w:vAlign w:val="bottom"/>
          </w:tcPr>
          <w:p>
            <w:pPr>
              <w:spacing w:after="0"/>
              <w:rPr>
                <w:sz w:val="23"/>
                <w:szCs w:val="23"/>
                <w:color w:val="auto"/>
              </w:rPr>
            </w:pPr>
          </w:p>
        </w:tc>
        <w:tc>
          <w:tcPr>
            <w:tcW w:w="4040" w:type="dxa"/>
            <w:vAlign w:val="bottom"/>
            <w:tcBorders>
              <w:top w:val="single" w:sz="8" w:color="0000FF"/>
            </w:tcBorders>
            <w:gridSpan w:val="14"/>
          </w:tcPr>
          <w:p>
            <w:pPr>
              <w:spacing w:after="0"/>
              <w:rPr>
                <w:rFonts w:ascii="Times New Roman" w:cs="Times New Roman" w:eastAsia="Times New Roman" w:hAnsi="Times New Roman"/>
                <w:sz w:val="16"/>
                <w:szCs w:val="16"/>
                <w:color w:val="0000FF"/>
              </w:rPr>
            </w:pPr>
            <w:hyperlink r:id="rId600">
              <w:r>
                <w:rPr>
                  <w:rFonts w:ascii="Times New Roman" w:cs="Times New Roman" w:eastAsia="Times New Roman" w:hAnsi="Times New Roman"/>
                  <w:sz w:val="16"/>
                  <w:szCs w:val="16"/>
                  <w:color w:val="0000FF"/>
                </w:rPr>
                <w:t>SomaLogic, Inc. 2021 Omnibus Incentive Plan.</w:t>
              </w:r>
            </w:hyperlink>
          </w:p>
        </w:tc>
        <w:tc>
          <w:tcPr>
            <w:tcW w:w="110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10.63#</w:t>
            </w:r>
          </w:p>
        </w:tc>
        <w:tc>
          <w:tcPr>
            <w:tcW w:w="140" w:type="dxa"/>
            <w:vAlign w:val="bottom"/>
          </w:tcPr>
          <w:p>
            <w:pPr>
              <w:spacing w:after="0"/>
              <w:rPr>
                <w:sz w:val="23"/>
                <w:szCs w:val="23"/>
                <w:color w:val="auto"/>
              </w:rPr>
            </w:pPr>
          </w:p>
        </w:tc>
        <w:tc>
          <w:tcPr>
            <w:tcW w:w="5140" w:type="dxa"/>
            <w:vAlign w:val="bottom"/>
            <w:gridSpan w:val="27"/>
          </w:tcPr>
          <w:p>
            <w:pPr>
              <w:spacing w:after="0"/>
              <w:rPr>
                <w:rFonts w:ascii="Times New Roman" w:cs="Times New Roman" w:eastAsia="Times New Roman" w:hAnsi="Times New Roman"/>
                <w:sz w:val="16"/>
                <w:szCs w:val="16"/>
                <w:color w:val="0000FF"/>
              </w:rPr>
            </w:pPr>
            <w:hyperlink r:id="rId600">
              <w:r>
                <w:rPr>
                  <w:rFonts w:ascii="Times New Roman" w:cs="Times New Roman" w:eastAsia="Times New Roman" w:hAnsi="Times New Roman"/>
                  <w:sz w:val="16"/>
                  <w:szCs w:val="16"/>
                  <w:color w:val="0000FF"/>
                </w:rPr>
                <w:t>SomaLogic, Inc. Employee Stock Purchase Plan.</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10.64#</w:t>
            </w:r>
          </w:p>
        </w:tc>
        <w:tc>
          <w:tcPr>
            <w:tcW w:w="140" w:type="dxa"/>
            <w:vAlign w:val="bottom"/>
          </w:tcPr>
          <w:p>
            <w:pPr>
              <w:spacing w:after="0"/>
              <w:rPr>
                <w:sz w:val="23"/>
                <w:szCs w:val="23"/>
                <w:color w:val="auto"/>
              </w:rPr>
            </w:pPr>
          </w:p>
        </w:tc>
        <w:tc>
          <w:tcPr>
            <w:tcW w:w="506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w w:val="98"/>
              </w:rPr>
            </w:pPr>
            <w:hyperlink r:id="rId601">
              <w:r>
                <w:rPr>
                  <w:rFonts w:ascii="Times New Roman" w:cs="Times New Roman" w:eastAsia="Times New Roman" w:hAnsi="Times New Roman"/>
                  <w:sz w:val="16"/>
                  <w:szCs w:val="16"/>
                  <w:color w:val="0000FF"/>
                  <w:w w:val="98"/>
                </w:rPr>
                <w:t>Form of Stock Appreciation Rights Agreement pursuant to the SomaLogic, Inc.</w:t>
              </w:r>
            </w:hyperlink>
          </w:p>
        </w:tc>
        <w:tc>
          <w:tcPr>
            <w:tcW w:w="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7"/>
              </w:rPr>
            </w:pPr>
            <w:hyperlink r:id="rId601">
              <w:r>
                <w:rPr>
                  <w:rFonts w:ascii="Times New Roman" w:cs="Times New Roman" w:eastAsia="Times New Roman" w:hAnsi="Times New Roman"/>
                  <w:sz w:val="16"/>
                  <w:szCs w:val="16"/>
                  <w:color w:val="0000FF"/>
                  <w:w w:val="97"/>
                </w:rPr>
                <w:t>2021 Omnibus Incentive Plan.</w:t>
              </w:r>
            </w:hyperlink>
          </w:p>
        </w:tc>
        <w:tc>
          <w:tcPr>
            <w:tcW w:w="20" w:type="dxa"/>
            <w:vAlign w:val="bottom"/>
            <w:tcBorders>
              <w:bottom w:val="single" w:sz="8" w:color="0000EE"/>
            </w:tcBorders>
          </w:tcPr>
          <w:p>
            <w:pPr>
              <w:spacing w:after="0"/>
              <w:rPr>
                <w:sz w:val="14"/>
                <w:szCs w:val="14"/>
                <w:color w:val="auto"/>
              </w:rPr>
            </w:pPr>
          </w:p>
        </w:tc>
        <w:tc>
          <w:tcPr>
            <w:tcW w:w="320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10.65#</w:t>
            </w:r>
          </w:p>
        </w:tc>
        <w:tc>
          <w:tcPr>
            <w:tcW w:w="140" w:type="dxa"/>
            <w:vAlign w:val="bottom"/>
          </w:tcPr>
          <w:p>
            <w:pPr>
              <w:spacing w:after="0"/>
              <w:rPr>
                <w:sz w:val="23"/>
                <w:szCs w:val="23"/>
                <w:color w:val="auto"/>
              </w:rPr>
            </w:pPr>
          </w:p>
        </w:tc>
        <w:tc>
          <w:tcPr>
            <w:tcW w:w="49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w w:val="98"/>
              </w:rPr>
            </w:pPr>
            <w:hyperlink r:id="rId602">
              <w:r>
                <w:rPr>
                  <w:rFonts w:ascii="Times New Roman" w:cs="Times New Roman" w:eastAsia="Times New Roman" w:hAnsi="Times New Roman"/>
                  <w:sz w:val="16"/>
                  <w:szCs w:val="16"/>
                  <w:color w:val="0000FF"/>
                  <w:w w:val="98"/>
                </w:rPr>
                <w:t>Form of Incentive Stock Option Award Agreement under the SomaLogic, Inc.</w:t>
              </w:r>
            </w:hyperlink>
          </w:p>
        </w:tc>
        <w:tc>
          <w:tcPr>
            <w:tcW w:w="1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7"/>
              </w:rPr>
            </w:pPr>
            <w:hyperlink r:id="rId602">
              <w:r>
                <w:rPr>
                  <w:rFonts w:ascii="Times New Roman" w:cs="Times New Roman" w:eastAsia="Times New Roman" w:hAnsi="Times New Roman"/>
                  <w:sz w:val="16"/>
                  <w:szCs w:val="16"/>
                  <w:color w:val="0000FF"/>
                  <w:w w:val="97"/>
                </w:rPr>
                <w:t>2021 Omnibus Incentive Plan.</w:t>
              </w:r>
            </w:hyperlink>
          </w:p>
        </w:tc>
        <w:tc>
          <w:tcPr>
            <w:tcW w:w="322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10.66#</w:t>
            </w:r>
          </w:p>
        </w:tc>
        <w:tc>
          <w:tcPr>
            <w:tcW w:w="140" w:type="dxa"/>
            <w:vAlign w:val="bottom"/>
          </w:tcPr>
          <w:p>
            <w:pPr>
              <w:spacing w:after="0"/>
              <w:rPr>
                <w:sz w:val="23"/>
                <w:szCs w:val="23"/>
                <w:color w:val="auto"/>
              </w:rPr>
            </w:pPr>
          </w:p>
        </w:tc>
        <w:tc>
          <w:tcPr>
            <w:tcW w:w="486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8"/>
              </w:rPr>
            </w:pPr>
            <w:hyperlink r:id="rId603">
              <w:r>
                <w:rPr>
                  <w:rFonts w:ascii="Times New Roman" w:cs="Times New Roman" w:eastAsia="Times New Roman" w:hAnsi="Times New Roman"/>
                  <w:sz w:val="16"/>
                  <w:szCs w:val="16"/>
                  <w:color w:val="0000FF"/>
                  <w:w w:val="98"/>
                </w:rPr>
                <w:t>Form of Restricted Stock Unit Award Agreement under the SomaLogic, Inc.</w:t>
              </w:r>
            </w:hyperlink>
          </w:p>
        </w:tc>
        <w:tc>
          <w:tcPr>
            <w:tcW w:w="2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Borders>
              <w:bottom w:val="single" w:sz="8" w:color="0000FF"/>
            </w:tcBorders>
            <w:gridSpan w:val="5"/>
          </w:tcPr>
          <w:p>
            <w:pPr>
              <w:spacing w:after="0" w:line="169" w:lineRule="exact"/>
              <w:rPr>
                <w:rFonts w:ascii="Times New Roman" w:cs="Times New Roman" w:eastAsia="Times New Roman" w:hAnsi="Times New Roman"/>
                <w:sz w:val="16"/>
                <w:szCs w:val="16"/>
                <w:color w:val="0000FF"/>
                <w:w w:val="97"/>
              </w:rPr>
            </w:pPr>
            <w:hyperlink r:id="rId603">
              <w:r>
                <w:rPr>
                  <w:rFonts w:ascii="Times New Roman" w:cs="Times New Roman" w:eastAsia="Times New Roman" w:hAnsi="Times New Roman"/>
                  <w:sz w:val="16"/>
                  <w:szCs w:val="16"/>
                  <w:color w:val="0000FF"/>
                  <w:w w:val="97"/>
                </w:rPr>
                <w:t>2021 Omnibus Incentive Plan.</w:t>
              </w:r>
            </w:hyperlink>
          </w:p>
        </w:tc>
        <w:tc>
          <w:tcPr>
            <w:tcW w:w="20" w:type="dxa"/>
            <w:vAlign w:val="bottom"/>
            <w:tcBorders>
              <w:bottom w:val="single" w:sz="8" w:color="0000EE"/>
            </w:tcBorders>
          </w:tcPr>
          <w:p>
            <w:pPr>
              <w:spacing w:after="0"/>
              <w:rPr>
                <w:sz w:val="14"/>
                <w:szCs w:val="14"/>
                <w:color w:val="auto"/>
              </w:rPr>
            </w:pPr>
          </w:p>
        </w:tc>
        <w:tc>
          <w:tcPr>
            <w:tcW w:w="320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tcPr>
          <w:p>
            <w:pPr>
              <w:spacing w:after="0"/>
              <w:rPr>
                <w:sz w:val="23"/>
                <w:szCs w:val="23"/>
                <w:color w:val="auto"/>
              </w:rPr>
            </w:pPr>
          </w:p>
        </w:tc>
        <w:tc>
          <w:tcPr>
            <w:tcW w:w="490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8"/>
              </w:rPr>
            </w:pPr>
            <w:hyperlink r:id="rId604">
              <w:r>
                <w:rPr>
                  <w:rFonts w:ascii="Times New Roman" w:cs="Times New Roman" w:eastAsia="Times New Roman" w:hAnsi="Times New Roman"/>
                  <w:sz w:val="16"/>
                  <w:szCs w:val="16"/>
                  <w:color w:val="0000FF"/>
                  <w:w w:val="98"/>
                </w:rPr>
                <w:t>Form of Restricted Stock Award Agreement under the SomaLogic, Inc. 2021</w:t>
              </w:r>
            </w:hyperlink>
          </w:p>
        </w:tc>
        <w:tc>
          <w:tcPr>
            <w:tcW w:w="24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bottom w:val="single" w:sz="8" w:color="0000FF"/>
            </w:tcBorders>
            <w:gridSpan w:val="2"/>
          </w:tcPr>
          <w:p>
            <w:pPr>
              <w:spacing w:after="0" w:line="169" w:lineRule="exact"/>
              <w:rPr>
                <w:rFonts w:ascii="Times New Roman" w:cs="Times New Roman" w:eastAsia="Times New Roman" w:hAnsi="Times New Roman"/>
                <w:sz w:val="16"/>
                <w:szCs w:val="16"/>
                <w:color w:val="0000FF"/>
                <w:w w:val="97"/>
              </w:rPr>
            </w:pPr>
            <w:hyperlink r:id="rId604">
              <w:r>
                <w:rPr>
                  <w:rFonts w:ascii="Times New Roman" w:cs="Times New Roman" w:eastAsia="Times New Roman" w:hAnsi="Times New Roman"/>
                  <w:sz w:val="16"/>
                  <w:szCs w:val="16"/>
                  <w:color w:val="0000FF"/>
                  <w:w w:val="97"/>
                </w:rPr>
                <w:t>Omnibus Incentive Plan.</w:t>
              </w:r>
            </w:hyperlink>
          </w:p>
        </w:tc>
        <w:tc>
          <w:tcPr>
            <w:tcW w:w="20" w:type="dxa"/>
            <w:vAlign w:val="bottom"/>
            <w:tcBorders>
              <w:bottom w:val="single" w:sz="8" w:color="0000EE"/>
            </w:tcBorders>
          </w:tcPr>
          <w:p>
            <w:pPr>
              <w:spacing w:after="0"/>
              <w:rPr>
                <w:sz w:val="14"/>
                <w:szCs w:val="14"/>
                <w:color w:val="auto"/>
              </w:rPr>
            </w:pPr>
          </w:p>
        </w:tc>
        <w:tc>
          <w:tcPr>
            <w:tcW w:w="356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10.68#</w:t>
            </w:r>
          </w:p>
        </w:tc>
        <w:tc>
          <w:tcPr>
            <w:tcW w:w="140" w:type="dxa"/>
            <w:vAlign w:val="bottom"/>
          </w:tcPr>
          <w:p>
            <w:pPr>
              <w:spacing w:after="0"/>
              <w:rPr>
                <w:sz w:val="23"/>
                <w:szCs w:val="23"/>
                <w:color w:val="auto"/>
              </w:rPr>
            </w:pPr>
          </w:p>
        </w:tc>
        <w:tc>
          <w:tcPr>
            <w:tcW w:w="50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w w:val="98"/>
              </w:rPr>
            </w:pPr>
            <w:hyperlink r:id="rId605">
              <w:r>
                <w:rPr>
                  <w:rFonts w:ascii="Times New Roman" w:cs="Times New Roman" w:eastAsia="Times New Roman" w:hAnsi="Times New Roman"/>
                  <w:sz w:val="16"/>
                  <w:szCs w:val="16"/>
                  <w:color w:val="0000FF"/>
                  <w:w w:val="98"/>
                </w:rPr>
                <w:t>Form of Non-Qualified Stock Option Award Agreement under the SomaLogic,</w:t>
              </w:r>
            </w:hyperlink>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Borders>
              <w:bottom w:val="single" w:sz="8" w:color="0000FF"/>
            </w:tcBorders>
            <w:gridSpan w:val="7"/>
          </w:tcPr>
          <w:p>
            <w:pPr>
              <w:spacing w:after="0" w:line="169" w:lineRule="exact"/>
              <w:rPr>
                <w:rFonts w:ascii="Times New Roman" w:cs="Times New Roman" w:eastAsia="Times New Roman" w:hAnsi="Times New Roman"/>
                <w:sz w:val="16"/>
                <w:szCs w:val="16"/>
                <w:color w:val="0000FF"/>
                <w:w w:val="97"/>
              </w:rPr>
            </w:pPr>
            <w:hyperlink r:id="rId605">
              <w:r>
                <w:rPr>
                  <w:rFonts w:ascii="Times New Roman" w:cs="Times New Roman" w:eastAsia="Times New Roman" w:hAnsi="Times New Roman"/>
                  <w:sz w:val="16"/>
                  <w:szCs w:val="16"/>
                  <w:color w:val="0000FF"/>
                  <w:w w:val="97"/>
                </w:rPr>
                <w:t>Inc. 2021 Omnibus Incentive Plan.</w:t>
              </w:r>
            </w:hyperlink>
          </w:p>
        </w:tc>
        <w:tc>
          <w:tcPr>
            <w:tcW w:w="20" w:type="dxa"/>
            <w:vAlign w:val="bottom"/>
            <w:tcBorders>
              <w:bottom w:val="single" w:sz="8" w:color="0000EE"/>
            </w:tcBorders>
          </w:tcPr>
          <w:p>
            <w:pPr>
              <w:spacing w:after="0"/>
              <w:rPr>
                <w:sz w:val="14"/>
                <w:szCs w:val="14"/>
                <w:color w:val="auto"/>
              </w:rPr>
            </w:pPr>
          </w:p>
        </w:tc>
        <w:tc>
          <w:tcPr>
            <w:tcW w:w="29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10.69</w:t>
            </w:r>
          </w:p>
        </w:tc>
        <w:tc>
          <w:tcPr>
            <w:tcW w:w="140" w:type="dxa"/>
            <w:vAlign w:val="bottom"/>
          </w:tcPr>
          <w:p>
            <w:pPr>
              <w:spacing w:after="0"/>
              <w:rPr>
                <w:sz w:val="23"/>
                <w:szCs w:val="23"/>
                <w:color w:val="auto"/>
              </w:rPr>
            </w:pPr>
          </w:p>
        </w:tc>
        <w:tc>
          <w:tcPr>
            <w:tcW w:w="498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w w:val="98"/>
              </w:rPr>
            </w:pPr>
            <w:hyperlink r:id="rId606">
              <w:r>
                <w:rPr>
                  <w:rFonts w:ascii="Times New Roman" w:cs="Times New Roman" w:eastAsia="Times New Roman" w:hAnsi="Times New Roman"/>
                  <w:sz w:val="16"/>
                  <w:szCs w:val="16"/>
                  <w:color w:val="0000FF"/>
                  <w:w w:val="98"/>
                </w:rPr>
                <w:t>Third Amendment to Collaboration Agreement, dated September 21, 2023, by</w:t>
              </w:r>
            </w:hyperlink>
          </w:p>
        </w:tc>
        <w:tc>
          <w:tcPr>
            <w:tcW w:w="16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606">
              <w:r>
                <w:rPr>
                  <w:rFonts w:ascii="Times New Roman" w:cs="Times New Roman" w:eastAsia="Times New Roman" w:hAnsi="Times New Roman"/>
                  <w:sz w:val="16"/>
                  <w:szCs w:val="16"/>
                  <w:color w:val="0000FF"/>
                </w:rPr>
                <w:t>and among SomaLogic, Inc., Illumina Cambridge, Ltd., and Illumina,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FF"/>
            </w:tcBorders>
            <w:gridSpan w:val="1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Pr>
          <w:p>
            <w:pPr>
              <w:spacing w:after="0"/>
              <w:rPr>
                <w:sz w:val="24"/>
                <w:szCs w:val="24"/>
                <w:color w:val="auto"/>
              </w:rPr>
            </w:pPr>
          </w:p>
        </w:tc>
        <w:tc>
          <w:tcPr>
            <w:tcW w:w="49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w w:val="98"/>
              </w:rPr>
            </w:pPr>
            <w:hyperlink r:id="rId607">
              <w:r>
                <w:rPr>
                  <w:rFonts w:ascii="Times New Roman" w:cs="Times New Roman" w:eastAsia="Times New Roman" w:hAnsi="Times New Roman"/>
                  <w:sz w:val="16"/>
                  <w:szCs w:val="16"/>
                  <w:color w:val="0000FF"/>
                  <w:w w:val="98"/>
                </w:rPr>
                <w:t>Second Amendment to Collaboration Agreement, dated June 15, 2023, by and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607">
              <w:r>
                <w:rPr>
                  <w:rFonts w:ascii="Times New Roman" w:cs="Times New Roman" w:eastAsia="Times New Roman" w:hAnsi="Times New Roman"/>
                  <w:sz w:val="16"/>
                  <w:szCs w:val="16"/>
                  <w:color w:val="0000FF"/>
                </w:rPr>
                <w:t>among SomaLogic, Inc., Illumina Cambridge, Ltd., and Illumina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380" w:type="dxa"/>
            <w:vAlign w:val="bottom"/>
            <w:tcBorders>
              <w:right w:val="single" w:sz="8" w:color="0000EE"/>
            </w:tcBorders>
            <w:gridSpan w:val="1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10.71</w:t>
            </w:r>
          </w:p>
        </w:tc>
        <w:tc>
          <w:tcPr>
            <w:tcW w:w="140" w:type="dxa"/>
            <w:vAlign w:val="bottom"/>
          </w:tcPr>
          <w:p>
            <w:pPr>
              <w:spacing w:after="0"/>
              <w:rPr>
                <w:sz w:val="24"/>
                <w:szCs w:val="24"/>
                <w:color w:val="auto"/>
              </w:rPr>
            </w:pPr>
          </w:p>
        </w:tc>
        <w:tc>
          <w:tcPr>
            <w:tcW w:w="490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8"/>
              </w:rPr>
            </w:pPr>
            <w:hyperlink r:id="rId608">
              <w:r>
                <w:rPr>
                  <w:rFonts w:ascii="Times New Roman" w:cs="Times New Roman" w:eastAsia="Times New Roman" w:hAnsi="Times New Roman"/>
                  <w:sz w:val="16"/>
                  <w:szCs w:val="16"/>
                  <w:color w:val="0000FF"/>
                  <w:w w:val="98"/>
                </w:rPr>
                <w:t>First Amendment to Collaboration Agreement, dated November 14, 2022, by</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7"/>
          </w:tcPr>
          <w:p>
            <w:pPr>
              <w:spacing w:after="0" w:line="169" w:lineRule="exact"/>
              <w:rPr>
                <w:rFonts w:ascii="Times New Roman" w:cs="Times New Roman" w:eastAsia="Times New Roman" w:hAnsi="Times New Roman"/>
                <w:sz w:val="16"/>
                <w:szCs w:val="16"/>
                <w:color w:val="0000FF"/>
              </w:rPr>
            </w:pPr>
            <w:hyperlink r:id="rId608">
              <w:r>
                <w:rPr>
                  <w:rFonts w:ascii="Times New Roman" w:cs="Times New Roman" w:eastAsia="Times New Roman" w:hAnsi="Times New Roman"/>
                  <w:sz w:val="16"/>
                  <w:szCs w:val="16"/>
                  <w:color w:val="0000FF"/>
                </w:rPr>
                <w:t>and among SomaLogic, Inc., Illumina Cambridge, Ltd. and Illumina, Inc.</w:t>
              </w:r>
            </w:hyperlink>
          </w:p>
        </w:tc>
        <w:tc>
          <w:tcPr>
            <w:tcW w:w="0" w:type="dxa"/>
            <w:vAlign w:val="bottom"/>
          </w:tcPr>
          <w:p>
            <w:pPr>
              <w:spacing w:after="0"/>
              <w:rPr>
                <w:sz w:val="1"/>
                <w:szCs w:val="1"/>
                <w:color w:val="auto"/>
              </w:rPr>
            </w:pPr>
          </w:p>
        </w:tc>
      </w:tr>
      <w:tr>
        <w:trPr>
          <w:trHeight w:val="584"/>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60" w:type="dxa"/>
            <w:vAlign w:val="bottom"/>
            <w:tcBorders>
              <w:top w:val="single" w:sz="8" w:color="0000FF"/>
            </w:tcBorders>
            <w:gridSpan w:val="17"/>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0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60" w:type="dxa"/>
            <w:vAlign w:val="bottom"/>
            <w:vMerge w:val="restart"/>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60" w:type="dxa"/>
            <w:vAlign w:val="bottom"/>
          </w:tcPr>
          <w:p>
            <w:pPr>
              <w:jc w:val="center"/>
              <w:ind w:right="23"/>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288"/>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6"/>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001-34180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6/24/2020</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4.9</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296"/>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99.1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333-264086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99.2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4/1/2022</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10.8</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10.9</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10.10</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w w:val="98"/>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5/14/2021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8/5/2021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10.2</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8/5/2021</w:t>
            </w:r>
          </w:p>
        </w:tc>
        <w:tc>
          <w:tcPr>
            <w:tcW w:w="0" w:type="dxa"/>
            <w:vAlign w:val="bottom"/>
          </w:tcPr>
          <w:p>
            <w:pPr>
              <w:spacing w:after="0"/>
              <w:rPr>
                <w:sz w:val="1"/>
                <w:szCs w:val="1"/>
                <w:color w:val="auto"/>
              </w:rPr>
            </w:pPr>
          </w:p>
        </w:tc>
      </w:tr>
      <w:tr>
        <w:trPr>
          <w:trHeight w:val="296"/>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10.5</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4"/>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333-256127</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10.7</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6/5/2021</w:t>
            </w:r>
          </w:p>
        </w:tc>
        <w:tc>
          <w:tcPr>
            <w:tcW w:w="0" w:type="dxa"/>
            <w:vAlign w:val="bottom"/>
          </w:tcPr>
          <w:p>
            <w:pPr>
              <w:spacing w:after="0"/>
              <w:rPr>
                <w:sz w:val="1"/>
                <w:szCs w:val="1"/>
                <w:color w:val="auto"/>
              </w:rPr>
            </w:pPr>
          </w:p>
        </w:tc>
      </w:tr>
      <w:tr>
        <w:trPr>
          <w:trHeight w:val="485"/>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11/8/2023</w:t>
            </w:r>
          </w:p>
        </w:tc>
        <w:tc>
          <w:tcPr>
            <w:tcW w:w="0" w:type="dxa"/>
            <w:vAlign w:val="bottom"/>
          </w:tcPr>
          <w:p>
            <w:pPr>
              <w:spacing w:after="0"/>
              <w:rPr>
                <w:sz w:val="1"/>
                <w:szCs w:val="1"/>
                <w:color w:val="auto"/>
              </w:rPr>
            </w:pPr>
          </w:p>
        </w:tc>
      </w:tr>
      <w:tr>
        <w:trPr>
          <w:trHeight w:val="568"/>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8/14/2023</w:t>
            </w:r>
          </w:p>
        </w:tc>
        <w:tc>
          <w:tcPr>
            <w:tcW w:w="0" w:type="dxa"/>
            <w:vAlign w:val="bottom"/>
          </w:tcPr>
          <w:p>
            <w:pPr>
              <w:spacing w:after="0"/>
              <w:rPr>
                <w:sz w:val="1"/>
                <w:szCs w:val="1"/>
                <w:color w:val="auto"/>
              </w:rPr>
            </w:pPr>
          </w:p>
        </w:tc>
      </w:tr>
      <w:tr>
        <w:trPr>
          <w:trHeight w:val="568"/>
        </w:trPr>
        <w:tc>
          <w:tcPr>
            <w:tcW w:w="106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001-39796</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10.38</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3/28/2023</w:t>
            </w:r>
          </w:p>
        </w:tc>
        <w:tc>
          <w:tcPr>
            <w:tcW w:w="0" w:type="dxa"/>
            <w:vAlign w:val="bottom"/>
          </w:tcPr>
          <w:p>
            <w:pPr>
              <w:spacing w:after="0"/>
              <w:rPr>
                <w:sz w:val="1"/>
                <w:szCs w:val="1"/>
                <w:color w:val="auto"/>
              </w:rPr>
            </w:pPr>
          </w:p>
        </w:tc>
      </w:tr>
    </w:tbl>
    <w:p>
      <w:pPr>
        <w:sectPr>
          <w:pgSz w:w="11900" w:h="16838" w:orient="portrait"/>
          <w:cols w:equalWidth="0" w:num="2">
            <w:col w:w="6060" w:space="120"/>
            <w:col w:w="4740"/>
          </w:cols>
          <w:pgMar w:left="320" w:top="1044" w:right="659" w:bottom="1440" w:gutter="0" w:footer="0" w:header="0"/>
        </w:sectPr>
      </w:pPr>
    </w:p>
    <w:bookmarkStart w:id="125" w:name="page126"/>
    <w:bookmarkEnd w:id="125"/>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40" w:type="dxa"/>
            <w:vAlign w:val="bottom"/>
            <w:gridSpan w:val="17"/>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67"/>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10.72†</w:t>
            </w:r>
          </w:p>
        </w:tc>
        <w:tc>
          <w:tcPr>
            <w:tcW w:w="140" w:type="dxa"/>
            <w:vAlign w:val="bottom"/>
          </w:tcPr>
          <w:p>
            <w:pPr>
              <w:spacing w:after="0"/>
              <w:rPr>
                <w:sz w:val="13"/>
                <w:szCs w:val="13"/>
                <w:color w:val="auto"/>
              </w:rPr>
            </w:pPr>
          </w:p>
        </w:tc>
        <w:tc>
          <w:tcPr>
            <w:tcW w:w="5120" w:type="dxa"/>
            <w:vAlign w:val="bottom"/>
            <w:tcBorders>
              <w:bottom w:val="single" w:sz="8" w:color="0000FF"/>
            </w:tcBorders>
            <w:gridSpan w:val="19"/>
          </w:tcPr>
          <w:p>
            <w:pPr>
              <w:spacing w:after="0" w:line="154" w:lineRule="exact"/>
              <w:rPr>
                <w:rFonts w:ascii="Times New Roman" w:cs="Times New Roman" w:eastAsia="Times New Roman" w:hAnsi="Times New Roman"/>
                <w:sz w:val="16"/>
                <w:szCs w:val="16"/>
                <w:color w:val="0000FF"/>
                <w:w w:val="98"/>
              </w:rPr>
            </w:pPr>
            <w:hyperlink r:id="rId610">
              <w:r>
                <w:rPr>
                  <w:rFonts w:ascii="Times New Roman" w:cs="Times New Roman" w:eastAsia="Times New Roman" w:hAnsi="Times New Roman"/>
                  <w:sz w:val="16"/>
                  <w:szCs w:val="16"/>
                  <w:color w:val="0000FF"/>
                  <w:w w:val="98"/>
                </w:rPr>
                <w:t>Collaboration Agreement, dated December 31, 2021, by and among SomaLogic,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rFonts w:ascii="Times New Roman" w:cs="Times New Roman" w:eastAsia="Times New Roman" w:hAnsi="Times New Roman"/>
                <w:sz w:val="16"/>
                <w:szCs w:val="16"/>
                <w:color w:val="0000FF"/>
              </w:rPr>
            </w:pPr>
            <w:hyperlink r:id="rId610">
              <w:r>
                <w:rPr>
                  <w:rFonts w:ascii="Times New Roman" w:cs="Times New Roman" w:eastAsia="Times New Roman" w:hAnsi="Times New Roman"/>
                  <w:sz w:val="16"/>
                  <w:szCs w:val="16"/>
                  <w:color w:val="0000FF"/>
                </w:rPr>
                <w:t>Inc., Illumina Cambridge, Ltd. and Illumina, Inc.</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10.73</w:t>
            </w:r>
          </w:p>
        </w:tc>
        <w:tc>
          <w:tcPr>
            <w:tcW w:w="140" w:type="dxa"/>
            <w:vAlign w:val="bottom"/>
          </w:tcPr>
          <w:p>
            <w:pPr>
              <w:spacing w:after="0"/>
              <w:rPr>
                <w:sz w:val="24"/>
                <w:szCs w:val="24"/>
                <w:color w:val="auto"/>
              </w:rPr>
            </w:pPr>
          </w:p>
        </w:tc>
        <w:tc>
          <w:tcPr>
            <w:tcW w:w="51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8"/>
              </w:rPr>
            </w:pPr>
            <w:hyperlink r:id="rId611">
              <w:r>
                <w:rPr>
                  <w:rFonts w:ascii="Times New Roman" w:cs="Times New Roman" w:eastAsia="Times New Roman" w:hAnsi="Times New Roman"/>
                  <w:sz w:val="16"/>
                  <w:szCs w:val="16"/>
                  <w:color w:val="0000FF"/>
                  <w:w w:val="98"/>
                </w:rPr>
                <w:t>Second Amendment to Supply Agreement, dated April 11, 2023, by and between</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Borders>
              <w:bottom w:val="single" w:sz="8" w:color="0000FF"/>
            </w:tcBorders>
            <w:gridSpan w:val="8"/>
          </w:tcPr>
          <w:p>
            <w:pPr>
              <w:spacing w:after="0" w:line="169" w:lineRule="exact"/>
              <w:rPr>
                <w:rFonts w:ascii="Times New Roman" w:cs="Times New Roman" w:eastAsia="Times New Roman" w:hAnsi="Times New Roman"/>
                <w:sz w:val="16"/>
                <w:szCs w:val="16"/>
                <w:color w:val="0000FF"/>
                <w:w w:val="99"/>
              </w:rPr>
            </w:pPr>
            <w:hyperlink r:id="rId611">
              <w:r>
                <w:rPr>
                  <w:rFonts w:ascii="Times New Roman" w:cs="Times New Roman" w:eastAsia="Times New Roman" w:hAnsi="Times New Roman"/>
                  <w:sz w:val="16"/>
                  <w:szCs w:val="16"/>
                  <w:color w:val="0000FF"/>
                  <w:w w:val="99"/>
                </w:rPr>
                <w:t>SomaLogic, Inc. and Agilent Technologies, Inc.</w:t>
              </w:r>
            </w:hyperlink>
          </w:p>
        </w:tc>
        <w:tc>
          <w:tcPr>
            <w:tcW w:w="20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10.74†</w:t>
            </w:r>
          </w:p>
        </w:tc>
        <w:tc>
          <w:tcPr>
            <w:tcW w:w="140" w:type="dxa"/>
            <w:vAlign w:val="bottom"/>
          </w:tcPr>
          <w:p>
            <w:pPr>
              <w:spacing w:after="0"/>
              <w:rPr>
                <w:sz w:val="24"/>
                <w:szCs w:val="24"/>
                <w:color w:val="auto"/>
              </w:rPr>
            </w:pPr>
          </w:p>
        </w:tc>
        <w:tc>
          <w:tcPr>
            <w:tcW w:w="494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8"/>
              </w:rPr>
            </w:pPr>
            <w:hyperlink r:id="rId612">
              <w:r>
                <w:rPr>
                  <w:rFonts w:ascii="Times New Roman" w:cs="Times New Roman" w:eastAsia="Times New Roman" w:hAnsi="Times New Roman"/>
                  <w:sz w:val="16"/>
                  <w:szCs w:val="16"/>
                  <w:color w:val="0000FF"/>
                  <w:w w:val="98"/>
                </w:rPr>
                <w:t>Supply Agreement, dated April 8, 2019, by and between SomaLogic, Inc. and</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Borders>
              <w:bottom w:val="single" w:sz="8" w:color="0000FF"/>
            </w:tcBorders>
            <w:gridSpan w:val="16"/>
          </w:tcPr>
          <w:p>
            <w:pPr>
              <w:spacing w:after="0" w:line="169" w:lineRule="exact"/>
              <w:rPr>
                <w:rFonts w:ascii="Times New Roman" w:cs="Times New Roman" w:eastAsia="Times New Roman" w:hAnsi="Times New Roman"/>
                <w:sz w:val="16"/>
                <w:szCs w:val="16"/>
                <w:color w:val="0000FF"/>
                <w:w w:val="98"/>
              </w:rPr>
            </w:pPr>
            <w:hyperlink r:id="rId612">
              <w:r>
                <w:rPr>
                  <w:rFonts w:ascii="Times New Roman" w:cs="Times New Roman" w:eastAsia="Times New Roman" w:hAnsi="Times New Roman"/>
                  <w:sz w:val="16"/>
                  <w:szCs w:val="16"/>
                  <w:color w:val="0000FF"/>
                  <w:w w:val="98"/>
                </w:rPr>
                <w:t>Agilent Technologies, Inc., as amended by that certain First Amendment to</w:t>
              </w:r>
            </w:hyperlink>
          </w:p>
        </w:tc>
        <w:tc>
          <w:tcPr>
            <w:tcW w:w="3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20" w:type="dxa"/>
            <w:vAlign w:val="bottom"/>
            <w:tcBorders>
              <w:bottom w:val="single" w:sz="8" w:color="0000FF"/>
            </w:tcBorders>
            <w:gridSpan w:val="19"/>
          </w:tcPr>
          <w:p>
            <w:pPr>
              <w:spacing w:after="0" w:line="169" w:lineRule="exact"/>
              <w:rPr>
                <w:rFonts w:ascii="Times New Roman" w:cs="Times New Roman" w:eastAsia="Times New Roman" w:hAnsi="Times New Roman"/>
                <w:sz w:val="16"/>
                <w:szCs w:val="16"/>
                <w:color w:val="0000FF"/>
                <w:w w:val="98"/>
              </w:rPr>
            </w:pPr>
            <w:hyperlink r:id="rId612">
              <w:r>
                <w:rPr>
                  <w:rFonts w:ascii="Times New Roman" w:cs="Times New Roman" w:eastAsia="Times New Roman" w:hAnsi="Times New Roman"/>
                  <w:sz w:val="16"/>
                  <w:szCs w:val="16"/>
                  <w:color w:val="0000FF"/>
                  <w:w w:val="98"/>
                </w:rPr>
                <w:t>Supply Agreement, dated October 1, 2021, by and between SomaLogic, Inc.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Borders>
              <w:bottom w:val="single" w:sz="8" w:color="0000FF"/>
            </w:tcBorders>
            <w:gridSpan w:val="2"/>
          </w:tcPr>
          <w:p>
            <w:pPr>
              <w:spacing w:after="0" w:line="169" w:lineRule="exact"/>
              <w:rPr>
                <w:rFonts w:ascii="Times New Roman" w:cs="Times New Roman" w:eastAsia="Times New Roman" w:hAnsi="Times New Roman"/>
                <w:sz w:val="16"/>
                <w:szCs w:val="16"/>
                <w:color w:val="0000FF"/>
                <w:w w:val="97"/>
              </w:rPr>
            </w:pPr>
            <w:hyperlink r:id="rId612">
              <w:r>
                <w:rPr>
                  <w:rFonts w:ascii="Times New Roman" w:cs="Times New Roman" w:eastAsia="Times New Roman" w:hAnsi="Times New Roman"/>
                  <w:sz w:val="16"/>
                  <w:szCs w:val="16"/>
                  <w:color w:val="0000FF"/>
                  <w:w w:val="97"/>
                </w:rPr>
                <w:t>Agilent Technologies, Inc.</w:t>
              </w:r>
            </w:hyperlink>
          </w:p>
        </w:tc>
        <w:tc>
          <w:tcPr>
            <w:tcW w:w="20" w:type="dxa"/>
            <w:vAlign w:val="bottom"/>
            <w:tcBorders>
              <w:bottom w:val="single" w:sz="8" w:color="0000EE"/>
            </w:tcBorders>
          </w:tcPr>
          <w:p>
            <w:pPr>
              <w:spacing w:after="0"/>
              <w:rPr>
                <w:sz w:val="14"/>
                <w:szCs w:val="14"/>
                <w:color w:val="auto"/>
              </w:rPr>
            </w:pPr>
          </w:p>
        </w:tc>
        <w:tc>
          <w:tcPr>
            <w:tcW w:w="34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10.75#</w:t>
            </w:r>
          </w:p>
        </w:tc>
        <w:tc>
          <w:tcPr>
            <w:tcW w:w="140" w:type="dxa"/>
            <w:vAlign w:val="bottom"/>
          </w:tcPr>
          <w:p>
            <w:pPr>
              <w:spacing w:after="0"/>
              <w:rPr>
                <w:sz w:val="23"/>
                <w:szCs w:val="23"/>
                <w:color w:val="auto"/>
              </w:rPr>
            </w:pPr>
          </w:p>
        </w:tc>
        <w:tc>
          <w:tcPr>
            <w:tcW w:w="4420" w:type="dxa"/>
            <w:vAlign w:val="bottom"/>
            <w:tcBorders>
              <w:bottom w:val="single" w:sz="8" w:color="0000EE"/>
            </w:tcBorders>
            <w:gridSpan w:val="10"/>
          </w:tcPr>
          <w:p>
            <w:pPr>
              <w:spacing w:after="0"/>
              <w:rPr>
                <w:rFonts w:ascii="Times New Roman" w:cs="Times New Roman" w:eastAsia="Times New Roman" w:hAnsi="Times New Roman"/>
                <w:sz w:val="16"/>
                <w:szCs w:val="16"/>
                <w:color w:val="0000FF"/>
                <w:w w:val="98"/>
              </w:rPr>
            </w:pPr>
            <w:hyperlink r:id="rId613">
              <w:r>
                <w:rPr>
                  <w:rFonts w:ascii="Times New Roman" w:cs="Times New Roman" w:eastAsia="Times New Roman" w:hAnsi="Times New Roman"/>
                  <w:sz w:val="16"/>
                  <w:szCs w:val="16"/>
                  <w:color w:val="0000FF"/>
                  <w:w w:val="98"/>
                </w:rPr>
                <w:t>Standard BioTools Inc. Nonemployee Director Compensation Policy.</w:t>
              </w:r>
            </w:hyperlink>
          </w:p>
        </w:tc>
        <w:tc>
          <w:tcPr>
            <w:tcW w:w="72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10.76</w:t>
            </w:r>
          </w:p>
        </w:tc>
        <w:tc>
          <w:tcPr>
            <w:tcW w:w="140" w:type="dxa"/>
            <w:vAlign w:val="bottom"/>
          </w:tcPr>
          <w:p>
            <w:pPr>
              <w:spacing w:after="0"/>
              <w:rPr>
                <w:sz w:val="23"/>
                <w:szCs w:val="23"/>
                <w:color w:val="auto"/>
              </w:rPr>
            </w:pPr>
          </w:p>
        </w:tc>
        <w:tc>
          <w:tcPr>
            <w:tcW w:w="514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w w:val="98"/>
              </w:rPr>
            </w:pPr>
            <w:hyperlink r:id="rId614">
              <w:r>
                <w:rPr>
                  <w:rFonts w:ascii="Times New Roman" w:cs="Times New Roman" w:eastAsia="Times New Roman" w:hAnsi="Times New Roman"/>
                  <w:sz w:val="16"/>
                  <w:szCs w:val="16"/>
                  <w:color w:val="0000FF"/>
                  <w:w w:val="98"/>
                </w:rPr>
                <w:t>Exchange Agreement, dated March 18, 2024, by and between Standard BioTools</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80" w:type="dxa"/>
            <w:vAlign w:val="bottom"/>
            <w:tcBorders>
              <w:bottom w:val="single" w:sz="8" w:color="0000FF"/>
            </w:tcBorders>
            <w:gridSpan w:val="17"/>
          </w:tcPr>
          <w:p>
            <w:pPr>
              <w:spacing w:after="0" w:line="169" w:lineRule="exact"/>
              <w:rPr>
                <w:rFonts w:ascii="Times New Roman" w:cs="Times New Roman" w:eastAsia="Times New Roman" w:hAnsi="Times New Roman"/>
                <w:sz w:val="16"/>
                <w:szCs w:val="16"/>
                <w:color w:val="0000FF"/>
                <w:w w:val="98"/>
              </w:rPr>
            </w:pPr>
            <w:hyperlink r:id="rId614">
              <w:r>
                <w:rPr>
                  <w:rFonts w:ascii="Times New Roman" w:cs="Times New Roman" w:eastAsia="Times New Roman" w:hAnsi="Times New Roman"/>
                  <w:sz w:val="16"/>
                  <w:szCs w:val="16"/>
                  <w:color w:val="0000FF"/>
                  <w:w w:val="98"/>
                </w:rPr>
                <w:t>Inc. and Casdin Private Growth Equity Fund II, L.P., Casdin Partners Master</w:t>
              </w:r>
            </w:hyperlink>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tcBorders>
              <w:bottom w:val="single" w:sz="8" w:color="0000FF"/>
            </w:tcBorders>
            <w:gridSpan w:val="20"/>
          </w:tcPr>
          <w:p>
            <w:pPr>
              <w:spacing w:after="0" w:line="169" w:lineRule="exact"/>
              <w:rPr>
                <w:rFonts w:ascii="Times New Roman" w:cs="Times New Roman" w:eastAsia="Times New Roman" w:hAnsi="Times New Roman"/>
                <w:sz w:val="16"/>
                <w:szCs w:val="16"/>
                <w:color w:val="0000FF"/>
                <w:w w:val="98"/>
              </w:rPr>
            </w:pPr>
            <w:hyperlink r:id="rId614">
              <w:r>
                <w:rPr>
                  <w:rFonts w:ascii="Times New Roman" w:cs="Times New Roman" w:eastAsia="Times New Roman" w:hAnsi="Times New Roman"/>
                  <w:sz w:val="16"/>
                  <w:szCs w:val="16"/>
                  <w:color w:val="0000FF"/>
                  <w:w w:val="98"/>
                </w:rPr>
                <w:t>Fund, L.P., Viking Global Opportunities Illiquid Investments Sub-Master LP and</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tcBorders>
              <w:bottom w:val="single" w:sz="8" w:color="0000FF"/>
            </w:tcBorders>
            <w:gridSpan w:val="9"/>
          </w:tcPr>
          <w:p>
            <w:pPr>
              <w:spacing w:after="0" w:line="169" w:lineRule="exact"/>
              <w:rPr>
                <w:rFonts w:ascii="Times New Roman" w:cs="Times New Roman" w:eastAsia="Times New Roman" w:hAnsi="Times New Roman"/>
                <w:sz w:val="16"/>
                <w:szCs w:val="16"/>
                <w:color w:val="0000FF"/>
                <w:w w:val="98"/>
              </w:rPr>
            </w:pPr>
            <w:hyperlink r:id="rId614">
              <w:r>
                <w:rPr>
                  <w:rFonts w:ascii="Times New Roman" w:cs="Times New Roman" w:eastAsia="Times New Roman" w:hAnsi="Times New Roman"/>
                  <w:sz w:val="16"/>
                  <w:szCs w:val="16"/>
                  <w:color w:val="0000FF"/>
                  <w:w w:val="98"/>
                </w:rPr>
                <w:t>Viking Global Opportunities Drawdown (Aggregator) LP.</w:t>
              </w:r>
            </w:hyperlink>
          </w:p>
        </w:tc>
        <w:tc>
          <w:tcPr>
            <w:tcW w:w="14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tcPr>
          <w:p>
            <w:pPr>
              <w:spacing w:after="0"/>
              <w:rPr>
                <w:sz w:val="23"/>
                <w:szCs w:val="23"/>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Standard BioTools Inc. Insider Trading Policy</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40" w:type="dxa"/>
            <w:vAlign w:val="bottom"/>
          </w:tcPr>
          <w:p>
            <w:pPr>
              <w:spacing w:after="0"/>
              <w:rPr>
                <w:sz w:val="23"/>
                <w:szCs w:val="23"/>
                <w:color w:val="auto"/>
              </w:rPr>
            </w:pPr>
          </w:p>
        </w:tc>
        <w:tc>
          <w:tcPr>
            <w:tcW w:w="2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Subsidiaries of Standard BioTools Inc.</w:t>
            </w:r>
          </w:p>
        </w:tc>
        <w:tc>
          <w:tcPr>
            <w:tcW w:w="222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16"/>
                <w:szCs w:val="16"/>
                <w:color w:val="auto"/>
              </w:rPr>
            </w:pPr>
          </w:p>
        </w:tc>
        <w:tc>
          <w:tcPr>
            <w:tcW w:w="46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Consent of PricewaterhouseCoopers LLP, Independent Registered Public</w:t>
            </w:r>
          </w:p>
        </w:tc>
        <w:tc>
          <w:tcPr>
            <w:tcW w:w="4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6"/>
              </w:rPr>
              <w:t>Accounting Firm.</w:t>
            </w:r>
          </w:p>
        </w:tc>
        <w:tc>
          <w:tcPr>
            <w:tcW w:w="40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tcPr>
          <w:p>
            <w:pPr>
              <w:spacing w:after="0"/>
              <w:rPr>
                <w:sz w:val="23"/>
                <w:szCs w:val="23"/>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Power of Attorney (contained in the signature page to this Form 10-K).</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4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8"/>
              </w:rPr>
              <w:t>Certification Pursuant to 18 U.S.C. Section 1350, as Adopted Pursuant to</w:t>
            </w:r>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6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6"/>
                <w:szCs w:val="16"/>
                <w:color w:val="0000FF"/>
                <w:w w:val="98"/>
              </w:rPr>
              <w:t>Section 302 of the Sarbanes-Oxley Act of 2002 of Chief Executive Officer.</w:t>
            </w:r>
          </w:p>
        </w:tc>
        <w:tc>
          <w:tcPr>
            <w:tcW w:w="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3"/>
                <w:szCs w:val="23"/>
                <w:color w:val="auto"/>
              </w:rPr>
            </w:pPr>
          </w:p>
        </w:tc>
        <w:tc>
          <w:tcPr>
            <w:tcW w:w="4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8"/>
              </w:rPr>
              <w:t>Certification Pursuant to 18 U.S.C. Section 1350, as Adopted Pursuant to</w:t>
            </w:r>
          </w:p>
        </w:tc>
        <w:tc>
          <w:tcPr>
            <w:tcW w:w="4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sz w:val="20"/>
                <w:szCs w:val="20"/>
                <w:color w:val="auto"/>
              </w:rPr>
            </w:pPr>
            <w:r>
              <w:rPr>
                <w:rFonts w:ascii="Times New Roman" w:cs="Times New Roman" w:eastAsia="Times New Roman" w:hAnsi="Times New Roman"/>
                <w:sz w:val="16"/>
                <w:szCs w:val="16"/>
                <w:color w:val="0000FF"/>
              </w:rPr>
              <w:t>Section 302 of the Sarbanes-Oxley Act of 2002 of Chief Financial Officer.</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3"/>
                <w:szCs w:val="23"/>
                <w:color w:val="auto"/>
              </w:rPr>
            </w:pPr>
          </w:p>
        </w:tc>
        <w:tc>
          <w:tcPr>
            <w:tcW w:w="46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8"/>
              </w:rPr>
              <w:t>Certification Pursuant to 18 U.S.C. Section 1350, as Adopted Pursuant to</w:t>
            </w:r>
          </w:p>
        </w:tc>
        <w:tc>
          <w:tcPr>
            <w:tcW w:w="40" w:type="dxa"/>
            <w:vAlign w:val="bottom"/>
            <w:tcBorders>
              <w:top w:val="single" w:sz="8" w:color="0000FF"/>
            </w:tcBorders>
            <w:gridSpan w:val="2"/>
          </w:tcPr>
          <w:p>
            <w:pPr>
              <w:spacing w:after="0"/>
              <w:rPr>
                <w:sz w:val="23"/>
                <w:szCs w:val="23"/>
                <w:color w:val="auto"/>
              </w:rPr>
            </w:pPr>
          </w:p>
        </w:tc>
        <w:tc>
          <w:tcPr>
            <w:tcW w:w="44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6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6"/>
                <w:szCs w:val="16"/>
                <w:color w:val="0000FF"/>
                <w:w w:val="98"/>
              </w:rPr>
              <w:t>Section 906 of the Sarbanes-Oxley Act of 2002 of Chief Executive Officer.</w:t>
            </w:r>
          </w:p>
        </w:tc>
        <w:tc>
          <w:tcPr>
            <w:tcW w:w="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3"/>
                <w:szCs w:val="23"/>
                <w:color w:val="auto"/>
              </w:rPr>
            </w:pPr>
          </w:p>
        </w:tc>
        <w:tc>
          <w:tcPr>
            <w:tcW w:w="4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8"/>
              </w:rPr>
              <w:t>Certification Pursuant to 18 U.S.C. Section 1350, as Adopted Pursuant to</w:t>
            </w:r>
          </w:p>
        </w:tc>
        <w:tc>
          <w:tcPr>
            <w:tcW w:w="4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40" w:type="dxa"/>
            <w:vAlign w:val="bottom"/>
            <w:gridSpan w:val="20"/>
          </w:tcPr>
          <w:p>
            <w:pPr>
              <w:spacing w:after="0" w:line="169" w:lineRule="exact"/>
              <w:rPr>
                <w:sz w:val="20"/>
                <w:szCs w:val="20"/>
                <w:color w:val="auto"/>
              </w:rPr>
            </w:pPr>
            <w:r>
              <w:rPr>
                <w:rFonts w:ascii="Times New Roman" w:cs="Times New Roman" w:eastAsia="Times New Roman" w:hAnsi="Times New Roman"/>
                <w:sz w:val="16"/>
                <w:szCs w:val="16"/>
                <w:color w:val="0000FF"/>
              </w:rPr>
              <w:t>Section 906 of the Sarbanes-Oxley Act of 2002 of Chief Financial Officer.</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140" w:type="dxa"/>
            <w:vAlign w:val="bottom"/>
          </w:tcPr>
          <w:p>
            <w:pPr>
              <w:spacing w:after="0"/>
              <w:rPr>
                <w:sz w:val="23"/>
                <w:szCs w:val="23"/>
                <w:color w:val="auto"/>
              </w:rPr>
            </w:pPr>
          </w:p>
        </w:tc>
        <w:tc>
          <w:tcPr>
            <w:tcW w:w="26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6"/>
                <w:szCs w:val="16"/>
                <w:color w:val="0000FF"/>
                <w:w w:val="97"/>
              </w:rPr>
            </w:pPr>
            <w:hyperlink r:id="rId615">
              <w:r>
                <w:rPr>
                  <w:rFonts w:ascii="Times New Roman" w:cs="Times New Roman" w:eastAsia="Times New Roman" w:hAnsi="Times New Roman"/>
                  <w:sz w:val="16"/>
                  <w:szCs w:val="16"/>
                  <w:color w:val="0000FF"/>
                  <w:w w:val="97"/>
                </w:rPr>
                <w:t>Standard BioTools Inc. Clawback Policy.</w:t>
              </w:r>
            </w:hyperlink>
          </w:p>
        </w:tc>
        <w:tc>
          <w:tcPr>
            <w:tcW w:w="20" w:type="dxa"/>
            <w:vAlign w:val="bottom"/>
            <w:tcBorders>
              <w:top w:val="single" w:sz="8" w:color="0000FF"/>
              <w:bottom w:val="single" w:sz="8" w:color="0000EE"/>
            </w:tcBorders>
          </w:tcPr>
          <w:p>
            <w:pPr>
              <w:spacing w:after="0"/>
              <w:rPr>
                <w:sz w:val="23"/>
                <w:szCs w:val="23"/>
                <w:color w:val="auto"/>
              </w:rPr>
            </w:pPr>
          </w:p>
        </w:tc>
        <w:tc>
          <w:tcPr>
            <w:tcW w:w="2060" w:type="dxa"/>
            <w:vAlign w:val="bottom"/>
            <w:tcBorders>
              <w:top w:val="single" w:sz="8" w:color="0000FF"/>
            </w:tcBorders>
            <w:gridSpan w:val="8"/>
          </w:tcPr>
          <w:p>
            <w:pPr>
              <w:spacing w:after="0"/>
              <w:rPr>
                <w:sz w:val="23"/>
                <w:szCs w:val="23"/>
                <w:color w:val="auto"/>
              </w:rPr>
            </w:pPr>
          </w:p>
        </w:tc>
        <w:tc>
          <w:tcPr>
            <w:tcW w:w="44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40" w:type="dxa"/>
            <w:vAlign w:val="bottom"/>
          </w:tcPr>
          <w:p>
            <w:pPr>
              <w:spacing w:after="0"/>
              <w:rPr>
                <w:sz w:val="24"/>
                <w:szCs w:val="24"/>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7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40" w:type="dxa"/>
            <w:vAlign w:val="bottom"/>
          </w:tcPr>
          <w:p>
            <w:pPr>
              <w:spacing w:after="0"/>
              <w:rPr>
                <w:sz w:val="24"/>
                <w:szCs w:val="24"/>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Linkbases</w:t>
            </w: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Document</w:t>
            </w:r>
          </w:p>
        </w:tc>
        <w:tc>
          <w:tcPr>
            <w:tcW w:w="0" w:type="dxa"/>
            <w:vAlign w:val="bottom"/>
          </w:tcPr>
          <w:p>
            <w:pPr>
              <w:spacing w:after="0"/>
              <w:rPr>
                <w:sz w:val="1"/>
                <w:szCs w:val="1"/>
                <w:color w:val="auto"/>
              </w:rPr>
            </w:pPr>
          </w:p>
        </w:tc>
      </w:tr>
      <w:tr>
        <w:trPr>
          <w:trHeight w:val="485"/>
        </w:trPr>
        <w:tc>
          <w:tcPr>
            <w:tcW w:w="780" w:type="dxa"/>
            <w:vAlign w:val="bottom"/>
          </w:tcPr>
          <w:p>
            <w:pPr>
              <w:spacing w:after="0"/>
              <w:rPr>
                <w:sz w:val="24"/>
                <w:szCs w:val="24"/>
                <w:color w:val="auto"/>
              </w:rPr>
            </w:pPr>
          </w:p>
        </w:tc>
        <w:tc>
          <w:tcPr>
            <w:tcW w:w="5260" w:type="dxa"/>
            <w:vAlign w:val="bottom"/>
            <w:gridSpan w:val="20"/>
          </w:tcPr>
          <w:p>
            <w:pPr>
              <w:jc w:val="right"/>
              <w:ind w:right="160"/>
              <w:spacing w:after="0"/>
              <w:rPr>
                <w:sz w:val="20"/>
                <w:szCs w:val="20"/>
                <w:color w:val="auto"/>
              </w:rPr>
            </w:pPr>
            <w:r>
              <w:rPr>
                <w:rFonts w:ascii="Times New Roman" w:cs="Times New Roman" w:eastAsia="Times New Roman" w:hAnsi="Times New Roman"/>
                <w:sz w:val="16"/>
                <w:szCs w:val="16"/>
                <w:color w:val="auto"/>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174865" cy="406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20" w:type="dxa"/>
            <w:vAlign w:val="bottom"/>
            <w:vMerge w:val="restart"/>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120" w:type="dxa"/>
            <w:vAlign w:val="bottom"/>
          </w:tcPr>
          <w:p>
            <w:pPr>
              <w:jc w:val="center"/>
              <w:ind w:right="84"/>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98"/>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001-40090</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10.36</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3/29/2022</w:t>
            </w:r>
          </w:p>
        </w:tc>
        <w:tc>
          <w:tcPr>
            <w:tcW w:w="0" w:type="dxa"/>
            <w:vAlign w:val="bottom"/>
          </w:tcPr>
          <w:p>
            <w:pPr>
              <w:spacing w:after="0"/>
              <w:rPr>
                <w:sz w:val="1"/>
                <w:szCs w:val="1"/>
                <w:color w:val="auto"/>
              </w:rPr>
            </w:pPr>
          </w:p>
        </w:tc>
      </w:tr>
      <w:tr>
        <w:trPr>
          <w:trHeight w:val="551"/>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7"/>
              </w:rPr>
              <w:t>10-Q</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8/14/2023</w:t>
            </w:r>
          </w:p>
        </w:tc>
        <w:tc>
          <w:tcPr>
            <w:tcW w:w="0" w:type="dxa"/>
            <w:vAlign w:val="bottom"/>
          </w:tcPr>
          <w:p>
            <w:pPr>
              <w:spacing w:after="0"/>
              <w:rPr>
                <w:sz w:val="1"/>
                <w:szCs w:val="1"/>
                <w:color w:val="auto"/>
              </w:rPr>
            </w:pPr>
          </w:p>
        </w:tc>
      </w:tr>
      <w:tr>
        <w:trPr>
          <w:trHeight w:val="568"/>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10.34</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3/29/2022</w:t>
            </w:r>
          </w:p>
        </w:tc>
        <w:tc>
          <w:tcPr>
            <w:tcW w:w="0" w:type="dxa"/>
            <w:vAlign w:val="bottom"/>
          </w:tcPr>
          <w:p>
            <w:pPr>
              <w:spacing w:after="0"/>
              <w:rPr>
                <w:sz w:val="1"/>
                <w:szCs w:val="1"/>
                <w:color w:val="auto"/>
              </w:rPr>
            </w:pPr>
          </w:p>
        </w:tc>
      </w:tr>
      <w:tr>
        <w:trPr>
          <w:trHeight w:val="863"/>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10-K/A</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10.96</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4/26/2024</w:t>
            </w:r>
          </w:p>
        </w:tc>
        <w:tc>
          <w:tcPr>
            <w:tcW w:w="0" w:type="dxa"/>
            <w:vAlign w:val="bottom"/>
          </w:tcPr>
          <w:p>
            <w:pPr>
              <w:spacing w:after="0"/>
              <w:rPr>
                <w:sz w:val="1"/>
                <w:szCs w:val="1"/>
                <w:color w:val="auto"/>
              </w:rPr>
            </w:pPr>
          </w:p>
        </w:tc>
      </w:tr>
      <w:tr>
        <w:trPr>
          <w:trHeight w:val="296"/>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6"/>
              </w:rPr>
              <w:t>8-K</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10.1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3/18/2024</w:t>
            </w:r>
          </w:p>
        </w:tc>
        <w:tc>
          <w:tcPr>
            <w:tcW w:w="0" w:type="dxa"/>
            <w:vAlign w:val="bottom"/>
          </w:tcPr>
          <w:p>
            <w:pPr>
              <w:spacing w:after="0"/>
              <w:rPr>
                <w:sz w:val="1"/>
                <w:szCs w:val="1"/>
                <w:color w:val="auto"/>
              </w:rPr>
            </w:pPr>
          </w:p>
        </w:tc>
      </w:tr>
      <w:tr>
        <w:trPr>
          <w:trHeight w:val="863"/>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7"/>
              </w:rPr>
              <w:t>10-K</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001-40090</w:t>
            </w:r>
          </w:p>
        </w:tc>
        <w:tc>
          <w:tcPr>
            <w:tcW w:w="11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97.1</w:t>
            </w:r>
          </w:p>
        </w:tc>
        <w:tc>
          <w:tcPr>
            <w:tcW w:w="142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8"/>
              </w:rPr>
              <w:t>3/1/2024</w:t>
            </w:r>
          </w:p>
        </w:tc>
        <w:tc>
          <w:tcPr>
            <w:tcW w:w="0" w:type="dxa"/>
            <w:vAlign w:val="bottom"/>
          </w:tcPr>
          <w:p>
            <w:pPr>
              <w:spacing w:after="0"/>
              <w:rPr>
                <w:sz w:val="1"/>
                <w:szCs w:val="1"/>
                <w:color w:val="auto"/>
              </w:rPr>
            </w:pPr>
          </w:p>
        </w:tc>
      </w:tr>
      <w:tr>
        <w:trPr>
          <w:trHeight w:val="296"/>
        </w:trPr>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Filed herewith</w:t>
      </w:r>
    </w:p>
    <w:p>
      <w:pPr>
        <w:sectPr>
          <w:pgSz w:w="11900" w:h="16838" w:orient="portrait"/>
          <w:cols w:equalWidth="0" w:num="2">
            <w:col w:w="6060" w:space="120"/>
            <w:col w:w="4740"/>
          </w:cols>
          <w:pgMar w:left="320" w:top="1044" w:right="659" w:bottom="1440" w:gutter="0" w:footer="0" w:header="0"/>
        </w:sectPr>
      </w:pPr>
    </w:p>
    <w:bookmarkStart w:id="126" w:name="page127"/>
    <w:bookmarkEnd w:id="126"/>
    <w:tbl>
      <w:tblPr>
        <w:tblLayout w:type="fixed"/>
        <w:tblInd w:w="5"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Incorporated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right="93"/>
              <w:spacing w:after="0" w:line="130" w:lineRule="exact"/>
              <w:rPr>
                <w:sz w:val="20"/>
                <w:szCs w:val="20"/>
                <w:color w:val="auto"/>
              </w:rPr>
            </w:pPr>
            <w:r>
              <w:rPr>
                <w:rFonts w:ascii="Times New Roman" w:cs="Times New Roman" w:eastAsia="Times New Roman" w:hAnsi="Times New Roman"/>
                <w:sz w:val="13"/>
                <w:szCs w:val="13"/>
                <w:b w:val="1"/>
                <w:bCs w:val="1"/>
                <w:color w:val="auto"/>
                <w:w w:val="99"/>
              </w:rPr>
              <w:t>by Reference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From Exhibit</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5"/>
                <w:szCs w:val="15"/>
                <w:color w:val="auto"/>
              </w:rPr>
            </w:pPr>
          </w:p>
        </w:tc>
        <w:tc>
          <w:tcPr>
            <w:tcW w:w="51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7"/>
              </w:rPr>
              <w:t>From Form</w:t>
            </w: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00" w:type="dxa"/>
            <w:vAlign w:val="bottom"/>
          </w:tcPr>
          <w:p>
            <w:pPr>
              <w:spacing w:after="0"/>
              <w:rPr>
                <w:sz w:val="15"/>
                <w:szCs w:val="15"/>
                <w:color w:val="auto"/>
              </w:rPr>
            </w:pPr>
          </w:p>
        </w:tc>
        <w:tc>
          <w:tcPr>
            <w:tcW w:w="13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Date Filed</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Cover Page Interactive Data File (embedded within the Inline XBRL document)</w:t>
            </w:r>
          </w:p>
        </w:tc>
        <w:tc>
          <w:tcPr>
            <w:tcW w:w="120" w:type="dxa"/>
            <w:vAlign w:val="bottom"/>
          </w:tcPr>
          <w:p>
            <w:pPr>
              <w:spacing w:after="0"/>
              <w:rPr>
                <w:sz w:val="17"/>
                <w:szCs w:val="17"/>
                <w:color w:val="auto"/>
              </w:rPr>
            </w:pPr>
          </w:p>
        </w:tc>
        <w:tc>
          <w:tcPr>
            <w:tcW w:w="112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w w:val="98"/>
              </w:rPr>
              <w:t>Filed herewith</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90754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17">
                      <a:extLst>
                        <a:ext uri="{28A0092B-C50C-407E-A947-70E740481C1C}"/>
                      </a:extLst>
                    </a:blip>
                    <a:srcRect/>
                    <a:stretch>
                      <a:fillRect/>
                    </a:stretch>
                  </pic:blipFill>
                  <pic:spPr bwMode="auto">
                    <a:xfrm>
                      <a:off x="0" y="0"/>
                      <a:ext cx="1907540" cy="7620"/>
                    </a:xfrm>
                    <a:prstGeom prst="rect">
                      <a:avLst/>
                    </a:prstGeom>
                    <a:noFill/>
                  </pic:spPr>
                </pic:pic>
              </a:graphicData>
            </a:graphic>
          </wp:anchor>
        </w:drawing>
      </w:r>
    </w:p>
    <w:p>
      <w:pPr>
        <w:spacing w:after="0" w:line="2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Management contracts or compensation plans or arrangements in which directors or executive officers are eligible to participate.</w:t>
      </w:r>
    </w:p>
    <w:p>
      <w:pPr>
        <w:spacing w:after="0" w:line="206" w:lineRule="exact"/>
        <w:rPr>
          <w:sz w:val="20"/>
          <w:szCs w:val="20"/>
          <w:color w:val="auto"/>
        </w:rPr>
      </w:pPr>
    </w:p>
    <w:p>
      <w:pPr>
        <w:ind w:left="5" w:hanging="5"/>
        <w:spacing w:after="0" w:line="299" w:lineRule="auto"/>
        <w:tabs>
          <w:tab w:leader="none" w:pos="13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have been redacted in compliance with Regulation S-K Item 601(b)(10)(iv) or pursuant to an order granted by the Securities and Exchange Commission for confidential treatment.</w:t>
      </w:r>
    </w:p>
    <w:p>
      <w:pPr>
        <w:spacing w:after="0" w:line="1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The schedules and exhibits to this exhibit have been omitted pursuant to Item 601(b)(2) of Regulation S-K.</w:t>
      </w:r>
    </w:p>
    <w:p>
      <w:pPr>
        <w:spacing w:after="0" w:line="206" w:lineRule="exact"/>
        <w:rPr>
          <w:sz w:val="20"/>
          <w:szCs w:val="20"/>
          <w:color w:val="auto"/>
        </w:rPr>
      </w:pPr>
    </w:p>
    <w:p>
      <w:pPr>
        <w:jc w:val="both"/>
        <w:ind w:left="5" w:hanging="5"/>
        <w:spacing w:after="0" w:line="276" w:lineRule="auto"/>
        <w:tabs>
          <w:tab w:leader="none" w:pos="1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spacing w:after="0" w:line="343" w:lineRule="exact"/>
        <w:rPr>
          <w:sz w:val="20"/>
          <w:szCs w:val="20"/>
          <w:color w:val="auto"/>
        </w:rPr>
      </w:pPr>
    </w:p>
    <w:p>
      <w:pPr>
        <w:jc w:val="center"/>
        <w:ind w:right="-284"/>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44"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STANDARD BIOTOOLS INC.</w:t>
      </w:r>
    </w:p>
    <w:p>
      <w:pPr>
        <w:spacing w:after="0" w:line="194" w:lineRule="exact"/>
        <w:rPr>
          <w:sz w:val="20"/>
          <w:szCs w:val="20"/>
          <w:color w:val="auto"/>
        </w:rPr>
      </w:pPr>
    </w:p>
    <w:p>
      <w:pPr>
        <w:spacing w:after="0"/>
        <w:tabs>
          <w:tab w:leader="none" w:pos="7160" w:val="left"/>
          <w:tab w:leader="none" w:pos="8640" w:val="left"/>
        </w:tabs>
        <w:rPr>
          <w:sz w:val="20"/>
          <w:szCs w:val="20"/>
          <w:color w:val="auto"/>
        </w:rPr>
      </w:pPr>
      <w:r>
        <w:rPr>
          <w:rFonts w:ascii="Times New Roman" w:cs="Times New Roman" w:eastAsia="Times New Roman" w:hAnsi="Times New Roman"/>
          <w:sz w:val="16"/>
          <w:szCs w:val="16"/>
          <w:color w:val="auto"/>
        </w:rPr>
        <w:t>Dated: March 10,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13970</wp:posOffset>
            </wp:positionV>
            <wp:extent cx="230568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19">
                      <a:extLst>
                        <a:ext uri="{28A0092B-C50C-407E-A947-70E740481C1C}"/>
                      </a:extLst>
                    </a:blip>
                    <a:srcRect/>
                    <a:stretch>
                      <a:fillRect/>
                    </a:stretch>
                  </pic:blipFill>
                  <pic:spPr bwMode="auto">
                    <a:xfrm>
                      <a:off x="0" y="0"/>
                      <a:ext cx="2305685" cy="7620"/>
                    </a:xfrm>
                    <a:prstGeom prst="rect">
                      <a:avLst/>
                    </a:prstGeom>
                    <a:noFill/>
                  </pic:spPr>
                </pic:pic>
              </a:graphicData>
            </a:graphic>
          </wp:anchor>
        </w:drawing>
      </w:r>
    </w:p>
    <w:p>
      <w:pPr>
        <w:spacing w:after="0" w:line="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6"/>
          <w:szCs w:val="16"/>
          <w:b w:val="1"/>
          <w:bCs w:val="1"/>
          <w:color w:val="auto"/>
        </w:rPr>
        <w:t>Michael Egholm, Ph.D.</w:t>
      </w:r>
    </w:p>
    <w:p>
      <w:pPr>
        <w:spacing w:after="0" w:line="17"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Michael Egholm, Ph.D., and Alex Kim, jointly and severally, as his or her true and lawful attorneys-in-fact and agents, with full power of substitution and resubstitution, for him or her and in his or her name, place and stead, in any and all capacities, to sign this Form 10-K, and any amendments thereof,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6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p>
      <w:pPr>
        <w:ind w:left="1940"/>
        <w:spacing w:after="0"/>
        <w:tabs>
          <w:tab w:leader="none" w:pos="6660" w:val="left"/>
          <w:tab w:leader="none" w:pos="10100" w:val="left"/>
        </w:tabs>
        <w:rPr>
          <w:sz w:val="20"/>
          <w:szCs w:val="20"/>
          <w:color w:val="auto"/>
        </w:rPr>
      </w:pPr>
      <w:r>
        <w:rPr>
          <w:rFonts w:ascii="Times New Roman" w:cs="Times New Roman" w:eastAsia="Times New Roman" w:hAnsi="Times New Roman"/>
          <w:sz w:val="13"/>
          <w:szCs w:val="13"/>
          <w:b w:val="1"/>
          <w:bCs w:val="1"/>
          <w:color w:val="auto"/>
        </w:rPr>
        <w:t>Signature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714946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/s/Michael Egholm, Ph.D.</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President and Chief Executive Officer (Principal Executive Officer);</w:t>
            </w: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00" w:type="dxa"/>
            <w:vAlign w:val="bottom"/>
            <w:tcBorders>
              <w:bottom w:val="single" w:sz="8" w:color="auto"/>
            </w:tcBorders>
            <w:vMerge w:val="continue"/>
          </w:tcPr>
          <w:p>
            <w:pPr>
              <w:spacing w:after="0"/>
              <w:rPr>
                <w:sz w:val="16"/>
                <w:szCs w:val="16"/>
                <w:color w:val="auto"/>
              </w:rPr>
            </w:pP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Michael Egholm, Ph.D.</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/s/Alex Kim</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Alex Kim</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Tom Carey</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Tom Carey</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Fenel M. Eloi</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Fenel M. Eloi</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Eli Casdin</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Eli Casdin</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Kathy Hibbs</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Kathy Hibbs</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Troy Cox</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Troy Cox</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Frank Witney, Ph.D.</w:t>
            </w:r>
          </w:p>
        </w:tc>
        <w:tc>
          <w:tcPr>
            <w:tcW w:w="4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Director</w:t>
            </w:r>
          </w:p>
        </w:tc>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10, 2025</w:t>
            </w:r>
          </w:p>
        </w:tc>
        <w:tc>
          <w:tcPr>
            <w:tcW w:w="0" w:type="dxa"/>
            <w:vAlign w:val="bottom"/>
          </w:tcPr>
          <w:p>
            <w:pPr>
              <w:spacing w:after="0"/>
              <w:rPr>
                <w:sz w:val="1"/>
                <w:szCs w:val="1"/>
                <w:color w:val="auto"/>
              </w:rPr>
            </w:pPr>
          </w:p>
        </w:tc>
      </w:tr>
      <w:tr>
        <w:trPr>
          <w:trHeight w:val="158"/>
        </w:trPr>
        <w:tc>
          <w:tcPr>
            <w:tcW w:w="4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Frank Witney, Ph.D.</w:t>
            </w:r>
          </w:p>
        </w:tc>
        <w:tc>
          <w:tcPr>
            <w:tcW w:w="47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8"/>
        </w:trPr>
        <w:tc>
          <w:tcPr>
            <w:tcW w:w="44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020" w:right="3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DESCRIPTION OF THE REGISTRANT’S SECURITIES</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77" w:lineRule="exact"/>
        <w:rPr>
          <w:sz w:val="20"/>
          <w:szCs w:val="20"/>
          <w:color w:val="auto"/>
        </w:rPr>
      </w:pPr>
    </w:p>
    <w:p>
      <w:pPr>
        <w:jc w:val="both"/>
        <w:ind w:right="20" w:firstLine="751"/>
        <w:spacing w:after="0" w:line="276" w:lineRule="auto"/>
        <w:rPr>
          <w:sz w:val="20"/>
          <w:szCs w:val="20"/>
          <w:color w:val="auto"/>
        </w:rPr>
      </w:pPr>
      <w:r>
        <w:rPr>
          <w:rFonts w:ascii="Times New Roman" w:cs="Times New Roman" w:eastAsia="Times New Roman" w:hAnsi="Times New Roman"/>
          <w:sz w:val="16"/>
          <w:szCs w:val="16"/>
          <w:color w:val="auto"/>
        </w:rPr>
        <w:t>As of December 31, 2024, Standard BioTools, Inc. (“Standard BioTools,” “we,” “us,” “our,” or the “Company”) had one class of securities registered under Section 12 of the Securities Exchange Act of 1934, as amended (the “Exchange Act”): common stock, par value $0.001 per share (the “Standard BioTools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Common Stock</w:t>
      </w:r>
    </w:p>
    <w:p>
      <w:pPr>
        <w:spacing w:after="0" w:line="196"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The following description of the Standard BioTools Common Stock is a summary and does not purport to be complete. It is subject to and qualified in its entirety by reference to the Company’s Eighth Amended and Restated Certificate of Incorporation, as amended (the “Standard BioTools Charter”), and the Company’s Amended and Restated Bylaws (the “Standard BioTools Bylaws”), each of which are incorporated by reference as an exhibit to the Annual Report on Form 10-K of which this Exhibit 4.2 is a part. The Company encourages you to read the Standard BioTools Charter, Standard BioTools Bylaws, and the applicable provisions of the Delaware General Corporation Law,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196"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The Standard BioTools authorized capital stock consists of 600,000,000 shares of Standard BioTools Common Stock and 10,000,000 shares of preferred stock, par value $0.001 per share (the “Standard BioTools Preferred Stock”). As of December 31, 2024, there were 377,529,825 shares of Standard BioTools Common Stock outstanding and no shares of Standard BioTools Preferred Stock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96" w:lineRule="exact"/>
        <w:rPr>
          <w:sz w:val="20"/>
          <w:szCs w:val="20"/>
          <w:color w:val="auto"/>
        </w:rPr>
      </w:pPr>
    </w:p>
    <w:p>
      <w:pPr>
        <w:jc w:val="both"/>
        <w:ind w:firstLine="751"/>
        <w:spacing w:after="0" w:line="252" w:lineRule="auto"/>
        <w:rPr>
          <w:sz w:val="20"/>
          <w:szCs w:val="20"/>
          <w:color w:val="auto"/>
        </w:rPr>
      </w:pPr>
      <w:r>
        <w:rPr>
          <w:rFonts w:ascii="Times New Roman" w:cs="Times New Roman" w:eastAsia="Times New Roman" w:hAnsi="Times New Roman"/>
          <w:sz w:val="16"/>
          <w:szCs w:val="16"/>
          <w:color w:val="auto"/>
        </w:rPr>
        <w:t>The holders of Standard BioTools Common Stock are entitled to one vote per share on all matters to be voted on by the Standard BioTools stockholders. Subject to preferences that may be applicable to any outstanding shares of Standard BioTools Preferred Stock, if any, holders of Standard BioTools Common Stock are entitled to receive ratably such dividends as may be declared by the Board of Directors of the Company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Standard BioTools Preferred Stock then outstanding, if any. Holders of Standard BioTools Common Stock have no preemptive, conversion or subscription rights. There are no redemption or sinking fund provisions applicable to the Standard BioTools Common Stock.</w:t>
      </w:r>
    </w:p>
    <w:p>
      <w:pPr>
        <w:spacing w:after="0" w:line="16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Voting Rights</w:t>
      </w:r>
    </w:p>
    <w:p>
      <w:pPr>
        <w:spacing w:after="0" w:line="196" w:lineRule="exact"/>
        <w:rPr>
          <w:sz w:val="20"/>
          <w:szCs w:val="20"/>
          <w:color w:val="auto"/>
        </w:rPr>
      </w:pPr>
    </w:p>
    <w:p>
      <w:pPr>
        <w:jc w:val="both"/>
        <w:ind w:right="20" w:firstLine="751"/>
        <w:spacing w:after="0" w:line="261" w:lineRule="auto"/>
        <w:rPr>
          <w:sz w:val="20"/>
          <w:szCs w:val="20"/>
          <w:color w:val="auto"/>
        </w:rPr>
      </w:pPr>
      <w:r>
        <w:rPr>
          <w:rFonts w:ascii="Times New Roman" w:cs="Times New Roman" w:eastAsia="Times New Roman" w:hAnsi="Times New Roman"/>
          <w:sz w:val="16"/>
          <w:szCs w:val="16"/>
          <w:color w:val="auto"/>
        </w:rPr>
        <w:t>Holders of Standard BioTools Common Stock are entitled to one vote for each share held by such holder on any matter submitted to a vote at a meeting of stockholders. In addition, the Standard BioTools Charter provides that certain corporate actions require the approval of the Standard BioTools stockholders. These actions, and the vote required, are as follows:</w:t>
      </w:r>
    </w:p>
    <w:p>
      <w:pPr>
        <w:spacing w:after="0" w:line="157" w:lineRule="exact"/>
        <w:rPr>
          <w:sz w:val="20"/>
          <w:szCs w:val="20"/>
          <w:color w:val="auto"/>
        </w:rPr>
      </w:pPr>
    </w:p>
    <w:p>
      <w:pPr>
        <w:ind w:left="1020" w:hanging="516"/>
        <w:spacing w:after="0" w:line="276"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removal of a director requires the vote of a majority of the voting power of the issued and outstanding capital stock entitled to vote in the election of directors; and</w:t>
      </w:r>
    </w:p>
    <w:p>
      <w:pPr>
        <w:spacing w:after="0" w:line="49" w:lineRule="exact"/>
        <w:rPr>
          <w:rFonts w:ascii="Times New Roman" w:cs="Times New Roman" w:eastAsia="Times New Roman" w:hAnsi="Times New Roman"/>
          <w:sz w:val="16"/>
          <w:szCs w:val="16"/>
          <w:color w:val="auto"/>
        </w:rPr>
      </w:pPr>
    </w:p>
    <w:p>
      <w:pPr>
        <w:jc w:val="both"/>
        <w:ind w:left="1020" w:right="20" w:hanging="516"/>
        <w:spacing w:after="0" w:line="252"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 of provisions of the Standard BioTools Charter relating to blank check preferred stock, the classification of the Standard BioTools Board, the removal of directors, the filling of vacancies on the Standard BioTools Board, cumulative voting, procedures for annual and special meetings of the stockholders, action by written consent of stockholders and procedures for the amendment of the Standard BioTools Charter require the vote of 66 2/3% of the Standard BioTools then outstanding voting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891540</wp:posOffset>
            </wp:positionV>
            <wp:extent cx="7174865" cy="406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129" w:name="page130"/>
    <w:bookmarkEnd w:id="129"/>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The Standard BioTools Board has the authority, without further action by the Standard BioTools stockholders, to designate and issue the preferred stock in one or more series. The Standard BioTools Board may also fix by resolution or resolutions the designations, powers, preferences and rights, and the qualifications, limitations or restrictions, of each such series of Standard BioTools Preferred Stock, any or all of which may be greater than or senior to those of the Standard BioTools Common Stock. Though the actual effect of any such issuance on the rights of the holders of Standard BioTools Common Stock will not be known until the Standard BioTools Board determines the specific rights of the holders of Preferred Stock, the potential effects of such an issuance include:</w:t>
      </w:r>
    </w:p>
    <w:p>
      <w:pPr>
        <w:spacing w:after="0" w:line="162" w:lineRule="exact"/>
        <w:rPr>
          <w:sz w:val="20"/>
          <w:szCs w:val="20"/>
          <w:color w:val="auto"/>
        </w:rPr>
      </w:pPr>
    </w:p>
    <w:p>
      <w:pPr>
        <w:ind w:left="1020" w:hanging="516"/>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diluting the voting power of the holders of Standard BioTools Common Stock;</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the likelihood that holders of Standard BioTools Common Stock will receive dividend payments;</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the likelihood that holders of Standard BioTools Common Stock will receive payments in the event of a liquidation, dissolution, or winding up;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delaying, deterring or preventing a change-in-control or other corporate takeover.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83" w:lineRule="exact"/>
        <w:rPr>
          <w:sz w:val="20"/>
          <w:szCs w:val="20"/>
          <w:color w:val="auto"/>
        </w:rPr>
      </w:pPr>
    </w:p>
    <w:p>
      <w:pPr>
        <w:jc w:val="both"/>
        <w:ind w:firstLine="751"/>
        <w:spacing w:after="0" w:line="275" w:lineRule="auto"/>
        <w:rPr>
          <w:sz w:val="20"/>
          <w:szCs w:val="20"/>
          <w:color w:val="auto"/>
        </w:rPr>
      </w:pPr>
      <w:r>
        <w:rPr>
          <w:rFonts w:ascii="Times New Roman" w:cs="Times New Roman" w:eastAsia="Times New Roman" w:hAnsi="Times New Roman"/>
          <w:sz w:val="15"/>
          <w:szCs w:val="15"/>
          <w:color w:val="auto"/>
        </w:rPr>
        <w:t>On January 23, 2022, Standard BioTools entered into a Registration Rights Agreement, as amended by that certain Exchange Agreement, dated March 18, 2024 (the “Exchange Agreement”), with Casdin Private Growth Equity Fund II, L.P. and Casdin Partners Master Fund, L.P. (together, “Casdin”), and Viking Global Opportunities Illiquid Investments Sub-Master LP and Viking Global Opportunities Drawdown (Aggregator) LP (together, “Viking” and, collectively with Casdin, the “Purchasers”), pursuant to which the Purchasers have certain customary registration rights with respect to any shares of Standard BioTools Common Stock or other securities issued or issuable with respect to such shares (i) held by a Purchasers as of the date of the Exchange Agreement and (ii) acquired by the Purchasers pursuant to the Exchange Agreement.</w:t>
      </w:r>
    </w:p>
    <w:p>
      <w:pPr>
        <w:spacing w:after="0" w:line="52"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color w:val="auto"/>
        </w:rPr>
        <w:t>Following the closing of the merger with SomaLogic, Inc. (“SomaLogic”) on January 5, 2024, Standard BioTools assumed certain registrations rights previously granted by SomaLogic, including (i) those certain resale registration and piggyback registration obligations under that certain Amended and Restated Registration Rights Agreement, dated as of September 1, 2021 and (ii) those certain registration obligations under that certain Agreement and Plan of Merger, dated as of July 25, 2022, by and among SomaLogic, Panther Merger Subsidiary I, LLC, Panther Merger Subsidiary II, LLC, Palamedrix Inc., and Shareholders Representative Services, LLC, as the securityholder representative.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Effects of Delaware Law and the Standard BioTools Charter and Standard BioTools Bylaws</w:t>
      </w:r>
    </w:p>
    <w:p>
      <w:pPr>
        <w:spacing w:after="0" w:line="196" w:lineRule="exact"/>
        <w:rPr>
          <w:sz w:val="20"/>
          <w:szCs w:val="20"/>
          <w:color w:val="auto"/>
        </w:rPr>
      </w:pPr>
    </w:p>
    <w:p>
      <w:pPr>
        <w:jc w:val="both"/>
        <w:ind w:firstLine="751"/>
        <w:spacing w:after="0" w:line="252" w:lineRule="auto"/>
        <w:rPr>
          <w:sz w:val="20"/>
          <w:szCs w:val="20"/>
          <w:color w:val="auto"/>
        </w:rPr>
      </w:pPr>
      <w:r>
        <w:rPr>
          <w:rFonts w:ascii="Times New Roman" w:cs="Times New Roman" w:eastAsia="Times New Roman" w:hAnsi="Times New Roman"/>
          <w:sz w:val="16"/>
          <w:szCs w:val="16"/>
          <w:color w:val="auto"/>
        </w:rPr>
        <w:t>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us to first negotiate with the Board.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Standard BioTools Charter and Standard BioTools Bylaws</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Standard BioTools Charter and Standard BioTools Bylaws include provisions that:</w:t>
      </w:r>
    </w:p>
    <w:p>
      <w:pPr>
        <w:spacing w:after="0" w:line="194" w:lineRule="exact"/>
        <w:rPr>
          <w:sz w:val="20"/>
          <w:szCs w:val="20"/>
          <w:color w:val="auto"/>
        </w:rPr>
      </w:pPr>
    </w:p>
    <w:p>
      <w:pPr>
        <w:ind w:left="1020" w:hanging="516"/>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the Standard BioTools Board to issue, without further action by the stockholders, additional shares of undesignated preferred stock;</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any action to be taken by the stockholders be effected at a duly called annual or special meeting and not by written consent;</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that special meetings of the stockholders can be called only by the Standard BioTools Board, the Chairperson of the Standard BioTools Board, the Secretary, the Chief Executive Officer or the President;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30" w:name="page131"/>
    <w:bookmarkEnd w:id="130"/>
    <w:p>
      <w:pPr>
        <w:ind w:left="1020" w:right="20" w:hanging="516"/>
        <w:spacing w:after="0" w:line="276" w:lineRule="auto"/>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 advance notice procedure for stockholder proposals to be brought before an annual meeting of the stockholders and an advance notice procedure for nominations of persons for election to the Standard BioTools Board at any stockholder meeting;</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directors may be removed only for cause;</w:t>
      </w:r>
    </w:p>
    <w:p>
      <w:pPr>
        <w:spacing w:after="0" w:line="99" w:lineRule="exact"/>
        <w:rPr>
          <w:rFonts w:ascii="Times New Roman" w:cs="Times New Roman" w:eastAsia="Times New Roman" w:hAnsi="Times New Roman"/>
          <w:sz w:val="16"/>
          <w:szCs w:val="16"/>
          <w:color w:val="auto"/>
        </w:rPr>
      </w:pPr>
    </w:p>
    <w:p>
      <w:pPr>
        <w:jc w:val="both"/>
        <w:ind w:left="1020" w:hanging="516"/>
        <w:spacing w:after="0" w:line="256" w:lineRule="auto"/>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(i) vacancies on the Standard BioTools Board resulting from one or more directors resignations from the Standard BioTools Board may be filled by a majority of directors then in office, 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w:t>
      </w:r>
    </w:p>
    <w:p>
      <w:pPr>
        <w:spacing w:after="0" w:line="66" w:lineRule="exact"/>
        <w:rPr>
          <w:rFonts w:ascii="Times New Roman" w:cs="Times New Roman" w:eastAsia="Times New Roman" w:hAnsi="Times New Roman"/>
          <w:sz w:val="16"/>
          <w:szCs w:val="16"/>
          <w:color w:val="auto"/>
        </w:rPr>
      </w:pPr>
    </w:p>
    <w:p>
      <w:pPr>
        <w:ind w:left="1020" w:hanging="516"/>
        <w:spacing w:after="0" w:line="276" w:lineRule="auto"/>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rights of holders of any outstanding Preferred Stock, establish that the Standard BioTools Board is divided into three classes, Class I, Class II, and Class III, with each class serving staggered terms;</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that no stockholder is permitted to cumulate votes at any election of the Standard BioTools Board; and</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affirmative vote of a majority of the Standard BioTools Board and at least 66 2/3% of the total voting power of outstanding voting securities, voting</w:t>
      </w:r>
    </w:p>
    <w:p>
      <w:pPr>
        <w:spacing w:after="0" w:line="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together as a single class, to amend the above-mentioned provisions.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Delaware Anti-Takeover Statute</w:t>
      </w:r>
    </w:p>
    <w:p>
      <w:pPr>
        <w:spacing w:after="0" w:line="177" w:lineRule="exact"/>
        <w:rPr>
          <w:sz w:val="20"/>
          <w:szCs w:val="20"/>
          <w:color w:val="auto"/>
        </w:rPr>
      </w:pPr>
    </w:p>
    <w:p>
      <w:pPr>
        <w:jc w:val="both"/>
        <w:ind w:firstLine="751"/>
        <w:spacing w:after="0" w:line="261" w:lineRule="auto"/>
        <w:rPr>
          <w:sz w:val="20"/>
          <w:szCs w:val="20"/>
          <w:color w:val="auto"/>
        </w:rPr>
      </w:pPr>
      <w:r>
        <w:rPr>
          <w:rFonts w:ascii="Times New Roman" w:cs="Times New Roman" w:eastAsia="Times New Roman" w:hAnsi="Times New Roman"/>
          <w:sz w:val="16"/>
          <w:szCs w:val="16"/>
          <w:color w:val="auto"/>
        </w:rPr>
        <w:t>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157" w:lineRule="exact"/>
        <w:rPr>
          <w:sz w:val="20"/>
          <w:szCs w:val="20"/>
          <w:color w:val="auto"/>
        </w:rPr>
      </w:pPr>
    </w:p>
    <w:p>
      <w:pPr>
        <w:ind w:left="1020" w:hanging="516"/>
        <w:spacing w:after="0" w:line="276"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date of the transaction, the board of directors of the corporation approved either the business combination or the transaction which resulted in the stockholder becoming an interested stockholder;</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54"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6"/>
          <w:szCs w:val="16"/>
          <w:color w:val="auto"/>
        </w:rPr>
      </w:pPr>
    </w:p>
    <w:p>
      <w:pPr>
        <w:jc w:val="both"/>
        <w:ind w:left="1020" w:right="20" w:hanging="516"/>
        <w:spacing w:after="0" w:line="254" w:lineRule="auto"/>
        <w:tabs>
          <w:tab w:leader="none" w:pos="102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w:t>
      </w:r>
      <w:r>
        <w:rPr>
          <w:rFonts w:ascii="Times New Roman" w:cs="Times New Roman" w:eastAsia="Times New Roman" w:hAnsi="Times New Roman"/>
          <w:sz w:val="16"/>
          <w:szCs w:val="16"/>
          <w:i w:val="1"/>
          <w:iCs w:val="1"/>
          <w:color w:val="auto"/>
        </w:rPr>
        <w:t>2/3%</w:t>
      </w:r>
      <w:r>
        <w:rPr>
          <w:rFonts w:ascii="Times New Roman" w:cs="Times New Roman" w:eastAsia="Times New Roman" w:hAnsi="Times New Roman"/>
          <w:sz w:val="16"/>
          <w:szCs w:val="16"/>
          <w:color w:val="auto"/>
        </w:rPr>
        <w:t xml:space="preserve"> of the outstanding voting stock which is not owned by the interested stockholder.</w:t>
      </w:r>
    </w:p>
    <w:p>
      <w:pPr>
        <w:spacing w:after="0" w:line="1" w:lineRule="exact"/>
        <w:rPr>
          <w:sz w:val="20"/>
          <w:szCs w:val="20"/>
          <w:color w:val="auto"/>
        </w:rPr>
      </w:pPr>
    </w:p>
    <w:p>
      <w:pPr>
        <w:jc w:val="both"/>
        <w:ind w:firstLine="751"/>
        <w:spacing w:after="0" w:line="248"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w:t>
      </w:r>
    </w:p>
    <w:p>
      <w:pPr>
        <w:spacing w:after="0" w:line="168"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6"/>
          <w:szCs w:val="16"/>
          <w:color w:val="auto"/>
        </w:rPr>
        <w:t>The provisions of Delaware law and the Standard BioTools Charter and Standard BioTools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53"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The transfer agent and registrar for the Standard BioTools Common Stock is Computershare Trust Company, N.A. The transfer agent’s address is 462 South 4th Street, Suite 1600, Louisville, KY 40202, and its telephone number is (800) 662-7232 or (781) 5752879­.</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Nasdaq Global Select Market Listing</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Standard BioTools Common Stock is traded on The Nasdaq Global Select Market under the trading symbol “LAB.”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17"/>
          <w:szCs w:val="17"/>
          <w:b w:val="1"/>
          <w:bCs w:val="1"/>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168275</wp:posOffset>
            </wp:positionV>
            <wp:extent cx="15240" cy="4508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27">
                      <a:extLst>
                        <a:ext uri="{28A0092B-C50C-407E-A947-70E740481C1C}"/>
                      </a:extLst>
                    </a:blip>
                    <a:srcRect/>
                    <a:stretch>
                      <a:fillRect/>
                    </a:stretch>
                  </pic:blipFill>
                  <pic:spPr bwMode="auto">
                    <a:xfrm>
                      <a:off x="0" y="0"/>
                      <a:ext cx="15240" cy="450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623570" cy="4508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28">
                      <a:extLst>
                        <a:ext uri="{28A0092B-C50C-407E-A947-70E740481C1C}"/>
                      </a:extLst>
                    </a:blip>
                    <a:srcRect/>
                    <a:stretch>
                      <a:fillRect/>
                    </a:stretch>
                  </pic:blipFill>
                  <pic:spPr bwMode="auto">
                    <a:xfrm>
                      <a:off x="0" y="0"/>
                      <a:ext cx="623570" cy="450850"/>
                    </a:xfrm>
                    <a:prstGeom prst="rect">
                      <a:avLst/>
                    </a:prstGeom>
                    <a:noFill/>
                  </pic:spPr>
                </pic:pic>
              </a:graphicData>
            </a:graphic>
          </wp:anchor>
        </w:drawing>
      </w:r>
    </w:p>
    <w:p>
      <w:pPr>
        <w:spacing w:after="0" w:line="364" w:lineRule="exact"/>
        <w:rPr>
          <w:sz w:val="20"/>
          <w:szCs w:val="20"/>
          <w:color w:val="auto"/>
        </w:rPr>
      </w:pPr>
    </w:p>
    <w:p>
      <w:pPr>
        <w:jc w:val="center"/>
        <w:ind w:left="640"/>
        <w:spacing w:after="0"/>
        <w:rPr>
          <w:sz w:val="20"/>
          <w:szCs w:val="20"/>
          <w:color w:val="auto"/>
        </w:rPr>
      </w:pPr>
      <w:r>
        <w:rPr>
          <w:rFonts w:ascii="Calibri" w:cs="Calibri" w:eastAsia="Calibri" w:hAnsi="Calibri"/>
          <w:sz w:val="17"/>
          <w:szCs w:val="17"/>
          <w:i w:val="1"/>
          <w:iCs w:val="1"/>
          <w:color w:val="44536A"/>
        </w:rPr>
        <w:t>Join an innovatve team driven by a bold vision –</w:t>
      </w:r>
    </w:p>
    <w:p>
      <w:pPr>
        <w:spacing w:after="0" w:line="5" w:lineRule="exact"/>
        <w:rPr>
          <w:sz w:val="20"/>
          <w:szCs w:val="20"/>
          <w:color w:val="auto"/>
        </w:rPr>
      </w:pPr>
    </w:p>
    <w:p>
      <w:pPr>
        <w:jc w:val="center"/>
        <w:ind w:left="640"/>
        <w:spacing w:after="0"/>
        <w:rPr>
          <w:sz w:val="20"/>
          <w:szCs w:val="20"/>
          <w:color w:val="auto"/>
        </w:rPr>
      </w:pPr>
      <w:r>
        <w:rPr>
          <w:rFonts w:ascii="Calibri" w:cs="Calibri" w:eastAsia="Calibri" w:hAnsi="Calibri"/>
          <w:sz w:val="17"/>
          <w:szCs w:val="17"/>
          <w:i w:val="1"/>
          <w:iCs w:val="1"/>
          <w:color w:val="44536A"/>
        </w:rPr>
        <w:t>unleashing tools to accelerate breakthroughs in human health™</w:t>
      </w:r>
    </w:p>
    <w:p>
      <w:pPr>
        <w:spacing w:after="0" w:line="365" w:lineRule="exact"/>
        <w:rPr>
          <w:sz w:val="20"/>
          <w:szCs w:val="20"/>
          <w:color w:val="auto"/>
        </w:rPr>
      </w:pPr>
    </w:p>
    <w:p>
      <w:pPr>
        <w:spacing w:after="0"/>
        <w:rPr>
          <w:sz w:val="20"/>
          <w:szCs w:val="20"/>
          <w:color w:val="auto"/>
        </w:rPr>
      </w:pPr>
      <w:r>
        <w:rPr>
          <w:rFonts w:ascii="Calibri" w:cs="Calibri" w:eastAsia="Calibri" w:hAnsi="Calibri"/>
          <w:sz w:val="14"/>
          <w:szCs w:val="14"/>
          <w:color w:val="auto"/>
        </w:rPr>
        <w:t>May 10, 2024</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color w:val="auto"/>
        </w:rPr>
        <w:t>Sean Mackay</w:t>
      </w:r>
    </w:p>
    <w:p>
      <w:pPr>
        <w:spacing w:after="0" w:line="6" w:lineRule="exact"/>
        <w:rPr>
          <w:sz w:val="20"/>
          <w:szCs w:val="20"/>
          <w:color w:val="auto"/>
        </w:rPr>
      </w:pPr>
    </w:p>
    <w:p>
      <w:pPr>
        <w:spacing w:after="0"/>
        <w:rPr>
          <w:sz w:val="20"/>
          <w:szCs w:val="20"/>
          <w:color w:val="auto"/>
        </w:rPr>
      </w:pPr>
      <w:r>
        <w:rPr>
          <w:rFonts w:ascii="Calibri" w:cs="Calibri" w:eastAsia="Calibri" w:hAnsi="Calibri"/>
          <w:sz w:val="14"/>
          <w:szCs w:val="14"/>
          <w:color w:val="auto"/>
        </w:rPr>
        <w:t>Los Angeles,</w:t>
      </w:r>
    </w:p>
    <w:p>
      <w:pPr>
        <w:spacing w:after="0" w:line="6" w:lineRule="exact"/>
        <w:rPr>
          <w:sz w:val="20"/>
          <w:szCs w:val="20"/>
          <w:color w:val="auto"/>
        </w:rPr>
      </w:pPr>
    </w:p>
    <w:p>
      <w:pPr>
        <w:spacing w:after="0"/>
        <w:rPr>
          <w:sz w:val="20"/>
          <w:szCs w:val="20"/>
          <w:color w:val="auto"/>
        </w:rPr>
      </w:pPr>
      <w:r>
        <w:rPr>
          <w:rFonts w:ascii="Calibri" w:cs="Calibri" w:eastAsia="Calibri" w:hAnsi="Calibri"/>
          <w:sz w:val="14"/>
          <w:szCs w:val="14"/>
          <w:color w:val="auto"/>
        </w:rPr>
        <w:t>California</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color w:val="auto"/>
        </w:rPr>
        <w:t>Dear Sean:</w:t>
      </w:r>
    </w:p>
    <w:p>
      <w:pPr>
        <w:spacing w:after="0" w:line="198" w:lineRule="exact"/>
        <w:rPr>
          <w:sz w:val="20"/>
          <w:szCs w:val="20"/>
          <w:color w:val="auto"/>
        </w:rPr>
      </w:pPr>
    </w:p>
    <w:p>
      <w:pPr>
        <w:ind w:right="60"/>
        <w:spacing w:after="0" w:line="247" w:lineRule="auto"/>
        <w:rPr>
          <w:sz w:val="20"/>
          <w:szCs w:val="20"/>
          <w:color w:val="auto"/>
        </w:rPr>
      </w:pPr>
      <w:r>
        <w:rPr>
          <w:rFonts w:ascii="Calibri" w:cs="Calibri" w:eastAsia="Calibri" w:hAnsi="Calibri"/>
          <w:sz w:val="14"/>
          <w:szCs w:val="14"/>
          <w:color w:val="auto"/>
        </w:rPr>
        <w:t>We are pleased to ofer you the positon of SVP &amp; Chief Business Ofcer with Standard BioTools Inc, reportng directly to Michael Egholm, Chief Executve Ofcer and President. You will perform work dutes from your home in Los Angeles, California. Additonally, you will be expected to travel to other locatons to atend meetngs and/or conduct business reviews in the ordinary course of your job responsibilites.</w:t>
      </w:r>
    </w:p>
    <w:p>
      <w:pPr>
        <w:spacing w:after="0" w:line="194" w:lineRule="exact"/>
        <w:rPr>
          <w:sz w:val="20"/>
          <w:szCs w:val="20"/>
          <w:color w:val="auto"/>
        </w:rPr>
      </w:pPr>
    </w:p>
    <w:p>
      <w:pPr>
        <w:ind w:right="80"/>
        <w:spacing w:after="0" w:line="245" w:lineRule="auto"/>
        <w:rPr>
          <w:sz w:val="20"/>
          <w:szCs w:val="20"/>
          <w:color w:val="auto"/>
        </w:rPr>
      </w:pPr>
      <w:r>
        <w:rPr>
          <w:rFonts w:ascii="Calibri" w:cs="Calibri" w:eastAsia="Calibri" w:hAnsi="Calibri"/>
          <w:sz w:val="14"/>
          <w:szCs w:val="14"/>
          <w:color w:val="auto"/>
        </w:rPr>
        <w:t>It is an extraordinary tme for Standard BioTools. Our technology is empowering customers to improve life by providing tools to accelerate breakthroughs in human health. We invite you to join a leading provider of indispensable life sciences tools that is acceleratng global research on multple fronters.</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color w:val="auto"/>
        </w:rPr>
        <w:t>At Standard BioTools, we are building a positve culture where our people can do the best work of their careers, informed, and infuenced by our core values:</w:t>
      </w:r>
    </w:p>
    <w:p>
      <w:pPr>
        <w:spacing w:after="0" w:line="208" w:lineRule="exact"/>
        <w:rPr>
          <w:sz w:val="20"/>
          <w:szCs w:val="20"/>
          <w:color w:val="auto"/>
        </w:rPr>
      </w:pPr>
    </w:p>
    <w:p>
      <w:pPr>
        <w:ind w:left="1120" w:hanging="375"/>
        <w:spacing w:after="0"/>
        <w:tabs>
          <w:tab w:leader="none" w:pos="1120" w:val="left"/>
        </w:tabs>
        <w:numPr>
          <w:ilvl w:val="0"/>
          <w:numId w:val="51"/>
        </w:numPr>
        <w:rPr>
          <w:rFonts w:ascii="Times New Roman" w:cs="Times New Roman" w:eastAsia="Times New Roman" w:hAnsi="Times New Roman"/>
          <w:sz w:val="14"/>
          <w:szCs w:val="14"/>
          <w:color w:val="auto"/>
        </w:rPr>
      </w:pPr>
      <w:r>
        <w:rPr>
          <w:rFonts w:ascii="Calibri" w:cs="Calibri" w:eastAsia="Calibri" w:hAnsi="Calibri"/>
          <w:sz w:val="14"/>
          <w:szCs w:val="14"/>
          <w:b w:val="1"/>
          <w:bCs w:val="1"/>
          <w:color w:val="auto"/>
        </w:rPr>
        <w:t xml:space="preserve">Customer Commitment. </w:t>
      </w:r>
      <w:r>
        <w:rPr>
          <w:rFonts w:ascii="Calibri" w:cs="Calibri" w:eastAsia="Calibri" w:hAnsi="Calibri"/>
          <w:sz w:val="14"/>
          <w:szCs w:val="14"/>
          <w:color w:val="auto"/>
        </w:rPr>
        <w:t>We are commited to developing quality solutons to meet our customers’ unmet needs.</w:t>
      </w:r>
    </w:p>
    <w:p>
      <w:pPr>
        <w:spacing w:after="0" w:line="30" w:lineRule="exact"/>
        <w:rPr>
          <w:rFonts w:ascii="Times New Roman" w:cs="Times New Roman" w:eastAsia="Times New Roman" w:hAnsi="Times New Roman"/>
          <w:sz w:val="14"/>
          <w:szCs w:val="14"/>
          <w:color w:val="auto"/>
        </w:rPr>
      </w:pPr>
    </w:p>
    <w:p>
      <w:pPr>
        <w:ind w:left="1120" w:hanging="375"/>
        <w:spacing w:after="0"/>
        <w:tabs>
          <w:tab w:leader="none" w:pos="1120" w:val="left"/>
        </w:tabs>
        <w:numPr>
          <w:ilvl w:val="0"/>
          <w:numId w:val="51"/>
        </w:numPr>
        <w:rPr>
          <w:rFonts w:ascii="Times New Roman" w:cs="Times New Roman" w:eastAsia="Times New Roman" w:hAnsi="Times New Roman"/>
          <w:sz w:val="14"/>
          <w:szCs w:val="14"/>
          <w:color w:val="auto"/>
        </w:rPr>
      </w:pPr>
      <w:r>
        <w:rPr>
          <w:rFonts w:ascii="Calibri" w:cs="Calibri" w:eastAsia="Calibri" w:hAnsi="Calibri"/>
          <w:sz w:val="14"/>
          <w:szCs w:val="14"/>
          <w:b w:val="1"/>
          <w:bCs w:val="1"/>
          <w:color w:val="auto"/>
        </w:rPr>
        <w:t xml:space="preserve">Integrity. </w:t>
      </w:r>
      <w:r>
        <w:rPr>
          <w:rFonts w:ascii="Calibri" w:cs="Calibri" w:eastAsia="Calibri" w:hAnsi="Calibri"/>
          <w:sz w:val="14"/>
          <w:szCs w:val="14"/>
          <w:color w:val="auto"/>
        </w:rPr>
        <w:t>We uphold the highest standards professionally, personally, and intellectually.</w:t>
      </w:r>
    </w:p>
    <w:p>
      <w:pPr>
        <w:spacing w:after="0" w:line="18" w:lineRule="exact"/>
        <w:rPr>
          <w:rFonts w:ascii="Times New Roman" w:cs="Times New Roman" w:eastAsia="Times New Roman" w:hAnsi="Times New Roman"/>
          <w:sz w:val="14"/>
          <w:szCs w:val="14"/>
          <w:color w:val="auto"/>
        </w:rPr>
      </w:pPr>
    </w:p>
    <w:p>
      <w:pPr>
        <w:ind w:left="1120" w:hanging="375"/>
        <w:spacing w:after="0"/>
        <w:tabs>
          <w:tab w:leader="none" w:pos="1120" w:val="left"/>
        </w:tabs>
        <w:numPr>
          <w:ilvl w:val="0"/>
          <w:numId w:val="51"/>
        </w:numPr>
        <w:rPr>
          <w:rFonts w:ascii="Times New Roman" w:cs="Times New Roman" w:eastAsia="Times New Roman" w:hAnsi="Times New Roman"/>
          <w:sz w:val="14"/>
          <w:szCs w:val="14"/>
          <w:color w:val="auto"/>
        </w:rPr>
      </w:pPr>
      <w:r>
        <w:rPr>
          <w:rFonts w:ascii="Calibri" w:cs="Calibri" w:eastAsia="Calibri" w:hAnsi="Calibri"/>
          <w:sz w:val="14"/>
          <w:szCs w:val="14"/>
          <w:b w:val="1"/>
          <w:bCs w:val="1"/>
          <w:color w:val="auto"/>
        </w:rPr>
        <w:t xml:space="preserve">Respect. </w:t>
      </w:r>
      <w:r>
        <w:rPr>
          <w:rFonts w:ascii="Calibri" w:cs="Calibri" w:eastAsia="Calibri" w:hAnsi="Calibri"/>
          <w:sz w:val="14"/>
          <w:szCs w:val="14"/>
          <w:color w:val="auto"/>
        </w:rPr>
        <w:t>We show respect for each other, value every voice, and embrace diversity, equity, and inclusion.</w:t>
      </w:r>
    </w:p>
    <w:p>
      <w:pPr>
        <w:spacing w:after="0" w:line="18" w:lineRule="exact"/>
        <w:rPr>
          <w:rFonts w:ascii="Times New Roman" w:cs="Times New Roman" w:eastAsia="Times New Roman" w:hAnsi="Times New Roman"/>
          <w:sz w:val="14"/>
          <w:szCs w:val="14"/>
          <w:color w:val="auto"/>
        </w:rPr>
      </w:pPr>
    </w:p>
    <w:p>
      <w:pPr>
        <w:ind w:left="1120" w:hanging="375"/>
        <w:spacing w:after="0"/>
        <w:tabs>
          <w:tab w:leader="none" w:pos="1120" w:val="left"/>
        </w:tabs>
        <w:numPr>
          <w:ilvl w:val="0"/>
          <w:numId w:val="51"/>
        </w:numPr>
        <w:rPr>
          <w:rFonts w:ascii="Times New Roman" w:cs="Times New Roman" w:eastAsia="Times New Roman" w:hAnsi="Times New Roman"/>
          <w:sz w:val="14"/>
          <w:szCs w:val="14"/>
          <w:color w:val="auto"/>
        </w:rPr>
      </w:pPr>
      <w:r>
        <w:rPr>
          <w:rFonts w:ascii="Calibri" w:cs="Calibri" w:eastAsia="Calibri" w:hAnsi="Calibri"/>
          <w:sz w:val="14"/>
          <w:szCs w:val="14"/>
          <w:b w:val="1"/>
          <w:bCs w:val="1"/>
          <w:color w:val="auto"/>
        </w:rPr>
        <w:t xml:space="preserve">Contnuous Improvement. </w:t>
      </w:r>
      <w:r>
        <w:rPr>
          <w:rFonts w:ascii="Calibri" w:cs="Calibri" w:eastAsia="Calibri" w:hAnsi="Calibri"/>
          <w:sz w:val="14"/>
          <w:szCs w:val="14"/>
          <w:color w:val="auto"/>
        </w:rPr>
        <w:t>We foster a culture of contnuous improvement that drives us to do beter every day.</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color w:val="auto"/>
        </w:rPr>
        <w:t>We hope you are as excited about this opportunity as we are delighted to have you on our team.</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color w:val="auto"/>
        </w:rPr>
        <w:t>The following is a summary of the terms and conditons of this ofer, which will apply to your employment with Standard BioTools:</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Start Date:</w:t>
      </w:r>
      <w:r>
        <w:rPr>
          <w:rFonts w:ascii="Calibri" w:cs="Calibri" w:eastAsia="Calibri" w:hAnsi="Calibri"/>
          <w:sz w:val="14"/>
          <w:szCs w:val="14"/>
          <w:b w:val="1"/>
          <w:bCs w:val="1"/>
          <w:color w:val="auto"/>
        </w:rPr>
        <w:t xml:space="preserve"> May 20, 2024</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Compensaton:</w:t>
      </w:r>
    </w:p>
    <w:p>
      <w:pPr>
        <w:spacing w:after="0" w:line="19" w:lineRule="exact"/>
        <w:rPr>
          <w:sz w:val="20"/>
          <w:szCs w:val="20"/>
          <w:color w:val="auto"/>
        </w:rPr>
      </w:pPr>
    </w:p>
    <w:p>
      <w:pPr>
        <w:ind w:right="60"/>
        <w:spacing w:after="0" w:line="224" w:lineRule="auto"/>
        <w:rPr>
          <w:sz w:val="20"/>
          <w:szCs w:val="20"/>
          <w:color w:val="auto"/>
        </w:rPr>
      </w:pPr>
      <w:r>
        <w:rPr>
          <w:rFonts w:ascii="Calibri" w:cs="Calibri" w:eastAsia="Calibri" w:hAnsi="Calibri"/>
          <w:sz w:val="14"/>
          <w:szCs w:val="14"/>
          <w:color w:val="auto"/>
        </w:rPr>
        <w:t>You will receive an inital salary of $19,791.66 per pay period. We are on a semi-monthly pay schedule with two pay periods per calendar month which generally fall on the 15</w:t>
      </w:r>
      <w:r>
        <w:rPr>
          <w:rFonts w:ascii="Calibri" w:cs="Calibri" w:eastAsia="Calibri" w:hAnsi="Calibri"/>
          <w:sz w:val="19"/>
          <w:szCs w:val="19"/>
          <w:color w:val="auto"/>
          <w:vertAlign w:val="superscript"/>
        </w:rPr>
        <w:t>th</w:t>
      </w:r>
      <w:r>
        <w:rPr>
          <w:rFonts w:ascii="Calibri" w:cs="Calibri" w:eastAsia="Calibri" w:hAnsi="Calibri"/>
          <w:sz w:val="14"/>
          <w:szCs w:val="14"/>
          <w:color w:val="auto"/>
        </w:rPr>
        <w:t xml:space="preserve"> and the last day of the month. This equates to a base compensaton of $475,000.00 on an annual basis, less deductons as required by law, which will be paid in accordance with the Company’s normal payroll procedures. This is an exempt positon. Your salary will be reviewed in accordance with our annual process.</w:t>
      </w:r>
    </w:p>
    <w:p>
      <w:pPr>
        <w:spacing w:after="0" w:line="197"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Bonus Target:</w:t>
      </w:r>
    </w:p>
    <w:p>
      <w:pPr>
        <w:spacing w:after="0" w:line="9" w:lineRule="exact"/>
        <w:rPr>
          <w:sz w:val="20"/>
          <w:szCs w:val="20"/>
          <w:color w:val="auto"/>
        </w:rPr>
      </w:pPr>
    </w:p>
    <w:p>
      <w:pPr>
        <w:ind w:right="40"/>
        <w:spacing w:after="0" w:line="247" w:lineRule="auto"/>
        <w:rPr>
          <w:sz w:val="20"/>
          <w:szCs w:val="20"/>
          <w:color w:val="auto"/>
        </w:rPr>
      </w:pPr>
      <w:r>
        <w:rPr>
          <w:rFonts w:ascii="Calibri" w:cs="Calibri" w:eastAsia="Calibri" w:hAnsi="Calibri"/>
          <w:sz w:val="14"/>
          <w:szCs w:val="14"/>
          <w:color w:val="auto"/>
        </w:rPr>
        <w:t>You will be eligible to partcipate in the Company’s Employee Bonus Plan. The bonus will be subject to the achievement of performance objectves with the actual bonus amount to be determined by the Company in its discreton and will be pro-rated based upon your hire date. To earn a bonus, you must remain employed with the Company through the date bonuses are paid, as well as having commenced your employment on or prior to September 30 of the corresponding bonus plan’s performance year. For the purpose of calculatng any bonus payout you earn, your target bonus amount will initally be 60% of your annual base salary and is eligible to pay higher depending on Company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601980</wp:posOffset>
            </wp:positionV>
            <wp:extent cx="7174865" cy="406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3" w:right="319" w:bottom="1440" w:gutter="0" w:footer="0" w:header="0"/>
        </w:sectPr>
      </w:pPr>
    </w:p>
    <w:bookmarkStart w:id="133" w:name="page134"/>
    <w:bookmarkEnd w:id="133"/>
    <w:p>
      <w:pPr>
        <w:jc w:val="center"/>
        <w:ind w:left="680"/>
        <w:spacing w:after="0"/>
        <w:rPr>
          <w:sz w:val="20"/>
          <w:szCs w:val="20"/>
          <w:color w:val="auto"/>
        </w:rPr>
      </w:pPr>
      <w:r>
        <w:rPr>
          <w:rFonts w:ascii="Calibri" w:cs="Calibri" w:eastAsia="Calibri" w:hAnsi="Calibri"/>
          <w:sz w:val="17"/>
          <w:szCs w:val="17"/>
          <w:i w:val="1"/>
          <w:iCs w:val="1"/>
          <w:color w:val="44536A"/>
        </w:rPr>
        <w:drawing>
          <wp:anchor simplePos="0" relativeHeight="251657728" behindDoc="1" locked="0" layoutInCell="0" allowOverlap="1">
            <wp:simplePos x="0" y="0"/>
            <wp:positionH relativeFrom="page">
              <wp:posOffset>1266190</wp:posOffset>
            </wp:positionH>
            <wp:positionV relativeFrom="page">
              <wp:posOffset>719455</wp:posOffset>
            </wp:positionV>
            <wp:extent cx="15240" cy="4508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30">
                      <a:extLst>
                        <a:ext uri="{28A0092B-C50C-407E-A947-70E740481C1C}"/>
                      </a:extLst>
                    </a:blip>
                    <a:srcRect/>
                    <a:stretch>
                      <a:fillRect/>
                    </a:stretch>
                  </pic:blipFill>
                  <pic:spPr bwMode="auto">
                    <a:xfrm>
                      <a:off x="0" y="0"/>
                      <a:ext cx="15240" cy="45085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719455</wp:posOffset>
            </wp:positionV>
            <wp:extent cx="623570" cy="4508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1">
                      <a:clrChange>
                        <a:clrFrom>
                          <a:srgbClr val="FFFFFF"/>
                        </a:clrFrom>
                        <a:clrTo>
                          <a:srgbClr val="FFFFFF">
                            <a:alpha val="0"/>
                          </a:srgbClr>
                        </a:clrTo>
                      </a:clrChange>
                      <a:extLst>
                        <a:ext uri="{28A0092B-C50C-407E-A947-70E740481C1C}"/>
                      </a:extLst>
                    </a:blip>
                    <a:srcRect/>
                    <a:stretch>
                      <a:fillRect/>
                    </a:stretch>
                  </pic:blipFill>
                  <pic:spPr bwMode="auto">
                    <a:xfrm>
                      <a:off x="0" y="0"/>
                      <a:ext cx="623570" cy="450850"/>
                    </a:xfrm>
                    <a:prstGeom prst="rect">
                      <a:avLst/>
                    </a:prstGeom>
                    <a:noFill/>
                  </pic:spPr>
                </pic:pic>
              </a:graphicData>
            </a:graphic>
          </wp:anchor>
        </w:drawing>
        <w:t>Join an innovatve team driven by a bold vision –</w:t>
      </w:r>
    </w:p>
    <w:p>
      <w:pPr>
        <w:spacing w:after="0" w:line="5" w:lineRule="exact"/>
        <w:rPr>
          <w:sz w:val="20"/>
          <w:szCs w:val="20"/>
          <w:color w:val="auto"/>
        </w:rPr>
      </w:pPr>
    </w:p>
    <w:p>
      <w:pPr>
        <w:jc w:val="center"/>
        <w:ind w:left="680"/>
        <w:spacing w:after="0"/>
        <w:rPr>
          <w:sz w:val="20"/>
          <w:szCs w:val="20"/>
          <w:color w:val="auto"/>
        </w:rPr>
      </w:pPr>
      <w:r>
        <w:rPr>
          <w:rFonts w:ascii="Calibri" w:cs="Calibri" w:eastAsia="Calibri" w:hAnsi="Calibri"/>
          <w:sz w:val="17"/>
          <w:szCs w:val="17"/>
          <w:i w:val="1"/>
          <w:iCs w:val="1"/>
          <w:color w:val="44536A"/>
        </w:rPr>
        <w:t>unleashing tools to accelerate breakthroughs in human health™</w:t>
      </w:r>
    </w:p>
    <w:p>
      <w:pPr>
        <w:spacing w:after="0" w:line="365"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Equity Award:</w:t>
      </w:r>
    </w:p>
    <w:p>
      <w:pPr>
        <w:spacing w:after="0" w:line="9" w:lineRule="exact"/>
        <w:rPr>
          <w:sz w:val="20"/>
          <w:szCs w:val="20"/>
          <w:color w:val="auto"/>
        </w:rPr>
      </w:pPr>
    </w:p>
    <w:p>
      <w:pPr>
        <w:ind w:right="40"/>
        <w:spacing w:after="0" w:line="247" w:lineRule="auto"/>
        <w:rPr>
          <w:sz w:val="20"/>
          <w:szCs w:val="20"/>
          <w:color w:val="auto"/>
        </w:rPr>
      </w:pPr>
      <w:r>
        <w:rPr>
          <w:rFonts w:ascii="Calibri" w:cs="Calibri" w:eastAsia="Calibri" w:hAnsi="Calibri"/>
          <w:sz w:val="14"/>
          <w:szCs w:val="14"/>
          <w:color w:val="auto"/>
        </w:rPr>
        <w:t>On your start date of May 20, 2024, you will receive a grant of stock optons to purchase 600,000 shares of Standard BioTools Corporaton’s Common Stock based on the stock price at the close of market May 20, 2024. Additonally, you will receive a new hire grant of Restricted Stock Units of 600,000 shares with a value of LAB stock at the close of market May 20, 2024. Your grant will be subject to the terms of our equity incentve plan and policies governing grants of equity incentve awards.</w:t>
      </w:r>
    </w:p>
    <w:p>
      <w:pPr>
        <w:spacing w:after="0" w:line="194" w:lineRule="exact"/>
        <w:rPr>
          <w:sz w:val="20"/>
          <w:szCs w:val="20"/>
          <w:color w:val="auto"/>
        </w:rPr>
      </w:pPr>
    </w:p>
    <w:p>
      <w:pPr>
        <w:ind w:right="120"/>
        <w:spacing w:after="0" w:line="245" w:lineRule="auto"/>
        <w:rPr>
          <w:sz w:val="20"/>
          <w:szCs w:val="20"/>
          <w:color w:val="auto"/>
        </w:rPr>
      </w:pPr>
      <w:r>
        <w:rPr>
          <w:rFonts w:ascii="Calibri" w:cs="Calibri" w:eastAsia="Calibri" w:hAnsi="Calibri"/>
          <w:sz w:val="14"/>
          <w:szCs w:val="14"/>
          <w:color w:val="auto"/>
        </w:rPr>
        <w:t>Going forward, you will be eligible to partcipate in all annual and long-term equity incentve plans and programs of the Company in accordance with the terms of such plans as in efect for other senior ofcers of the Company, at levels determined by the Board (or Compensaton Commitee, if applicable) in its sole discreton, commensurate with your positon.</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Benefts:</w:t>
      </w:r>
    </w:p>
    <w:p>
      <w:pPr>
        <w:spacing w:after="0" w:line="21" w:lineRule="exact"/>
        <w:rPr>
          <w:sz w:val="20"/>
          <w:szCs w:val="20"/>
          <w:color w:val="auto"/>
        </w:rPr>
      </w:pPr>
    </w:p>
    <w:p>
      <w:pPr>
        <w:jc w:val="both"/>
        <w:spacing w:after="0" w:line="247" w:lineRule="auto"/>
        <w:rPr>
          <w:sz w:val="20"/>
          <w:szCs w:val="20"/>
          <w:color w:val="auto"/>
        </w:rPr>
      </w:pPr>
      <w:r>
        <w:rPr>
          <w:rFonts w:ascii="Calibri" w:cs="Calibri" w:eastAsia="Calibri" w:hAnsi="Calibri"/>
          <w:sz w:val="14"/>
          <w:szCs w:val="14"/>
          <w:color w:val="auto"/>
        </w:rPr>
        <w:t>You are eligible to receive the Company’s standard benefts package which currently includes medical, dental, vision, life, and disability insurance benefts. Benefts will be efectve on your date of hire. Additonal benefts, as the Company may make generally available to its employees from tme to tme, will be made available to you. You will be enttled to partcipate in the Flexible Vacaton Plan as well as paid holidays the Company gives to its employees generally, in accordance with company policies.</w:t>
      </w:r>
    </w:p>
    <w:p>
      <w:pPr>
        <w:spacing w:after="0" w:line="191"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Workers’ Compensaton Insurance:</w:t>
      </w:r>
    </w:p>
    <w:p>
      <w:pPr>
        <w:spacing w:after="0" w:line="9" w:lineRule="exact"/>
        <w:rPr>
          <w:sz w:val="20"/>
          <w:szCs w:val="20"/>
          <w:color w:val="auto"/>
        </w:rPr>
      </w:pPr>
    </w:p>
    <w:p>
      <w:pPr>
        <w:ind w:right="80"/>
        <w:spacing w:after="0" w:line="245" w:lineRule="auto"/>
        <w:rPr>
          <w:sz w:val="20"/>
          <w:szCs w:val="20"/>
          <w:color w:val="auto"/>
        </w:rPr>
      </w:pPr>
      <w:r>
        <w:rPr>
          <w:rFonts w:ascii="Calibri" w:cs="Calibri" w:eastAsia="Calibri" w:hAnsi="Calibri"/>
          <w:sz w:val="14"/>
          <w:szCs w:val="14"/>
          <w:color w:val="auto"/>
        </w:rPr>
        <w:t>The Company provides a comprehensive workers’ compensaton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Confdentality and Company Policies:</w:t>
      </w:r>
    </w:p>
    <w:p>
      <w:pPr>
        <w:spacing w:after="0" w:line="21" w:lineRule="exact"/>
        <w:rPr>
          <w:sz w:val="20"/>
          <w:szCs w:val="20"/>
          <w:color w:val="auto"/>
        </w:rPr>
      </w:pPr>
    </w:p>
    <w:p>
      <w:pPr>
        <w:ind w:right="20"/>
        <w:spacing w:after="0" w:line="245" w:lineRule="auto"/>
        <w:rPr>
          <w:sz w:val="20"/>
          <w:szCs w:val="20"/>
          <w:color w:val="auto"/>
        </w:rPr>
      </w:pPr>
      <w:r>
        <w:rPr>
          <w:rFonts w:ascii="Calibri" w:cs="Calibri" w:eastAsia="Calibri" w:hAnsi="Calibri"/>
          <w:sz w:val="14"/>
          <w:szCs w:val="14"/>
          <w:color w:val="auto"/>
        </w:rPr>
        <w:t>It is important to protect our confdental informaton and proprietary material. Therefore, as a conditon of employment you will be required to sign the Company’s standard At-Will Employment, Confdental Informaton, Inventon Assignment, and Arbitraton Agreement.</w:t>
      </w:r>
    </w:p>
    <w:p>
      <w:pPr>
        <w:spacing w:after="0" w:line="195" w:lineRule="exact"/>
        <w:rPr>
          <w:sz w:val="20"/>
          <w:szCs w:val="20"/>
          <w:color w:val="auto"/>
        </w:rPr>
      </w:pPr>
    </w:p>
    <w:p>
      <w:pPr>
        <w:jc w:val="both"/>
        <w:ind w:right="140"/>
        <w:spacing w:after="0" w:line="248" w:lineRule="auto"/>
        <w:rPr>
          <w:sz w:val="20"/>
          <w:szCs w:val="20"/>
          <w:color w:val="auto"/>
        </w:rPr>
      </w:pPr>
      <w:r>
        <w:rPr>
          <w:rFonts w:ascii="Calibri" w:cs="Calibri" w:eastAsia="Calibri" w:hAnsi="Calibri"/>
          <w:sz w:val="14"/>
          <w:szCs w:val="14"/>
          <w:color w:val="auto"/>
        </w:rPr>
        <w:t>Notwithstanding anything to the contrary in the At-Will Employment, Confdental Informaton, Inventon Assignment, and Arbitraton Agreement or any Company plan or policy, the Company acknowledges and agrees that you may contnue serving on the boards of directors set forth on Exhibit E to the NDA. In additon, you shall be permited to maintain your equity interests in the private enttes set forth on Exhibit E to the NDA. These board roles and private investments shall not be subject to any additonal disclosure and/or pre-clearance requirements unless there is a material increase in your role, responsibility, or tme commitment with respect to such actvites or you become aware of a potental or actual confict of interest arising from such actvites afer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600710</wp:posOffset>
            </wp:positionV>
            <wp:extent cx="7174865" cy="406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bookmarkStart w:id="134" w:name="page135"/>
    <w:bookmarkEnd w:id="134"/>
    <w:p>
      <w:pPr>
        <w:jc w:val="center"/>
        <w:ind w:left="680"/>
        <w:spacing w:after="0"/>
        <w:rPr>
          <w:sz w:val="20"/>
          <w:szCs w:val="20"/>
          <w:color w:val="auto"/>
        </w:rPr>
      </w:pPr>
      <w:r>
        <w:rPr>
          <w:rFonts w:ascii="Calibri" w:cs="Calibri" w:eastAsia="Calibri" w:hAnsi="Calibri"/>
          <w:sz w:val="17"/>
          <w:szCs w:val="17"/>
          <w:i w:val="1"/>
          <w:iCs w:val="1"/>
          <w:color w:val="44536A"/>
        </w:rPr>
        <w:drawing>
          <wp:anchor simplePos="0" relativeHeight="251657728" behindDoc="1" locked="0" layoutInCell="0" allowOverlap="1">
            <wp:simplePos x="0" y="0"/>
            <wp:positionH relativeFrom="page">
              <wp:posOffset>1266190</wp:posOffset>
            </wp:positionH>
            <wp:positionV relativeFrom="page">
              <wp:posOffset>719455</wp:posOffset>
            </wp:positionV>
            <wp:extent cx="15240" cy="4508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33">
                      <a:extLst>
                        <a:ext uri="{28A0092B-C50C-407E-A947-70E740481C1C}"/>
                      </a:extLst>
                    </a:blip>
                    <a:srcRect/>
                    <a:stretch>
                      <a:fillRect/>
                    </a:stretch>
                  </pic:blipFill>
                  <pic:spPr bwMode="auto">
                    <a:xfrm>
                      <a:off x="0" y="0"/>
                      <a:ext cx="15240" cy="45085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719455</wp:posOffset>
            </wp:positionV>
            <wp:extent cx="623570" cy="4508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34">
                      <a:clrChange>
                        <a:clrFrom>
                          <a:srgbClr val="FFFFFF"/>
                        </a:clrFrom>
                        <a:clrTo>
                          <a:srgbClr val="FFFFFF">
                            <a:alpha val="0"/>
                          </a:srgbClr>
                        </a:clrTo>
                      </a:clrChange>
                      <a:extLst>
                        <a:ext uri="{28A0092B-C50C-407E-A947-70E740481C1C}"/>
                      </a:extLst>
                    </a:blip>
                    <a:srcRect/>
                    <a:stretch>
                      <a:fillRect/>
                    </a:stretch>
                  </pic:blipFill>
                  <pic:spPr bwMode="auto">
                    <a:xfrm>
                      <a:off x="0" y="0"/>
                      <a:ext cx="623570" cy="450850"/>
                    </a:xfrm>
                    <a:prstGeom prst="rect">
                      <a:avLst/>
                    </a:prstGeom>
                    <a:noFill/>
                  </pic:spPr>
                </pic:pic>
              </a:graphicData>
            </a:graphic>
          </wp:anchor>
        </w:drawing>
        <w:t>Join an innovatve team driven by a bold vision –</w:t>
      </w:r>
    </w:p>
    <w:p>
      <w:pPr>
        <w:spacing w:after="0" w:line="5" w:lineRule="exact"/>
        <w:rPr>
          <w:sz w:val="20"/>
          <w:szCs w:val="20"/>
          <w:color w:val="auto"/>
        </w:rPr>
      </w:pPr>
    </w:p>
    <w:p>
      <w:pPr>
        <w:jc w:val="center"/>
        <w:ind w:left="680"/>
        <w:spacing w:after="0"/>
        <w:rPr>
          <w:sz w:val="20"/>
          <w:szCs w:val="20"/>
          <w:color w:val="auto"/>
        </w:rPr>
      </w:pPr>
      <w:r>
        <w:rPr>
          <w:rFonts w:ascii="Calibri" w:cs="Calibri" w:eastAsia="Calibri" w:hAnsi="Calibri"/>
          <w:sz w:val="17"/>
          <w:szCs w:val="17"/>
          <w:i w:val="1"/>
          <w:iCs w:val="1"/>
          <w:color w:val="44536A"/>
        </w:rPr>
        <w:t>unleashing tools to accelerate breakthroughs in human health™</w:t>
      </w:r>
    </w:p>
    <w:p>
      <w:pPr>
        <w:spacing w:after="0" w:line="365"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Indemnifcaton/D&amp;O Insurance:</w:t>
      </w:r>
    </w:p>
    <w:p>
      <w:pPr>
        <w:spacing w:after="0" w:line="21" w:lineRule="exact"/>
        <w:rPr>
          <w:sz w:val="20"/>
          <w:szCs w:val="20"/>
          <w:color w:val="auto"/>
        </w:rPr>
      </w:pPr>
    </w:p>
    <w:p>
      <w:pPr>
        <w:ind w:right="160"/>
        <w:spacing w:after="0" w:line="245" w:lineRule="auto"/>
        <w:rPr>
          <w:sz w:val="20"/>
          <w:szCs w:val="20"/>
          <w:color w:val="auto"/>
        </w:rPr>
      </w:pPr>
      <w:r>
        <w:rPr>
          <w:rFonts w:ascii="Calibri" w:cs="Calibri" w:eastAsia="Calibri" w:hAnsi="Calibri"/>
          <w:sz w:val="14"/>
          <w:szCs w:val="14"/>
          <w:color w:val="auto"/>
        </w:rPr>
        <w:t>You will be indemnifed by the Company to the maximum extent permited by applicable law and the Company’s governing documents, and that certain Indemnifcaton Agreement, dated as of your start date, by and between the Company and you. To the extent that the Company procures directors’ and ofcers’ liability insurance for</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color w:val="auto"/>
        </w:rPr>
        <w:t>the Company’s ofcers, you shall be covered on a basis no less favorable than such directors and ofcers are so covered, during your employment and thereafer.</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Background and reference checks: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This ofer is contngent upon successfully passing your background and reference checks.</w:t>
      </w:r>
    </w:p>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Employment Authorizaton:</w:t>
      </w:r>
    </w:p>
    <w:p>
      <w:pPr>
        <w:spacing w:after="0" w:line="9" w:lineRule="exact"/>
        <w:rPr>
          <w:sz w:val="20"/>
          <w:szCs w:val="20"/>
          <w:color w:val="auto"/>
        </w:rPr>
      </w:pPr>
    </w:p>
    <w:p>
      <w:pPr>
        <w:ind w:right="580"/>
        <w:spacing w:after="0" w:line="245" w:lineRule="auto"/>
        <w:rPr>
          <w:sz w:val="20"/>
          <w:szCs w:val="20"/>
          <w:color w:val="auto"/>
        </w:rPr>
      </w:pPr>
      <w:r>
        <w:rPr>
          <w:rFonts w:ascii="Calibri" w:cs="Calibri" w:eastAsia="Calibri" w:hAnsi="Calibri"/>
          <w:sz w:val="14"/>
          <w:szCs w:val="14"/>
          <w:color w:val="auto"/>
        </w:rPr>
        <w:t>For purposes of federal immigraton law, you will be required to provide to the Company documentary evidence of your identty and eligibility for employment in the United States. Such documentaton must be provided to us within 3 business days of your date of hire, or our employment relatonship may be terminated.</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Other:</w:t>
      </w:r>
    </w:p>
    <w:p>
      <w:pPr>
        <w:spacing w:after="0" w:line="18" w:lineRule="exact"/>
        <w:rPr>
          <w:sz w:val="20"/>
          <w:szCs w:val="20"/>
          <w:color w:val="auto"/>
        </w:rPr>
      </w:pPr>
    </w:p>
    <w:p>
      <w:pPr>
        <w:spacing w:after="0"/>
        <w:rPr>
          <w:sz w:val="20"/>
          <w:szCs w:val="20"/>
          <w:color w:val="auto"/>
        </w:rPr>
      </w:pPr>
      <w:r>
        <w:rPr>
          <w:rFonts w:ascii="Calibri" w:cs="Calibri" w:eastAsia="Calibri" w:hAnsi="Calibri"/>
          <w:sz w:val="14"/>
          <w:szCs w:val="14"/>
          <w:color w:val="auto"/>
        </w:rPr>
        <w:t xml:space="preserve">This ofer of employment and its related terms will expire on </w:t>
      </w:r>
      <w:r>
        <w:rPr>
          <w:rFonts w:ascii="Calibri" w:cs="Calibri" w:eastAsia="Calibri" w:hAnsi="Calibri"/>
          <w:sz w:val="14"/>
          <w:szCs w:val="14"/>
          <w:b w:val="1"/>
          <w:bCs w:val="1"/>
          <w:u w:val="single" w:color="auto"/>
          <w:color w:val="auto"/>
        </w:rPr>
        <w:t>May 13, 2024</w:t>
      </w:r>
      <w:r>
        <w:rPr>
          <w:rFonts w:ascii="Calibri" w:cs="Calibri" w:eastAsia="Calibri" w:hAnsi="Calibri"/>
          <w:sz w:val="14"/>
          <w:szCs w:val="14"/>
          <w:color w:val="auto"/>
        </w:rPr>
        <w:t>.</w:t>
      </w:r>
    </w:p>
    <w:p>
      <w:pPr>
        <w:spacing w:after="0" w:line="198" w:lineRule="exact"/>
        <w:rPr>
          <w:sz w:val="20"/>
          <w:szCs w:val="20"/>
          <w:color w:val="auto"/>
        </w:rPr>
      </w:pPr>
    </w:p>
    <w:p>
      <w:pPr>
        <w:spacing w:after="0" w:line="247" w:lineRule="auto"/>
        <w:rPr>
          <w:sz w:val="20"/>
          <w:szCs w:val="20"/>
          <w:color w:val="auto"/>
        </w:rPr>
      </w:pPr>
      <w:r>
        <w:rPr>
          <w:rFonts w:ascii="Calibri" w:cs="Calibri" w:eastAsia="Calibri" w:hAnsi="Calibri"/>
          <w:sz w:val="14"/>
          <w:szCs w:val="14"/>
          <w:color w:val="auto"/>
        </w:rPr>
        <w:t>This leter shall be interpreted under California law. You should be aware that your employment with the Company is for no specifed period and consttutes “at will” employment. As a result, you are free to resign at any tme, for any reason or for no reason. Similarly, the Company is free to conclude its employment relatonship with you at any tme, with or without cause. In additon, your partcipaton in the Company’s total rewards, benefts plans and policies are subject to the specifc eligibility requirements and other criteria contained in company policies and individual plan documents, and all Company benefts are subject to discontnuaton, modifcaton or change at the Company’s discreton.</w:t>
      </w:r>
    </w:p>
    <w:p>
      <w:pPr>
        <w:spacing w:after="0" w:line="136" w:lineRule="exact"/>
        <w:rPr>
          <w:sz w:val="20"/>
          <w:szCs w:val="20"/>
          <w:color w:val="auto"/>
        </w:rPr>
      </w:pPr>
    </w:p>
    <w:p>
      <w:pPr>
        <w:spacing w:after="0" w:line="247" w:lineRule="auto"/>
        <w:rPr>
          <w:sz w:val="20"/>
          <w:szCs w:val="20"/>
          <w:color w:val="auto"/>
        </w:rPr>
      </w:pPr>
      <w:r>
        <w:rPr>
          <w:rFonts w:ascii="Calibri" w:cs="Calibri" w:eastAsia="Calibri" w:hAnsi="Calibri"/>
          <w:sz w:val="14"/>
          <w:szCs w:val="14"/>
          <w:color w:val="auto"/>
        </w:rPr>
        <w:t xml:space="preserve">In the event of any dispute or claim relatng to or arising out of our employment relatonship, you and the Company agree that all such disputes shall be fully and fnally resolved by binding arbitraton conducted by the Judicial Arbitraton &amp; Mediaton Services (“JAMS”) in Santa Clara County California. The current JAMS employment arbitraton rules &amp; procedures can be found at htp://www.jamsadr.com/rules-employment- </w:t>
      </w:r>
      <w:r>
        <w:rPr>
          <w:rFonts w:ascii="Calibri" w:cs="Calibri" w:eastAsia="Calibri" w:hAnsi="Calibri"/>
          <w:sz w:val="14"/>
          <w:szCs w:val="14"/>
          <w:u w:val="single" w:color="auto"/>
          <w:color w:val="auto"/>
        </w:rPr>
        <w:t>arbitraton/</w:t>
      </w:r>
      <w:r>
        <w:rPr>
          <w:rFonts w:ascii="Calibri" w:cs="Calibri" w:eastAsia="Calibri" w:hAnsi="Calibri"/>
          <w:sz w:val="14"/>
          <w:szCs w:val="14"/>
          <w:color w:val="auto"/>
        </w:rPr>
        <w:t>. The JAMS employment arbitraton rules &amp; procedures may, however, be amended by JAMS. You acknowledge that you are waiving your right to a jury trial.</w:t>
      </w:r>
    </w:p>
    <w:p>
      <w:pPr>
        <w:spacing w:after="0" w:line="193" w:lineRule="exact"/>
        <w:rPr>
          <w:sz w:val="20"/>
          <w:szCs w:val="20"/>
          <w:color w:val="auto"/>
        </w:rPr>
      </w:pPr>
    </w:p>
    <w:p>
      <w:pPr>
        <w:spacing w:after="0"/>
        <w:rPr>
          <w:sz w:val="20"/>
          <w:szCs w:val="20"/>
          <w:color w:val="auto"/>
        </w:rPr>
      </w:pPr>
      <w:r>
        <w:rPr>
          <w:rFonts w:ascii="Calibri" w:cs="Calibri" w:eastAsia="Calibri" w:hAnsi="Calibri"/>
          <w:sz w:val="14"/>
          <w:szCs w:val="14"/>
          <w:color w:val="auto"/>
        </w:rPr>
        <w:t>To indicate your acceptance of the Company's ofer, please sign and date this leter in the space provided below and return it to Betsy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603885</wp:posOffset>
            </wp:positionV>
            <wp:extent cx="7174865" cy="406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5" w:name="page136"/>
    <w:bookmarkEnd w:id="135"/>
    <w:p>
      <w:pPr>
        <w:jc w:val="center"/>
        <w:ind w:left="680"/>
        <w:spacing w:after="0"/>
        <w:rPr>
          <w:sz w:val="20"/>
          <w:szCs w:val="20"/>
          <w:color w:val="auto"/>
        </w:rPr>
      </w:pPr>
      <w:r>
        <w:rPr>
          <w:rFonts w:ascii="Calibri" w:cs="Calibri" w:eastAsia="Calibri" w:hAnsi="Calibri"/>
          <w:sz w:val="17"/>
          <w:szCs w:val="17"/>
          <w:i w:val="1"/>
          <w:iCs w:val="1"/>
          <w:color w:val="44536A"/>
        </w:rPr>
        <w:drawing>
          <wp:anchor simplePos="0" relativeHeight="251657728" behindDoc="1" locked="0" layoutInCell="0" allowOverlap="1">
            <wp:simplePos x="0" y="0"/>
            <wp:positionH relativeFrom="page">
              <wp:posOffset>1266190</wp:posOffset>
            </wp:positionH>
            <wp:positionV relativeFrom="page">
              <wp:posOffset>719455</wp:posOffset>
            </wp:positionV>
            <wp:extent cx="15240" cy="4508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36">
                      <a:extLst>
                        <a:ext uri="{28A0092B-C50C-407E-A947-70E740481C1C}"/>
                      </a:extLst>
                    </a:blip>
                    <a:srcRect/>
                    <a:stretch>
                      <a:fillRect/>
                    </a:stretch>
                  </pic:blipFill>
                  <pic:spPr bwMode="auto">
                    <a:xfrm>
                      <a:off x="0" y="0"/>
                      <a:ext cx="15240" cy="45085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719455</wp:posOffset>
            </wp:positionV>
            <wp:extent cx="623570" cy="4508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37">
                      <a:clrChange>
                        <a:clrFrom>
                          <a:srgbClr val="FFFFFF"/>
                        </a:clrFrom>
                        <a:clrTo>
                          <a:srgbClr val="FFFFFF">
                            <a:alpha val="0"/>
                          </a:srgbClr>
                        </a:clrTo>
                      </a:clrChange>
                      <a:extLst>
                        <a:ext uri="{28A0092B-C50C-407E-A947-70E740481C1C}"/>
                      </a:extLst>
                    </a:blip>
                    <a:srcRect/>
                    <a:stretch>
                      <a:fillRect/>
                    </a:stretch>
                  </pic:blipFill>
                  <pic:spPr bwMode="auto">
                    <a:xfrm>
                      <a:off x="0" y="0"/>
                      <a:ext cx="623570" cy="450850"/>
                    </a:xfrm>
                    <a:prstGeom prst="rect">
                      <a:avLst/>
                    </a:prstGeom>
                    <a:noFill/>
                  </pic:spPr>
                </pic:pic>
              </a:graphicData>
            </a:graphic>
          </wp:anchor>
        </w:drawing>
        <w:t>Join an innovatve team driven by a bold vision –</w:t>
      </w:r>
    </w:p>
    <w:p>
      <w:pPr>
        <w:spacing w:after="0" w:line="5" w:lineRule="exact"/>
        <w:rPr>
          <w:sz w:val="20"/>
          <w:szCs w:val="20"/>
          <w:color w:val="auto"/>
        </w:rPr>
      </w:pPr>
    </w:p>
    <w:p>
      <w:pPr>
        <w:jc w:val="center"/>
        <w:ind w:left="680"/>
        <w:spacing w:after="0"/>
        <w:rPr>
          <w:sz w:val="20"/>
          <w:szCs w:val="20"/>
          <w:color w:val="auto"/>
        </w:rPr>
      </w:pPr>
      <w:r>
        <w:rPr>
          <w:rFonts w:ascii="Calibri" w:cs="Calibri" w:eastAsia="Calibri" w:hAnsi="Calibri"/>
          <w:sz w:val="17"/>
          <w:szCs w:val="17"/>
          <w:i w:val="1"/>
          <w:iCs w:val="1"/>
          <w:color w:val="44536A"/>
        </w:rPr>
        <w:t>unleashing tools to accelerate breakthroughs in human health™</w:t>
      </w:r>
    </w:p>
    <w:p>
      <w:pPr>
        <w:spacing w:after="0" w:line="368" w:lineRule="exact"/>
        <w:rPr>
          <w:sz w:val="20"/>
          <w:szCs w:val="20"/>
          <w:color w:val="auto"/>
        </w:rPr>
      </w:pPr>
    </w:p>
    <w:p>
      <w:pPr>
        <w:jc w:val="both"/>
        <w:spacing w:after="0" w:line="247" w:lineRule="auto"/>
        <w:rPr>
          <w:sz w:val="20"/>
          <w:szCs w:val="20"/>
          <w:color w:val="auto"/>
        </w:rPr>
      </w:pPr>
      <w:r>
        <w:rPr>
          <w:rFonts w:ascii="Calibri" w:cs="Calibri" w:eastAsia="Calibri" w:hAnsi="Calibri"/>
          <w:sz w:val="14"/>
          <w:szCs w:val="14"/>
          <w:color w:val="auto"/>
        </w:rPr>
        <w:t>This leter, along with the agreement relatng to proprietary rights between you and the Company and all applicable equity award agreements, set forth the terms of your employment with the Company and supersede any prior representatons or agreements, whether writen or oral. This leter may not be modifed or amended except by a writen agreement, signed by the Company and by you.</w:t>
      </w:r>
    </w:p>
    <w:p>
      <w:pPr>
        <w:spacing w:after="0" w:line="132" w:lineRule="exact"/>
        <w:rPr>
          <w:sz w:val="20"/>
          <w:szCs w:val="20"/>
          <w:color w:val="auto"/>
        </w:rPr>
      </w:pPr>
    </w:p>
    <w:p>
      <w:pPr>
        <w:spacing w:after="0"/>
        <w:rPr>
          <w:sz w:val="20"/>
          <w:szCs w:val="20"/>
          <w:color w:val="auto"/>
        </w:rPr>
      </w:pPr>
      <w:r>
        <w:rPr>
          <w:rFonts w:ascii="Calibri" w:cs="Calibri" w:eastAsia="Calibri" w:hAnsi="Calibri"/>
          <w:sz w:val="14"/>
          <w:szCs w:val="14"/>
          <w:color w:val="auto"/>
        </w:rPr>
        <w:t>We look forward to you joining and being part of Standard BioTools! I am certain we can build a great company together.</w:t>
      </w:r>
    </w:p>
    <w:p>
      <w:pPr>
        <w:spacing w:after="0" w:line="160" w:lineRule="exact"/>
        <w:rPr>
          <w:sz w:val="20"/>
          <w:szCs w:val="20"/>
          <w:color w:val="auto"/>
        </w:rPr>
      </w:pPr>
    </w:p>
    <w:p>
      <w:pPr>
        <w:spacing w:after="0"/>
        <w:rPr>
          <w:sz w:val="20"/>
          <w:szCs w:val="20"/>
          <w:color w:val="auto"/>
        </w:rPr>
      </w:pPr>
      <w:r>
        <w:rPr>
          <w:rFonts w:ascii="Calibri" w:cs="Calibri" w:eastAsia="Calibri" w:hAnsi="Calibri"/>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3740" cy="2705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38">
                      <a:extLst>
                        <a:ext uri="{28A0092B-C50C-407E-A947-70E740481C1C}"/>
                      </a:extLst>
                    </a:blip>
                    <a:srcRect/>
                    <a:stretch>
                      <a:fillRect/>
                    </a:stretch>
                  </pic:blipFill>
                  <pic:spPr bwMode="auto">
                    <a:xfrm>
                      <a:off x="0" y="0"/>
                      <a:ext cx="713740" cy="27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6"/>
          <w:szCs w:val="16"/>
          <w:color w:val="auto"/>
        </w:rPr>
        <w:t>Betsy Jensen</w:t>
      </w:r>
    </w:p>
    <w:p>
      <w:pPr>
        <w:spacing w:after="0" w:line="232" w:lineRule="auto"/>
        <w:rPr>
          <w:sz w:val="20"/>
          <w:szCs w:val="20"/>
          <w:color w:val="auto"/>
        </w:rPr>
      </w:pPr>
      <w:r>
        <w:rPr>
          <w:rFonts w:ascii="Calibri" w:cs="Calibri" w:eastAsia="Calibri" w:hAnsi="Calibri"/>
          <w:sz w:val="16"/>
          <w:szCs w:val="16"/>
          <w:color w:val="auto"/>
        </w:rPr>
        <w:t>Chief Human Resources Ofcer</w:t>
      </w:r>
    </w:p>
    <w:p>
      <w:pPr>
        <w:spacing w:after="0" w:line="233" w:lineRule="auto"/>
        <w:rPr>
          <w:sz w:val="20"/>
          <w:szCs w:val="20"/>
          <w:color w:val="auto"/>
        </w:rPr>
      </w:pPr>
      <w:r>
        <w:rPr>
          <w:rFonts w:ascii="Calibri" w:cs="Calibri" w:eastAsia="Calibri" w:hAnsi="Calibri"/>
          <w:sz w:val="16"/>
          <w:szCs w:val="16"/>
          <w:color w:val="auto"/>
        </w:rPr>
        <w:t>Standard BioTools Inc.</w:t>
      </w:r>
    </w:p>
    <w:p>
      <w:pPr>
        <w:spacing w:after="0" w:line="230" w:lineRule="exact"/>
        <w:rPr>
          <w:sz w:val="20"/>
          <w:szCs w:val="20"/>
          <w:color w:val="auto"/>
        </w:rPr>
      </w:pPr>
    </w:p>
    <w:p>
      <w:pPr>
        <w:spacing w:after="0"/>
        <w:rPr>
          <w:sz w:val="20"/>
          <w:szCs w:val="20"/>
          <w:color w:val="auto"/>
        </w:rPr>
      </w:pPr>
      <w:r>
        <w:rPr>
          <w:rFonts w:ascii="Calibri" w:cs="Calibri" w:eastAsia="Calibri" w:hAnsi="Calibri"/>
          <w:sz w:val="16"/>
          <w:szCs w:val="16"/>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465455" cy="3302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39">
                      <a:extLst>
                        <a:ext uri="{28A0092B-C50C-407E-A947-70E740481C1C}"/>
                      </a:extLst>
                    </a:blip>
                    <a:srcRect/>
                    <a:stretch>
                      <a:fillRect/>
                    </a:stretch>
                  </pic:blipFill>
                  <pic:spPr bwMode="auto">
                    <a:xfrm>
                      <a:off x="0" y="0"/>
                      <a:ext cx="465455" cy="330200"/>
                    </a:xfrm>
                    <a:prstGeom prst="rect">
                      <a:avLst/>
                    </a:prstGeom>
                    <a:noFill/>
                  </pic:spPr>
                </pic:pic>
              </a:graphicData>
            </a:graphic>
          </wp:anchor>
        </w:drawing>
      </w:r>
    </w:p>
    <w:p>
      <w:pPr>
        <w:spacing w:after="0" w:line="325" w:lineRule="exact"/>
        <w:rPr>
          <w:sz w:val="20"/>
          <w:szCs w:val="20"/>
          <w:color w:val="auto"/>
        </w:rPr>
      </w:pPr>
    </w:p>
    <w:p>
      <w:pPr>
        <w:ind w:left="5640"/>
        <w:spacing w:after="0"/>
        <w:rPr>
          <w:sz w:val="20"/>
          <w:szCs w:val="20"/>
          <w:color w:val="auto"/>
        </w:rPr>
      </w:pPr>
      <w:r>
        <w:rPr>
          <w:rFonts w:ascii="Calibri" w:cs="Calibri" w:eastAsia="Calibri" w:hAnsi="Calibri"/>
          <w:sz w:val="14"/>
          <w:szCs w:val="14"/>
          <w:color w:val="auto"/>
        </w:rPr>
        <w:t>May 10, 2024</w:t>
      </w:r>
    </w:p>
    <w:p>
      <w:pPr>
        <w:spacing w:after="0" w:line="7" w:lineRule="exact"/>
        <w:rPr>
          <w:sz w:val="20"/>
          <w:szCs w:val="20"/>
          <w:color w:val="auto"/>
        </w:rPr>
      </w:pPr>
    </w:p>
    <w:p>
      <w:pPr>
        <w:spacing w:after="0"/>
        <w:tabs>
          <w:tab w:leader="none" w:pos="5620" w:val="left"/>
        </w:tabs>
        <w:rPr>
          <w:sz w:val="20"/>
          <w:szCs w:val="20"/>
          <w:color w:val="auto"/>
        </w:rPr>
      </w:pPr>
      <w:r>
        <w:rPr>
          <w:rFonts w:ascii="Calibri" w:cs="Calibri" w:eastAsia="Calibri" w:hAnsi="Calibri"/>
          <w:sz w:val="14"/>
          <w:szCs w:val="14"/>
          <w:b w:val="1"/>
          <w:bCs w:val="1"/>
          <w:color w:val="auto"/>
        </w:rPr>
        <w:t>Sean Mackay</w:t>
      </w:r>
      <w:r>
        <w:rPr>
          <w:sz w:val="20"/>
          <w:szCs w:val="20"/>
          <w:color w:val="auto"/>
        </w:rPr>
        <w:tab/>
      </w:r>
      <w:r>
        <w:rPr>
          <w:rFonts w:ascii="Calibri" w:cs="Calibri" w:eastAsia="Calibri" w:hAnsi="Calibri"/>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723900</wp:posOffset>
            </wp:positionV>
            <wp:extent cx="7174865" cy="406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80"/>
          </w:cols>
          <w:pgMar w:left="320" w:top="1251" w:right="499" w:bottom="1440"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96024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1">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77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2">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253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43">
                      <a:extLst>
                        <a:ext uri="{28A0092B-C50C-407E-A947-70E740481C1C}"/>
                      </a:extLst>
                    </a:blip>
                    <a:srcRect/>
                    <a:stretch>
                      <a:fillRect/>
                    </a:stretch>
                  </pic:blipFill>
                  <pic:spPr bwMode="auto">
                    <a:xfrm>
                      <a:off x="0" y="0"/>
                      <a:ext cx="7216775" cy="9625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44">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77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45">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329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46">
                      <a:extLst>
                        <a:ext uri="{28A0092B-C50C-407E-A947-70E740481C1C}"/>
                      </a:extLst>
                    </a:blip>
                    <a:srcRect/>
                    <a:stretch>
                      <a:fillRect/>
                    </a:stretch>
                  </pic:blipFill>
                  <pic:spPr bwMode="auto">
                    <a:xfrm>
                      <a:off x="0" y="0"/>
                      <a:ext cx="7216775" cy="9632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00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47">
                      <a:extLst>
                        <a:ext uri="{28A0092B-C50C-407E-A947-70E740481C1C}"/>
                      </a:extLst>
                    </a:blip>
                    <a:srcRect/>
                    <a:stretch>
                      <a:fillRect/>
                    </a:stretch>
                  </pic:blipFill>
                  <pic:spPr bwMode="auto">
                    <a:xfrm>
                      <a:off x="0" y="0"/>
                      <a:ext cx="7216775" cy="961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177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48">
                      <a:extLst>
                        <a:ext uri="{28A0092B-C50C-407E-A947-70E740481C1C}"/>
                      </a:extLst>
                    </a:blip>
                    <a:srcRect/>
                    <a:stretch>
                      <a:fillRect/>
                    </a:stretch>
                  </pic:blipFill>
                  <pic:spPr bwMode="auto">
                    <a:xfrm>
                      <a:off x="0" y="0"/>
                      <a:ext cx="7216775" cy="961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329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49">
                      <a:extLst>
                        <a:ext uri="{28A0092B-C50C-407E-A947-70E740481C1C}"/>
                      </a:extLst>
                    </a:blip>
                    <a:srcRect/>
                    <a:stretch>
                      <a:fillRect/>
                    </a:stretch>
                  </pic:blipFill>
                  <pic:spPr bwMode="auto">
                    <a:xfrm>
                      <a:off x="0" y="0"/>
                      <a:ext cx="7216775" cy="9632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50">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1">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2">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96024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53">
                      <a:extLst>
                        <a:ext uri="{28A0092B-C50C-407E-A947-70E740481C1C}"/>
                      </a:extLst>
                    </a:blip>
                    <a:srcRect/>
                    <a:stretch>
                      <a:fillRect/>
                    </a:stretch>
                  </pic:blipFill>
                  <pic:spPr bwMode="auto">
                    <a:xfrm>
                      <a:off x="0" y="0"/>
                      <a:ext cx="7216775" cy="96024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932688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9"/>
          <w:szCs w:val="19"/>
          <w:color w:val="auto"/>
        </w:rPr>
        <w:t>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SUBSIDIARIES OF STANDARD BIOTOOLS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Standard BioTools Inc. (Delaware):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SB Sciences Inc. (Delaware)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Australia Pty. Ltd. (Australia)</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(Shanghai) Instrument Technology Company Limited (China)</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K.K. (Japan)</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Europe B.V. (Netherlands)</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Singapore Pte. Ltd. (Singapore)</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SomaLogic, Inc. (Delaware)</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Sengenics Corporation LLC (Delaware)</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Sengenics Corporation Pte. Ltd. (Singapore)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Sengenics Corporation Pte. Ltd. (Singapore):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Sengenics Sdn. Bhd. (Malaysia)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Standard BioTools Europe B.V. (Netherlands):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France SARL (France)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GmbH (Germany)</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Italy S.r.l. (Italy)</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Spain S.l. (Spain)</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Sweden A.B. (Sweden)</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Switzerland GmbH (Switzerland)</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UK Limited (United Kingdom)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SB Sciences Inc. (Delaware):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Standard BioTools Canada Inc. (Ontario, Canada)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SomaLogic, Inc. (Delaware):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SomaLogic Operating Co., Inc. (Delaware)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Panther Merger Subsidiary II, LLC (Delaware)</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SomaLogic Singapore PTE. LTD. (Singapore)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Subsidiaries of SomaLogic Operating Co., Inc. (Delaware)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SomaLogic Limited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902335</wp:posOffset>
            </wp:positionV>
            <wp:extent cx="7174865" cy="406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2"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3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S-3 (Nos. 333-280321, 333-276628, 333-276626), Form S-8 (Nos. 333-264086, 333-256617, 333-172206, 333-180363, 333-187204, 333-202325, 333-209904, 333-215555, 333-219667, 333-222561, 333-229214, 333-232441, 333-239810, 333-272753, 333-276625, 333-276620, 333-281295) and Form S-8/S-3 (No.333-194084) of Standard BioTools Inc. of our report dated March 10, 2025, relating to the financial statements and the effectiveness of internal control over financial reporting, which appears in this Form 10-K.</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Irvine,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854075</wp:posOffset>
            </wp:positionV>
            <wp:extent cx="7174865" cy="406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Egholm, Ph.D., certify that:</w:t>
      </w:r>
    </w:p>
    <w:p>
      <w:pPr>
        <w:spacing w:after="0" w:line="100" w:lineRule="exact"/>
        <w:rPr>
          <w:sz w:val="20"/>
          <w:szCs w:val="20"/>
          <w:color w:val="auto"/>
        </w:rPr>
      </w:pPr>
    </w:p>
    <w:p>
      <w:pPr>
        <w:ind w:left="1020" w:hanging="516"/>
        <w:spacing w:after="0"/>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Standard BioTools Inc.;</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jc w:val="both"/>
        <w:ind w:left="1520" w:hanging="505"/>
        <w:spacing w:after="0" w:line="261" w:lineRule="auto"/>
        <w:tabs>
          <w:tab w:leader="none" w:pos="15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1520" w:hanging="505"/>
        <w:spacing w:after="0" w:line="276" w:lineRule="auto"/>
        <w:tabs>
          <w:tab w:leader="none" w:pos="15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10, 2025</w:t>
            </w: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By:   /s/ Michael Egholm, Ph.D.</w:t>
            </w:r>
          </w:p>
        </w:tc>
      </w:tr>
      <w:tr>
        <w:trPr>
          <w:trHeight w:val="165"/>
        </w:trPr>
        <w:tc>
          <w:tcPr>
            <w:tcW w:w="4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6"/>
                <w:szCs w:val="16"/>
                <w:color w:val="auto"/>
              </w:rPr>
              <w:t>Michael Egholm, Ph.D.</w:t>
            </w:r>
          </w:p>
        </w:tc>
      </w:tr>
      <w:tr>
        <w:trPr>
          <w:trHeight w:val="206"/>
        </w:trPr>
        <w:tc>
          <w:tcPr>
            <w:tcW w:w="4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044"/>
        </w:trPr>
        <w:tc>
          <w:tcPr>
            <w:tcW w:w="40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5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5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 SECURITIES EXCHANGE ACT RULES 13a-14(a) AND 15d-14(a), 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Alex Kim, certify that:</w:t>
      </w:r>
    </w:p>
    <w:p>
      <w:pPr>
        <w:spacing w:after="0" w:line="100" w:lineRule="exact"/>
        <w:rPr>
          <w:sz w:val="20"/>
          <w:szCs w:val="20"/>
          <w:color w:val="auto"/>
        </w:rPr>
      </w:pPr>
    </w:p>
    <w:p>
      <w:pPr>
        <w:ind w:left="1020" w:hanging="516"/>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Standard BioTools Inc.;</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6"/>
          <w:szCs w:val="16"/>
          <w:color w:val="auto"/>
        </w:rPr>
      </w:pPr>
    </w:p>
    <w:p>
      <w:pPr>
        <w:jc w:val="both"/>
        <w:ind w:left="1520" w:hanging="505"/>
        <w:spacing w:after="0" w:line="261" w:lineRule="auto"/>
        <w:tabs>
          <w:tab w:leader="none" w:pos="15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6"/>
          <w:szCs w:val="16"/>
          <w:color w:val="auto"/>
        </w:rPr>
      </w:pPr>
    </w:p>
    <w:p>
      <w:pPr>
        <w:jc w:val="both"/>
        <w:ind w:left="1520" w:right="20" w:hanging="505"/>
        <w:spacing w:after="0" w:line="261" w:lineRule="auto"/>
        <w:tabs>
          <w:tab w:leader="none" w:pos="15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6"/>
          <w:szCs w:val="16"/>
          <w:color w:val="auto"/>
        </w:rPr>
      </w:pPr>
    </w:p>
    <w:p>
      <w:pPr>
        <w:ind w:left="1520" w:right="20" w:hanging="505"/>
        <w:spacing w:after="0" w:line="276" w:lineRule="auto"/>
        <w:tabs>
          <w:tab w:leader="none" w:pos="15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6"/>
          <w:szCs w:val="16"/>
          <w:color w:val="auto"/>
        </w:rPr>
      </w:pPr>
    </w:p>
    <w:p>
      <w:pPr>
        <w:ind w:left="1520" w:hanging="505"/>
        <w:spacing w:after="0" w:line="276" w:lineRule="auto"/>
        <w:tabs>
          <w:tab w:leader="none" w:pos="15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10, 2025</w:t>
            </w: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By:   /s/ Alex Kim</w:t>
            </w:r>
          </w:p>
        </w:tc>
      </w:tr>
      <w:tr>
        <w:trPr>
          <w:trHeight w:val="165"/>
        </w:trPr>
        <w:tc>
          <w:tcPr>
            <w:tcW w:w="4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6"/>
                <w:szCs w:val="16"/>
                <w:color w:val="auto"/>
              </w:rPr>
              <w:t>Alex Kim</w:t>
            </w:r>
          </w:p>
        </w:tc>
      </w:tr>
      <w:tr>
        <w:trPr>
          <w:trHeight w:val="206"/>
        </w:trPr>
        <w:tc>
          <w:tcPr>
            <w:tcW w:w="4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40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7" w:lineRule="exact"/>
        <w:rPr>
          <w:sz w:val="20"/>
          <w:szCs w:val="20"/>
          <w:color w:val="auto"/>
        </w:rPr>
      </w:pPr>
    </w:p>
    <w:p>
      <w:pPr>
        <w:ind w:right="20" w:firstLine="516"/>
        <w:spacing w:after="0" w:line="276" w:lineRule="auto"/>
        <w:rPr>
          <w:sz w:val="20"/>
          <w:szCs w:val="20"/>
          <w:color w:val="auto"/>
        </w:rPr>
      </w:pPr>
      <w:r>
        <w:rPr>
          <w:rFonts w:ascii="Times New Roman" w:cs="Times New Roman" w:eastAsia="Times New Roman" w:hAnsi="Times New Roman"/>
          <w:sz w:val="16"/>
          <w:szCs w:val="16"/>
          <w:color w:val="auto"/>
        </w:rPr>
        <w:t>I, Michael Egholm, Ph.D., the chief executive officer of Standard BioTools Inc. (the “Company”), certify for the purposes of 18 U.S.C. Section 1350, as adopted pursuant to Section 906 of the Sarbanes-Oxley Act of 2002, that, to the best of my knowledge,</w:t>
      </w:r>
    </w:p>
    <w:p>
      <w:pPr>
        <w:spacing w:after="0" w:line="50" w:lineRule="exact"/>
        <w:rPr>
          <w:sz w:val="20"/>
          <w:szCs w:val="20"/>
          <w:color w:val="auto"/>
        </w:rPr>
      </w:pPr>
    </w:p>
    <w:p>
      <w:pPr>
        <w:ind w:left="1020" w:right="20" w:hanging="516"/>
        <w:spacing w:after="0" w:line="276"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fiscal year ended December 31, 2024 (the “Report”), fully complies with the requirements of Section 13(a) or 15(d) of the Securities Exchange Act of 1934, as amended;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Date: March 10, 2025</w:t>
            </w:r>
          </w:p>
        </w:tc>
        <w:tc>
          <w:tcPr>
            <w:tcW w:w="7280" w:type="dxa"/>
            <w:vAlign w:val="bottom"/>
            <w:gridSpan w:val="2"/>
          </w:tcPr>
          <w:p>
            <w:pPr>
              <w:ind w:left="2580"/>
              <w:spacing w:after="0"/>
              <w:rPr>
                <w:sz w:val="20"/>
                <w:szCs w:val="20"/>
                <w:color w:val="auto"/>
              </w:rPr>
            </w:pPr>
            <w:r>
              <w:rPr>
                <w:rFonts w:ascii="Times New Roman" w:cs="Times New Roman" w:eastAsia="Times New Roman" w:hAnsi="Times New Roman"/>
                <w:sz w:val="16"/>
                <w:szCs w:val="16"/>
                <w:color w:val="auto"/>
              </w:rPr>
              <w:t>By:   /s/ Michael Egholm, Ph.D.</w:t>
            </w:r>
          </w:p>
        </w:tc>
      </w:tr>
      <w:tr>
        <w:trPr>
          <w:trHeight w:val="165"/>
        </w:trPr>
        <w:tc>
          <w:tcPr>
            <w:tcW w:w="3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Michael Egholm, Ph.D.</w:t>
            </w:r>
          </w:p>
        </w:tc>
      </w:tr>
      <w:tr>
        <w:trPr>
          <w:trHeight w:val="206"/>
        </w:trPr>
        <w:tc>
          <w:tcPr>
            <w:tcW w:w="39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1233"/>
        </w:trPr>
        <w:tc>
          <w:tcPr>
            <w:tcW w:w="39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7" w:lineRule="exact"/>
        <w:rPr>
          <w:sz w:val="20"/>
          <w:szCs w:val="20"/>
          <w:color w:val="auto"/>
        </w:rPr>
      </w:pPr>
    </w:p>
    <w:p>
      <w:pPr>
        <w:ind w:firstLine="516"/>
        <w:spacing w:after="0" w:line="276" w:lineRule="auto"/>
        <w:rPr>
          <w:sz w:val="20"/>
          <w:szCs w:val="20"/>
          <w:color w:val="auto"/>
        </w:rPr>
      </w:pPr>
      <w:r>
        <w:rPr>
          <w:rFonts w:ascii="Times New Roman" w:cs="Times New Roman" w:eastAsia="Times New Roman" w:hAnsi="Times New Roman"/>
          <w:sz w:val="16"/>
          <w:szCs w:val="16"/>
          <w:color w:val="auto"/>
        </w:rPr>
        <w:t>I, Alex Kim, the chief financial officer of Standard BioTools Inc. (the “Company”), certify for the purposes of 18 U.S.C. Section 1350, as adopted pursuant to Section 906 of the Sarbanes-Oxley Act of 2002, that, to the best of my knowledge,</w:t>
      </w:r>
    </w:p>
    <w:p>
      <w:pPr>
        <w:spacing w:after="0" w:line="50" w:lineRule="exact"/>
        <w:rPr>
          <w:sz w:val="20"/>
          <w:szCs w:val="20"/>
          <w:color w:val="auto"/>
        </w:rPr>
      </w:pPr>
    </w:p>
    <w:p>
      <w:pPr>
        <w:ind w:left="1020" w:right="20" w:hanging="516"/>
        <w:spacing w:after="0" w:line="276" w:lineRule="auto"/>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fiscal year ended December 31, 2024 (the “Report”), fully complies with the requirements of Section 13(a) or 15(d) of the Securities Exchange Act of 1934, as amended; and</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tabs>
          <w:tab w:leader="none" w:pos="6560" w:val="left"/>
          <w:tab w:leader="none" w:pos="7000" w:val="left"/>
        </w:tabs>
        <w:rPr>
          <w:sz w:val="20"/>
          <w:szCs w:val="20"/>
          <w:color w:val="auto"/>
        </w:rPr>
      </w:pPr>
      <w:r>
        <w:rPr>
          <w:rFonts w:ascii="Times New Roman" w:cs="Times New Roman" w:eastAsia="Times New Roman" w:hAnsi="Times New Roman"/>
          <w:sz w:val="16"/>
          <w:szCs w:val="16"/>
          <w:color w:val="auto"/>
        </w:rPr>
        <w:t>Date: March 10,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Alex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13970</wp:posOffset>
            </wp:positionV>
            <wp:extent cx="269621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63">
                      <a:extLst>
                        <a:ext uri="{28A0092B-C50C-407E-A947-70E740481C1C}"/>
                      </a:extLst>
                    </a:blip>
                    <a:srcRect/>
                    <a:stretch>
                      <a:fillRect/>
                    </a:stretch>
                  </pic:blipFill>
                  <pic:spPr bwMode="auto">
                    <a:xfrm>
                      <a:off x="0" y="0"/>
                      <a:ext cx="2696210" cy="7620"/>
                    </a:xfrm>
                    <a:prstGeom prst="rect">
                      <a:avLst/>
                    </a:prstGeom>
                    <a:noFill/>
                  </pic:spPr>
                </pic:pic>
              </a:graphicData>
            </a:graphic>
          </wp:anchor>
        </w:drawing>
      </w:r>
    </w:p>
    <w:p>
      <w:pPr>
        <w:spacing w:after="0" w:line="2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Alex Kim</w:t>
      </w:r>
    </w:p>
    <w:p>
      <w:pPr>
        <w:spacing w:after="0" w:line="2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796925</wp:posOffset>
            </wp:positionV>
            <wp:extent cx="7174865" cy="406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6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endash "/>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lvl w:ilvl="1">
      <w:lvlJc w:val="left"/>
      <w:lvlText w:val="o"/>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510"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38" Type="http://schemas.openxmlformats.org/officeDocument/2006/relationships/image" Target="media/image479.png"/><Relationship Id="rId539" Type="http://schemas.openxmlformats.org/officeDocument/2006/relationships/image" Target="media/image480.png"/><Relationship Id="rId540" Type="http://schemas.openxmlformats.org/officeDocument/2006/relationships/image" Target="media/image481.png"/><Relationship Id="rId542" Type="http://schemas.openxmlformats.org/officeDocument/2006/relationships/image" Target="media/image482.png"/><Relationship Id="rId543" Type="http://schemas.openxmlformats.org/officeDocument/2006/relationships/image" Target="media/image483.png"/><Relationship Id="rId545" Type="http://schemas.openxmlformats.org/officeDocument/2006/relationships/image" Target="media/image484.png"/><Relationship Id="rId547" Type="http://schemas.openxmlformats.org/officeDocument/2006/relationships/image" Target="media/image485.png"/><Relationship Id="rId548" Type="http://schemas.openxmlformats.org/officeDocument/2006/relationships/image" Target="media/image486.png"/><Relationship Id="rId549" Type="http://schemas.openxmlformats.org/officeDocument/2006/relationships/image" Target="media/image487.png"/><Relationship Id="rId551" Type="http://schemas.openxmlformats.org/officeDocument/2006/relationships/image" Target="media/image488.png"/><Relationship Id="rId553" Type="http://schemas.openxmlformats.org/officeDocument/2006/relationships/image" Target="media/image489.png"/><Relationship Id="rId554" Type="http://schemas.openxmlformats.org/officeDocument/2006/relationships/image" Target="media/image490.png"/><Relationship Id="rId556" Type="http://schemas.openxmlformats.org/officeDocument/2006/relationships/image" Target="media/image491.png"/><Relationship Id="rId557" Type="http://schemas.openxmlformats.org/officeDocument/2006/relationships/image" Target="media/image492.png"/><Relationship Id="rId559" Type="http://schemas.openxmlformats.org/officeDocument/2006/relationships/image" Target="media/image493.png"/><Relationship Id="rId560" Type="http://schemas.openxmlformats.org/officeDocument/2006/relationships/image" Target="media/image494.png"/><Relationship Id="rId561" Type="http://schemas.openxmlformats.org/officeDocument/2006/relationships/image" Target="media/image495.png"/><Relationship Id="rId562" Type="http://schemas.openxmlformats.org/officeDocument/2006/relationships/image" Target="media/image496.png"/><Relationship Id="rId564" Type="http://schemas.openxmlformats.org/officeDocument/2006/relationships/image" Target="media/image497.png"/><Relationship Id="rId566" Type="http://schemas.openxmlformats.org/officeDocument/2006/relationships/image" Target="media/image498.png"/><Relationship Id="rId567" Type="http://schemas.openxmlformats.org/officeDocument/2006/relationships/image" Target="media/image499.png"/><Relationship Id="rId569" Type="http://schemas.openxmlformats.org/officeDocument/2006/relationships/image" Target="media/image500.png"/><Relationship Id="rId570" Type="http://schemas.openxmlformats.org/officeDocument/2006/relationships/image" Target="media/image501.png"/><Relationship Id="rId571" Type="http://schemas.openxmlformats.org/officeDocument/2006/relationships/image" Target="media/image502.png"/><Relationship Id="rId573" Type="http://schemas.openxmlformats.org/officeDocument/2006/relationships/image" Target="media/image503.png"/><Relationship Id="rId574" Type="http://schemas.openxmlformats.org/officeDocument/2006/relationships/image" Target="media/image504.png"/><Relationship Id="rId576" Type="http://schemas.openxmlformats.org/officeDocument/2006/relationships/image" Target="media/image505.png"/><Relationship Id="rId577" Type="http://schemas.openxmlformats.org/officeDocument/2006/relationships/image" Target="media/image506.png"/><Relationship Id="rId579" Type="http://schemas.openxmlformats.org/officeDocument/2006/relationships/image" Target="media/image507.png"/><Relationship Id="rId580" Type="http://schemas.openxmlformats.org/officeDocument/2006/relationships/image" Target="media/image508.png"/><Relationship Id="rId582" Type="http://schemas.openxmlformats.org/officeDocument/2006/relationships/image" Target="media/image509.png"/><Relationship Id="rId583" Type="http://schemas.openxmlformats.org/officeDocument/2006/relationships/image" Target="media/image510.png"/><Relationship Id="rId585" Type="http://schemas.openxmlformats.org/officeDocument/2006/relationships/image" Target="media/image511.png"/><Relationship Id="rId586" Type="http://schemas.openxmlformats.org/officeDocument/2006/relationships/image" Target="media/image512.png"/><Relationship Id="rId588" Type="http://schemas.openxmlformats.org/officeDocument/2006/relationships/image" Target="media/image513.png"/><Relationship Id="rId589" Type="http://schemas.openxmlformats.org/officeDocument/2006/relationships/image" Target="media/image514.png"/><Relationship Id="rId590" Type="http://schemas.openxmlformats.org/officeDocument/2006/relationships/image" Target="media/image515.png"/><Relationship Id="rId609" Type="http://schemas.openxmlformats.org/officeDocument/2006/relationships/image" Target="media/image516.png"/><Relationship Id="rId616" Type="http://schemas.openxmlformats.org/officeDocument/2006/relationships/image" Target="media/image517.png"/><Relationship Id="rId617" Type="http://schemas.openxmlformats.org/officeDocument/2006/relationships/image" Target="media/image518.png"/><Relationship Id="rId618" Type="http://schemas.openxmlformats.org/officeDocument/2006/relationships/image" Target="media/image519.png"/><Relationship Id="rId619" Type="http://schemas.openxmlformats.org/officeDocument/2006/relationships/image" Target="media/image520.png"/><Relationship Id="rId620" Type="http://schemas.openxmlformats.org/officeDocument/2006/relationships/image" Target="media/image521.png"/><Relationship Id="rId621" Type="http://schemas.openxmlformats.org/officeDocument/2006/relationships/image" Target="media/image522.png"/><Relationship Id="rId622" Type="http://schemas.openxmlformats.org/officeDocument/2006/relationships/image" Target="media/image523.png"/><Relationship Id="rId623" Type="http://schemas.openxmlformats.org/officeDocument/2006/relationships/image" Target="media/image524.png"/><Relationship Id="rId624" Type="http://schemas.openxmlformats.org/officeDocument/2006/relationships/image" Target="media/image525.png"/><Relationship Id="rId625" Type="http://schemas.openxmlformats.org/officeDocument/2006/relationships/image" Target="media/image526.png"/><Relationship Id="rId626" Type="http://schemas.openxmlformats.org/officeDocument/2006/relationships/image" Target="media/image527.png"/><Relationship Id="rId627" Type="http://schemas.openxmlformats.org/officeDocument/2006/relationships/image" Target="media/image528.png"/><Relationship Id="rId628" Type="http://schemas.openxmlformats.org/officeDocument/2006/relationships/image" Target="media/image529.jpeg"/><Relationship Id="rId629" Type="http://schemas.openxmlformats.org/officeDocument/2006/relationships/image" Target="media/image530.png"/><Relationship Id="rId630" Type="http://schemas.openxmlformats.org/officeDocument/2006/relationships/image" Target="media/image531.png"/><Relationship Id="rId631" Type="http://schemas.openxmlformats.org/officeDocument/2006/relationships/image" Target="media/image532.jpeg"/><Relationship Id="rId632" Type="http://schemas.openxmlformats.org/officeDocument/2006/relationships/image" Target="media/image533.png"/><Relationship Id="rId633" Type="http://schemas.openxmlformats.org/officeDocument/2006/relationships/image" Target="media/image534.png"/><Relationship Id="rId634" Type="http://schemas.openxmlformats.org/officeDocument/2006/relationships/image" Target="media/image535.jpeg"/><Relationship Id="rId635" Type="http://schemas.openxmlformats.org/officeDocument/2006/relationships/image" Target="media/image536.png"/><Relationship Id="rId636" Type="http://schemas.openxmlformats.org/officeDocument/2006/relationships/image" Target="media/image537.png"/><Relationship Id="rId637" Type="http://schemas.openxmlformats.org/officeDocument/2006/relationships/image" Target="media/image538.jpeg"/><Relationship Id="rId638" Type="http://schemas.openxmlformats.org/officeDocument/2006/relationships/image" Target="media/image539.jpeg"/><Relationship Id="rId639" Type="http://schemas.openxmlformats.org/officeDocument/2006/relationships/image" Target="media/image540.jpeg"/><Relationship Id="rId640" Type="http://schemas.openxmlformats.org/officeDocument/2006/relationships/image" Target="media/image541.png"/><Relationship Id="rId641" Type="http://schemas.openxmlformats.org/officeDocument/2006/relationships/image" Target="media/image542.png"/><Relationship Id="rId642" Type="http://schemas.openxmlformats.org/officeDocument/2006/relationships/image" Target="media/image543.png"/><Relationship Id="rId643" Type="http://schemas.openxmlformats.org/officeDocument/2006/relationships/image" Target="media/image544.png"/><Relationship Id="rId644" Type="http://schemas.openxmlformats.org/officeDocument/2006/relationships/image" Target="media/image545.png"/><Relationship Id="rId645" Type="http://schemas.openxmlformats.org/officeDocument/2006/relationships/image" Target="media/image546.png"/><Relationship Id="rId646" Type="http://schemas.openxmlformats.org/officeDocument/2006/relationships/image" Target="media/image547.png"/><Relationship Id="rId647" Type="http://schemas.openxmlformats.org/officeDocument/2006/relationships/image" Target="media/image548.png"/><Relationship Id="rId648" Type="http://schemas.openxmlformats.org/officeDocument/2006/relationships/image" Target="media/image549.png"/><Relationship Id="rId649" Type="http://schemas.openxmlformats.org/officeDocument/2006/relationships/image" Target="media/image550.png"/><Relationship Id="rId650" Type="http://schemas.openxmlformats.org/officeDocument/2006/relationships/image" Target="media/image551.png"/><Relationship Id="rId651" Type="http://schemas.openxmlformats.org/officeDocument/2006/relationships/image" Target="media/image552.png"/><Relationship Id="rId652" Type="http://schemas.openxmlformats.org/officeDocument/2006/relationships/image" Target="media/image553.png"/><Relationship Id="rId653" Type="http://schemas.openxmlformats.org/officeDocument/2006/relationships/image" Target="media/image554.png"/><Relationship Id="rId654" Type="http://schemas.openxmlformats.org/officeDocument/2006/relationships/image" Target="media/image555.jpeg"/><Relationship Id="rId655" Type="http://schemas.openxmlformats.org/officeDocument/2006/relationships/image" Target="media/image556.png"/><Relationship Id="rId656" Type="http://schemas.openxmlformats.org/officeDocument/2006/relationships/image" Target="media/image557.png"/><Relationship Id="rId657" Type="http://schemas.openxmlformats.org/officeDocument/2006/relationships/image" Target="media/image558.png"/><Relationship Id="rId658" Type="http://schemas.openxmlformats.org/officeDocument/2006/relationships/image" Target="media/image559.png"/><Relationship Id="rId659" Type="http://schemas.openxmlformats.org/officeDocument/2006/relationships/image" Target="media/image560.png"/><Relationship Id="rId660" Type="http://schemas.openxmlformats.org/officeDocument/2006/relationships/image" Target="media/image561.png"/><Relationship Id="rId661" Type="http://schemas.openxmlformats.org/officeDocument/2006/relationships/image" Target="media/image562.png"/><Relationship Id="rId662" Type="http://schemas.openxmlformats.org/officeDocument/2006/relationships/image" Target="media/image563.png"/><Relationship Id="rId663" Type="http://schemas.openxmlformats.org/officeDocument/2006/relationships/image" Target="media/image564.png"/><Relationship Id="rId664" Type="http://schemas.openxmlformats.org/officeDocument/2006/relationships/image" Target="media/image565.png"/><Relationship Id="rId481" Type="http://schemas.openxmlformats.org/officeDocument/2006/relationships/hyperlink" Target="https://www.sec.gov/Archives/edgar/data/1162194/000119312514025284/d661498dex21.htm" TargetMode="External"/><Relationship Id="rId482" Type="http://schemas.openxmlformats.org/officeDocument/2006/relationships/hyperlink" Target="https://www.sec.gov/Archives/edgar/data/1837412/000121390021040546/fs42021a3_cmlifesci2.htm#T002" TargetMode="External"/><Relationship Id="rId483" Type="http://schemas.openxmlformats.org/officeDocument/2006/relationships/hyperlink" Target="https://www.sec.gov/Archives/edgar/data/1837412/000121390022041858/ea163386ex2-1_somalogic.htm" TargetMode="External"/><Relationship Id="rId484" Type="http://schemas.openxmlformats.org/officeDocument/2006/relationships/hyperlink" Target="https://www.sec.gov/Archives/edgar/data/1162194/000110465923106606/tm2327474d1_ex2-1.htm" TargetMode="External"/><Relationship Id="rId485" Type="http://schemas.openxmlformats.org/officeDocument/2006/relationships/hyperlink" Target="https://www.sec.gov/Archives/edgar/data/1162194/000119312511078412/dex31.htm" TargetMode="External"/><Relationship Id="rId486" Type="http://schemas.openxmlformats.org/officeDocument/2006/relationships/hyperlink" Target="https://www.sec.gov/Archives/edgar/data/1162194/000116219421000034/exhibit31to8-karbylaws.htm" TargetMode="External"/><Relationship Id="rId487" Type="http://schemas.openxmlformats.org/officeDocument/2006/relationships/hyperlink" Target="https://www.sec.gov/Archives/edgar/data/1162194/000119312522093794/d300506dex43.htm" TargetMode="External"/><Relationship Id="rId488" Type="http://schemas.openxmlformats.org/officeDocument/2006/relationships/hyperlink" Target="https://www.sec.gov/Archives/edgar/data/1162194/000110465924001640/tm2333984d3_ex3-1.htm" TargetMode="External"/><Relationship Id="rId489" Type="http://schemas.openxmlformats.org/officeDocument/2006/relationships/hyperlink" Target="https://www.sec.gov/Archives/edgar/data/1162194/000119312522096290/d314141dex36.htm" TargetMode="External"/><Relationship Id="rId490" Type="http://schemas.openxmlformats.org/officeDocument/2006/relationships/hyperlink" Target="https://www.sec.gov/Archives/edgar/data/1162194/000119312522096290/d314141dex37.htm" TargetMode="External"/><Relationship Id="rId491" Type="http://schemas.openxmlformats.org/officeDocument/2006/relationships/hyperlink" Target="https://www.sec.gov/Archives/edgar/data/1162194/000110465924035297/tm249061d1_ex3-1.htm" TargetMode="External"/><Relationship Id="rId492" Type="http://schemas.openxmlformats.org/officeDocument/2006/relationships/hyperlink" Target="https://www.sec.gov/Archives/edgar/data/1162194/000110465924035297/tm249061d1_ex3-2.htm" TargetMode="External"/><Relationship Id="rId493" Type="http://schemas.openxmlformats.org/officeDocument/2006/relationships/hyperlink" Target="https://www.sec.gov/Archives/edgar/data/1162194/000119312522093794/d300506dex41.htm" TargetMode="External"/><Relationship Id="rId494" Type="http://schemas.openxmlformats.org/officeDocument/2006/relationships/hyperlink" Target="https://www.sec.gov/Archives/edgar/data/1162194/000119312514034901/d669277dex41.htm" TargetMode="External"/><Relationship Id="rId497" Type="http://schemas.openxmlformats.org/officeDocument/2006/relationships/hyperlink" Target="https://www.sec.gov/Archives/edgar/data/1162194/000119312514034901/d669277dex42.htm" TargetMode="External"/><Relationship Id="rId498" Type="http://schemas.openxmlformats.org/officeDocument/2006/relationships/hyperlink" Target="https://www.sec.gov/Archives/edgar/data/1162194/000110465919066659/tm1923592d1_ex4-1.htm" TargetMode="External"/><Relationship Id="rId499" Type="http://schemas.openxmlformats.org/officeDocument/2006/relationships/hyperlink" Target="https://www.sec.gov/Archives/edgar/data/1837412/000121390021011765/ea136455ex10-1_cmlife2.htm" TargetMode="External"/><Relationship Id="rId500" Type="http://schemas.openxmlformats.org/officeDocument/2006/relationships/hyperlink" Target="https://www.sec.gov/Archives/edgar/data/1837412/000121390021018105/ea138502ex10-1_cmlife2.htm" TargetMode="External"/><Relationship Id="rId501" Type="http://schemas.openxmlformats.org/officeDocument/2006/relationships/hyperlink" Target="https://www.sec.gov/Archives/edgar/data/1162194/000119312511016501/dex101.htm" TargetMode="External"/><Relationship Id="rId502" Type="http://schemas.openxmlformats.org/officeDocument/2006/relationships/hyperlink" Target="https://www.sec.gov/Archives/edgar/data/1162194/000095017024023845/lab-ex10_2.htm" TargetMode="External"/><Relationship Id="rId503" Type="http://schemas.openxmlformats.org/officeDocument/2006/relationships/hyperlink" Target="https://www.sec.gov/Archives/edgar/data/1162194/000116219419000033/ex101.htm" TargetMode="External"/><Relationship Id="rId504" Type="http://schemas.openxmlformats.org/officeDocument/2006/relationships/hyperlink" Target="https://www.sec.gov/Archives/edgar/data/1162194/000116219419000033/ex102.htm" TargetMode="External"/><Relationship Id="rId505" Type="http://schemas.openxmlformats.org/officeDocument/2006/relationships/hyperlink" Target="https://www.sec.gov/Archives/edgar/data/1162194/000116219421000013/exhibit102b2020secondamend.htm" TargetMode="External"/><Relationship Id="rId506" Type="http://schemas.openxmlformats.org/officeDocument/2006/relationships/hyperlink" Target="https://www.sec.gov/Archives/edgar/data/1162194/000116219415000154/ex101candalease93015.htm" TargetMode="External"/><Relationship Id="rId507" Type="http://schemas.openxmlformats.org/officeDocument/2006/relationships/hyperlink" Target="https://www.sec.gov/Archives/edgar/data/1162194/000119312510273807/dex1020.htm" TargetMode="External"/><Relationship Id="rId508" Type="http://schemas.openxmlformats.org/officeDocument/2006/relationships/hyperlink" Target="https://www.sec.gov/Archives/edgar/data/1162194/000116219414000010/exhibit1021-singaporelease.htm" TargetMode="External"/><Relationship Id="rId509" Type="http://schemas.openxmlformats.org/officeDocument/2006/relationships/hyperlink" Target="https://www.sec.gov/Archives/edgar/data/1162194/000116219415000139/exhibit1012015q2.htm" TargetMode="External"/><Relationship Id="rId511" Type="http://schemas.openxmlformats.org/officeDocument/2006/relationships/hyperlink" Target="https://www.sec.gov/Archives/edgar/data/1162194/000116219421000072/exhibit1022q2021lease-flui.htm" TargetMode="External"/><Relationship Id="rId512" Type="http://schemas.openxmlformats.org/officeDocument/2006/relationships/hyperlink" Target="https://www.sec.gov/Archives/edgar/data/1162194/000116219421000072/exhibit1032q2021lease-flui.htm" TargetMode="External"/><Relationship Id="rId513" Type="http://schemas.openxmlformats.org/officeDocument/2006/relationships/hyperlink" Target="https://www.sec.gov/Archives/edgar/data/1162194/000116219422000021/exhibit105d2021lease-fluid.htm" TargetMode="External"/><Relationship Id="rId514" Type="http://schemas.openxmlformats.org/officeDocument/2006/relationships/hyperlink" Target="https://www.sec.gov/Archives/edgar/data/1162194/000116219422000098/exhibit10110q3q2022.htm" TargetMode="External"/><Relationship Id="rId515" Type="http://schemas.openxmlformats.org/officeDocument/2006/relationships/hyperlink" Target="https://www.sec.gov/Archives/edgar/data/1162194/000116219423000024/exhibit101-sbi_firstdata.htm" TargetMode="External"/><Relationship Id="rId516" Type="http://schemas.openxmlformats.org/officeDocument/2006/relationships/hyperlink" Target="https://www.sec.gov/Archives/edgar/data/1837412/000121390022008085/ea155798ex10-1_somalogic.htm" TargetMode="External"/><Relationship Id="rId517" Type="http://schemas.openxmlformats.org/officeDocument/2006/relationships/hyperlink" Target="https://www.sec.gov/Archives/edgar/data/1837412/000121390022008085/ea155798ex10-2_somalogic.htm" TargetMode="External"/><Relationship Id="rId518" Type="http://schemas.openxmlformats.org/officeDocument/2006/relationships/hyperlink" Target="https://www.sec.gov/Archives/edgar/data/1162194/000116219420000107/exhibit10210q3q2020.htm" TargetMode="External"/><Relationship Id="rId519" Type="http://schemas.openxmlformats.org/officeDocument/2006/relationships/hyperlink" Target="https://www.sec.gov/Archives/edgar/data/1162194/000116219420000107/exhibit102a10q3q2020.htm" TargetMode="External"/><Relationship Id="rId520" Type="http://schemas.openxmlformats.org/officeDocument/2006/relationships/hyperlink" Target="https://www.sec.gov/Archives/edgar/data/1162194/000116219420000107/exhibit10310q3q2020.htm" TargetMode="External"/><Relationship Id="rId521" Type="http://schemas.openxmlformats.org/officeDocument/2006/relationships/hyperlink" Target="https://www.sec.gov/Archives/edgar/data/1162194/000116219420000107/exhibit10410q3q2020.htm" TargetMode="External"/><Relationship Id="rId524" Type="http://schemas.openxmlformats.org/officeDocument/2006/relationships/hyperlink" Target="https://www.sec.gov/Archives/edgar/data/1162194/000116219420000107/exhibit10510q3q2020.htm" TargetMode="External"/><Relationship Id="rId525" Type="http://schemas.openxmlformats.org/officeDocument/2006/relationships/hyperlink" Target="https://www.sec.gov/Archives/edgar/data/1162194/000116219420000107/exhibit10610q3q2020.htm" TargetMode="External"/><Relationship Id="rId526" Type="http://schemas.openxmlformats.org/officeDocument/2006/relationships/hyperlink" Target="https://www.sec.gov/Archives/edgar/data/1162194/000110465919066659/tm1923592d1_ex10-1.htm" TargetMode="External"/><Relationship Id="rId527" Type="http://schemas.openxmlformats.org/officeDocument/2006/relationships/hyperlink" Target="https://www.sec.gov/Archives/edgar/data/1162194/000116219420000107/exhibit101to3q20orm.htm" TargetMode="External"/><Relationship Id="rId528" Type="http://schemas.openxmlformats.org/officeDocument/2006/relationships/hyperlink" Target="https://www.sec.gov/Archives/edgar/data/1162194/000116219421000072/exhibit1012q2021radxamend3.htm" TargetMode="External"/><Relationship Id="rId529" Type="http://schemas.openxmlformats.org/officeDocument/2006/relationships/hyperlink" Target="https://www.sec.gov/Archives/edgar/data/1162194/000116219421000087/exhibit1013q2021radxamend4.htm" TargetMode="External"/><Relationship Id="rId530" Type="http://schemas.openxmlformats.org/officeDocument/2006/relationships/hyperlink" Target="https://www.sec.gov/Archives/edgar/data/1837412/000121390021011765/ea136455ex10-4_cmlife2.htm" TargetMode="External"/><Relationship Id="rId531" Type="http://schemas.openxmlformats.org/officeDocument/2006/relationships/hyperlink" Target="https://www.sec.gov/Archives/edgar/data/1162194/000119312522016151/d243622dex105.htm" TargetMode="External"/><Relationship Id="rId532" Type="http://schemas.openxmlformats.org/officeDocument/2006/relationships/hyperlink" Target="https://www.sec.gov/Archives/edgar/data/1837412/000121390021018105/ea138502ex10-6_cmlife2.htm" TargetMode="External"/><Relationship Id="rId533" Type="http://schemas.openxmlformats.org/officeDocument/2006/relationships/hyperlink" Target="https://www.sec.gov/Archives/edgar/data/1162194/000119312511078412/dex1025.htm" TargetMode="External"/><Relationship Id="rId534" Type="http://schemas.openxmlformats.org/officeDocument/2006/relationships/hyperlink" Target="https://www.sec.gov/Archives/edgar/data/1162194/000119312512498523/d453881dex1014.htm" TargetMode="External"/><Relationship Id="rId535" Type="http://schemas.openxmlformats.org/officeDocument/2006/relationships/hyperlink" Target="https://www.sec.gov/Archives/edgar/data/1162194/000119312522016151/d243622dex1010.htm" TargetMode="External"/><Relationship Id="rId536" Type="http://schemas.openxmlformats.org/officeDocument/2006/relationships/hyperlink" Target="https://www.sec.gov/Archives/edgar/data/1162194/000119312522016151/d243622dex107.htm" TargetMode="External"/><Relationship Id="rId537" Type="http://schemas.openxmlformats.org/officeDocument/2006/relationships/hyperlink" Target="https://www.sec.gov/Archives/edgar/data/1162194/000119312522016151/d243622dex109.htm" TargetMode="External"/><Relationship Id="rId541" Type="http://schemas.openxmlformats.org/officeDocument/2006/relationships/hyperlink" Target="https://www.sec.gov/Archives/edgar/data/1162194/000116219420000093/exhibit10510q2q2020.htm" TargetMode="External"/><Relationship Id="rId544" Type="http://schemas.openxmlformats.org/officeDocument/2006/relationships/hyperlink" Target="https://www.sec.gov/Archives/edgar/data/1162194/000116219423000053/a2023changeofcontrolandsev.htm" TargetMode="External"/><Relationship Id="rId546" Type="http://schemas.openxmlformats.org/officeDocument/2006/relationships/hyperlink" Target="https://www.sec.gov/Archives/edgar/data/1162194/000116219423000053/a2023severanceplanparticip.htm" TargetMode="External"/><Relationship Id="rId550" Type="http://schemas.openxmlformats.org/officeDocument/2006/relationships/hyperlink" Target="https://www.sec.gov/Archives/edgar/data/1162194/000110465924095596/tm2422827d1_ex10-1.htm" TargetMode="External"/><Relationship Id="rId552" Type="http://schemas.openxmlformats.org/officeDocument/2006/relationships/hyperlink" Target="https://www.sec.gov/Archives/edgar/data/1162194/000119312510273807/dex103.htm" TargetMode="External"/><Relationship Id="rId555" Type="http://schemas.openxmlformats.org/officeDocument/2006/relationships/hyperlink" Target="https://www.sec.gov/Archives/edgar/data/1162194/000119312510273807/dex103a.htm" TargetMode="External"/><Relationship Id="rId558" Type="http://schemas.openxmlformats.org/officeDocument/2006/relationships/hyperlink" Target="https://www.sec.gov/Archives/edgar/data/1162194/000114420417039703/v471897_ex10-2.htm" TargetMode="External"/><Relationship Id="rId563" Type="http://schemas.openxmlformats.org/officeDocument/2006/relationships/hyperlink" Target="https://www.sec.gov/Archives/edgar/data/1162194/000110465924001640/tm2333984d3_ex10-1.htm" TargetMode="External"/><Relationship Id="rId565" Type="http://schemas.openxmlformats.org/officeDocument/2006/relationships/hyperlink" Target="https://www.sec.gov/Archives/edgar/data/1162194/000157104917007659/t1702415_ex-d2.htm" TargetMode="External"/><Relationship Id="rId568" Type="http://schemas.openxmlformats.org/officeDocument/2006/relationships/hyperlink" Target="https://www.sec.gov/Archives/edgar/data/1162194/000157104917007659/t1702415_ex-d3.htm" TargetMode="External"/><Relationship Id="rId572" Type="http://schemas.openxmlformats.org/officeDocument/2006/relationships/hyperlink" Target="https://www.sec.gov/Archives/edgar/data/1162194/000157104917007659/t1702415_ex-d4.htm" TargetMode="External"/><Relationship Id="rId575" Type="http://schemas.openxmlformats.org/officeDocument/2006/relationships/hyperlink" Target="https://www.sec.gov/Archives/edgar/data/1162194/000157104917007659/t1702415_ex-d5.htm" TargetMode="External"/><Relationship Id="rId578" Type="http://schemas.openxmlformats.org/officeDocument/2006/relationships/hyperlink" Target="https://www.sec.gov/Archives/edgar/data/1162194/000157104917007659/t1702415_ex-d6.htm" TargetMode="External"/><Relationship Id="rId581" Type="http://schemas.openxmlformats.org/officeDocument/2006/relationships/hyperlink" Target="https://www.sec.gov/Archives/edgar/data/1162194/000157104917007659/t1702415_ex-d7.htm" TargetMode="External"/><Relationship Id="rId584" Type="http://schemas.openxmlformats.org/officeDocument/2006/relationships/hyperlink" Target="https://www.sec.gov/Archives/edgar/data/1162194/000116219423000053/formofpsuawardagreement.htm" TargetMode="External"/><Relationship Id="rId587" Type="http://schemas.openxmlformats.org/officeDocument/2006/relationships/hyperlink" Target="https://www.sec.gov/Archives/edgar/data/1162194/000119312517007811/d257858dex101.htm" TargetMode="External"/><Relationship Id="rId591" Type="http://schemas.openxmlformats.org/officeDocument/2006/relationships/hyperlink" Target="https://www.sec.gov/Archives/edgar/data/1162194/000116219420000076/exhibit101-amendedrest.htm" TargetMode="External"/><Relationship Id="rId592" Type="http://schemas.openxmlformats.org/officeDocument/2006/relationships/hyperlink" Target="https://www.sec.gov/Archives/edgar/data/1162194/000119312522093794/d300506dex49.htm" TargetMode="External"/><Relationship Id="rId593" Type="http://schemas.openxmlformats.org/officeDocument/2006/relationships/hyperlink" Target="https://www.sec.gov/Archives/edgar/data/1162194/000119312522093794/d300506dex991.htm" TargetMode="External"/><Relationship Id="rId594" Type="http://schemas.openxmlformats.org/officeDocument/2006/relationships/hyperlink" Target="https://www.sec.gov/Archives/edgar/data/1162194/000119312522093794/d300506dex992.htm" TargetMode="External"/><Relationship Id="rId595" Type="http://schemas.openxmlformats.org/officeDocument/2006/relationships/hyperlink" Target="https://www.sec.gov/Archives/edgar/data/1837412/000121390021026384/fs42021ex10-7_cmlifesci2.htm" TargetMode="External"/><Relationship Id="rId596" Type="http://schemas.openxmlformats.org/officeDocument/2006/relationships/hyperlink" Target="https://www.sec.gov/Archives/edgar/data/1837412/000121390021026384/fs42021ex10-8_cmlifesci2.htm" TargetMode="External"/><Relationship Id="rId597" Type="http://schemas.openxmlformats.org/officeDocument/2006/relationships/hyperlink" Target="https://www.sec.gov/Archives/edgar/data/1837412/000121390021026384/fs42021ex10-9_cmlifesci2.htm" TargetMode="External"/><Relationship Id="rId598" Type="http://schemas.openxmlformats.org/officeDocument/2006/relationships/hyperlink" Target="https://www.sec.gov/Archives/edgar/data/1837412/000121390021026384/fs42021ex10-10_cmlifesci2.htm" TargetMode="External"/><Relationship Id="rId599" Type="http://schemas.openxmlformats.org/officeDocument/2006/relationships/hyperlink" Target="https://www.sec.gov/Archives/edgar/data/1837412/000121390021026384/fs42021ex10-11_cmlifesci2.htm" TargetMode="External"/><Relationship Id="rId600" Type="http://schemas.openxmlformats.org/officeDocument/2006/relationships/hyperlink" Target="https://www.sec.gov/Archives/edgar/data/1837412/000121390021040546/fs42021a3_cmlifesci2.htm" TargetMode="External"/><Relationship Id="rId601" Type="http://schemas.openxmlformats.org/officeDocument/2006/relationships/hyperlink" Target="https://www.sec.gov/Archives/edgar/data/1837412/000121390021034237/fs42021a1ex10-3_cmlifesci2.htm" TargetMode="External"/><Relationship Id="rId602" Type="http://schemas.openxmlformats.org/officeDocument/2006/relationships/hyperlink" Target="https://www.sec.gov/Archives/edgar/data/1837412/000121390021034237/fs42021a1ex10-4_cmlifesci2.htm" TargetMode="External"/><Relationship Id="rId603" Type="http://schemas.openxmlformats.org/officeDocument/2006/relationships/hyperlink" Target="https://www.sec.gov/Archives/edgar/data/1837412/000121390021034237/fs42021a1ex10-5_cmlifesci2.htm" TargetMode="External"/><Relationship Id="rId604" Type="http://schemas.openxmlformats.org/officeDocument/2006/relationships/hyperlink" Target="https://www.sec.gov/Archives/edgar/data/1837412/000121390021034237/fs42021a1ex10-6_cmlifesci2.htm" TargetMode="External"/><Relationship Id="rId605" Type="http://schemas.openxmlformats.org/officeDocument/2006/relationships/hyperlink" Target="https://www.sec.gov/Archives/edgar/data/1837412/000121390021034237/fs42021a1ex10-7_cmlifesci2.htm" TargetMode="External"/><Relationship Id="rId606" Type="http://schemas.openxmlformats.org/officeDocument/2006/relationships/hyperlink" Target="https://www.sec.gov/Archives/edgar/data/1837412/000162828023037928/a2023q3exhibit101.htm" TargetMode="External"/><Relationship Id="rId607" Type="http://schemas.openxmlformats.org/officeDocument/2006/relationships/hyperlink" Target="https://www.sec.gov/Archives/edgar/data/1837412/000121390023050975/ea180749ex10-1_somalogic.htm" TargetMode="External"/><Relationship Id="rId608" Type="http://schemas.openxmlformats.org/officeDocument/2006/relationships/hyperlink" Target="https://www.sec.gov/Archives/edgar/data/1837412/000162828023009564/a2022q4exhibit1038.htm" TargetMode="External"/><Relationship Id="rId610" Type="http://schemas.openxmlformats.org/officeDocument/2006/relationships/hyperlink" Target="https://www.sec.gov/Archives/edgar/data/1837412/000162828022007711/a2021q4ex1036illuminaagree.htm" TargetMode="External"/><Relationship Id="rId611" Type="http://schemas.openxmlformats.org/officeDocument/2006/relationships/hyperlink" Target="https://www.sec.gov/Archives/edgar/data/1837412/000162828023029431/a2023q2exhibit101.htm" TargetMode="External"/><Relationship Id="rId612" Type="http://schemas.openxmlformats.org/officeDocument/2006/relationships/hyperlink" Target="https://www.sec.gov/Archives/edgar/data/1837412/000162828022007711/a2021q4ex1034agilentsupply.htm" TargetMode="External"/><Relationship Id="rId613" Type="http://schemas.openxmlformats.org/officeDocument/2006/relationships/hyperlink" Target="https://www.sec.gov/Archives/edgar/data/1162194/000110465924053067/tm2412575d1_ex10-96.htm" TargetMode="External"/><Relationship Id="rId614" Type="http://schemas.openxmlformats.org/officeDocument/2006/relationships/hyperlink" Target="https://www.sec.gov/Archives/edgar/data/1162194/000110465924035297/tm249061d1_ex10-1.htm" TargetMode="External"/><Relationship Id="rId615" Type="http://schemas.openxmlformats.org/officeDocument/2006/relationships/hyperlink" Target="https://www.sec.gov/Archives/edgar/data/1162194/000095017024023845/lab-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2025-03-11T05:25:57Z</dcterms:created>
  <dcterms:modified xsi:type="dcterms:W3CDTF">2025-03-11T05:25:57Z</dcterms:modified>
</cp:coreProperties>
</file>