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jc w:val="left"/>
        <w:rPr/>
      </w:pPr>
      <w:bookmarkStart w:id="0" w:name="lab-20260722.htm"/>
      <w:bookmarkStart w:id="1" w:name="kslab20260722"/>
      <w:bookmarkEnd w:id="0"/>
      <w:bookmarkEnd w:id="1"/>
      <w:r>
        <w:rPr/>
        <w:t> </w:t>
      </w:r>
    </w:p>
    <w:p>
      <w:pPr>
        <w:pStyle w:val="TextBody"/>
        <w:bidi w:val="0"/>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6" w:space="1" w:color="000000"/>
        </w:pBdr>
        <w:bidi w:val="0"/>
        <w:jc w:val="center"/>
        <w:rPr/>
      </w:pPr>
      <w:r>
        <w:rPr/>
        <w:t> </w:t>
      </w:r>
    </w:p>
    <w:p>
      <w:pPr>
        <w:pStyle w:val="TextBody"/>
        <w:bidi w:val="0"/>
        <w:spacing w:before="200" w:after="283"/>
        <w:jc w:val="center"/>
        <w:rPr>
          <w:rFonts w:ascii="Times New Roman" w:hAnsi="Times New Roman"/>
          <w:b/>
          <w:color w:val="000000"/>
          <w:sz w:val="28"/>
        </w:rPr>
      </w:pPr>
      <w:r>
        <w:rPr>
          <w:rFonts w:ascii="Times New Roman" w:hAnsi="Times New Roman"/>
          <w:b/>
          <w:color w:val="000000"/>
          <w:sz w:val="28"/>
        </w:rPr>
        <w:t>FORM 8-K</w:t>
      </w:r>
    </w:p>
    <w:p>
      <w:pPr>
        <w:pStyle w:val="TextBody"/>
        <w:pBdr>
          <w:bottom w:val="single" w:sz="6" w:space="1" w:color="000000"/>
        </w:pBdr>
        <w:bidi w:val="0"/>
        <w:jc w:val="center"/>
        <w:rPr/>
      </w:pPr>
      <w:r>
        <w:rPr/>
        <w:t> </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CURRENT REPORT</w:t>
      </w:r>
    </w:p>
    <w:p>
      <w:pPr>
        <w:pStyle w:val="TextBody"/>
        <w:bidi w:val="0"/>
        <w:jc w:val="center"/>
        <w:rPr>
          <w:rFonts w:ascii="Times New Roman" w:hAnsi="Times New Roman"/>
          <w:color w:val="000000"/>
          <w:sz w:val="20"/>
        </w:rPr>
      </w:pPr>
      <w:r>
        <w:rPr>
          <w:rFonts w:ascii="Times New Roman" w:hAnsi="Times New Roman"/>
          <w:color w:val="000000"/>
          <w:sz w:val="20"/>
        </w:rPr>
        <w:t>Pursuant to Section 13 or 15(d) of the Securities Exchange Act of 1934</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Date of Report (date of earliest event reported): July 22, 2026</w:t>
      </w:r>
    </w:p>
    <w:p>
      <w:pPr>
        <w:pStyle w:val="TextBody"/>
        <w:pBdr>
          <w:bottom w:val="single" w:sz="6" w:space="1" w:color="000000"/>
        </w:pBdr>
        <w:bidi w:val="0"/>
        <w:jc w:val="center"/>
        <w:rPr/>
      </w:pPr>
      <w:r>
        <w:rPr/>
        <w:t> </w:t>
      </w:r>
    </w:p>
    <w:p>
      <w:pPr>
        <w:pStyle w:val="TextBody"/>
        <w:bidi w:val="0"/>
        <w:spacing w:before="200" w:after="283"/>
        <w:jc w:val="center"/>
        <w:rPr>
          <w:rFonts w:ascii="Times New Roman" w:hAnsi="Times New Roman"/>
          <w:b/>
          <w:color w:val="000000"/>
          <w:sz w:val="32"/>
        </w:rPr>
      </w:pPr>
      <w:r>
        <w:rPr>
          <w:rFonts w:ascii="Times New Roman" w:hAnsi="Times New Roman"/>
          <w:b/>
          <w:color w:val="000000"/>
          <w:sz w:val="32"/>
        </w:rPr>
        <w:t>Standard BioTools Inc.</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pBdr>
          <w:bottom w:val="single" w:sz="6" w:space="1" w:color="000000"/>
        </w:pBdr>
        <w:bidi w:val="0"/>
        <w:jc w:val="center"/>
        <w:rPr/>
      </w:pPr>
      <w:r>
        <w:rPr/>
        <w:t> </w:t>
      </w:r>
    </w:p>
    <w:p>
      <w:pPr>
        <w:pStyle w:val="TextBody"/>
        <w:bidi w:val="0"/>
        <w:jc w:val="left"/>
        <w:rPr/>
      </w:pPr>
      <w:r>
        <w:rPr/>
        <w:t> </w:t>
      </w:r>
    </w:p>
    <w:tbl>
      <w:tblPr>
        <w:tblW w:w="8193" w:type="dxa"/>
        <w:jc w:val="left"/>
        <w:tblInd w:w="0" w:type="dxa"/>
        <w:tblLayout w:type="fixed"/>
        <w:tblCellMar>
          <w:top w:w="28" w:type="dxa"/>
          <w:left w:w="28" w:type="dxa"/>
          <w:bottom w:w="28" w:type="dxa"/>
          <w:right w:w="28" w:type="dxa"/>
        </w:tblCellMar>
      </w:tblPr>
      <w:tblGrid>
        <w:gridCol w:w="2506"/>
        <w:gridCol w:w="2296"/>
        <w:gridCol w:w="3391"/>
      </w:tblGrid>
      <w:tr>
        <w:trPr/>
        <w:tc>
          <w:tcPr>
            <w:tcW w:w="2506"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3391" w:type="dxa"/>
            <w:tcBorders/>
            <w:vAlign w:val="center"/>
          </w:tcPr>
          <w:p>
            <w:pPr>
              <w:pStyle w:val="TableContents"/>
              <w:bidi w:val="0"/>
              <w:spacing w:before="0" w:after="283"/>
              <w:jc w:val="left"/>
              <w:rPr>
                <w:sz w:val="4"/>
                <w:szCs w:val="4"/>
              </w:rPr>
            </w:pPr>
            <w:r>
              <w:rPr>
                <w:sz w:val="4"/>
                <w:szCs w:val="4"/>
              </w:rPr>
            </w:r>
          </w:p>
        </w:tc>
      </w:tr>
      <w:tr>
        <w:trPr/>
        <w:tc>
          <w:tcPr>
            <w:tcW w:w="250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Delaware</w:t>
            </w:r>
          </w:p>
          <w:p>
            <w:pPr>
              <w:pStyle w:val="TableContents"/>
              <w:bidi w:val="0"/>
              <w:jc w:val="center"/>
              <w:rPr>
                <w:rFonts w:ascii="Times New Roman" w:hAnsi="Times New Roman"/>
                <w:color w:val="000000"/>
                <w:sz w:val="20"/>
              </w:rPr>
            </w:pPr>
            <w:r>
              <w:rPr>
                <w:rFonts w:ascii="Times New Roman" w:hAnsi="Times New Roman"/>
                <w:color w:val="000000"/>
                <w:sz w:val="20"/>
              </w:rPr>
              <w:t xml:space="preserve">(State or other jurisdiction of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incorporation)</w:t>
            </w:r>
          </w:p>
        </w:tc>
        <w:tc>
          <w:tcPr>
            <w:tcW w:w="229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001-34180</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(Commission File Number)</w:t>
            </w:r>
          </w:p>
        </w:tc>
        <w:tc>
          <w:tcPr>
            <w:tcW w:w="339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77-0513190</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(I.R.S. Employer Identification Number)</w:t>
            </w:r>
          </w:p>
        </w:tc>
      </w:tr>
      <w:tr>
        <w:trPr/>
        <w:tc>
          <w:tcPr>
            <w:tcW w:w="8193"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50 Milk Street, 10th Floor</w:t>
            </w:r>
          </w:p>
          <w:p>
            <w:pPr>
              <w:pStyle w:val="TableContents"/>
              <w:bidi w:val="0"/>
              <w:spacing w:before="0" w:after="283"/>
              <w:jc w:val="center"/>
              <w:rPr>
                <w:rFonts w:ascii="Times New Roman" w:hAnsi="Times New Roman"/>
                <w:sz w:val="20"/>
              </w:rPr>
            </w:pPr>
            <w:r>
              <w:rPr>
                <w:rFonts w:ascii="Times New Roman" w:hAnsi="Times New Roman"/>
                <w:b/>
                <w:color w:val="000000"/>
                <w:sz w:val="20"/>
              </w:rPr>
              <w:t>Boston, Massachusetts</w:t>
            </w:r>
            <w:r>
              <w:rPr>
                <w:rFonts w:ascii="Times New Roman" w:hAnsi="Times New Roman"/>
                <w:color w:val="000000"/>
                <w:sz w:val="20"/>
              </w:rPr>
              <w:t xml:space="preserve"> </w:t>
            </w:r>
            <w:r>
              <w:rPr>
                <w:rFonts w:ascii="Times New Roman" w:hAnsi="Times New Roman"/>
                <w:b/>
                <w:color w:val="000000"/>
                <w:sz w:val="20"/>
              </w:rPr>
              <w:t>02109</w:t>
            </w:r>
          </w:p>
        </w:tc>
      </w:tr>
      <w:tr>
        <w:trPr/>
        <w:tc>
          <w:tcPr>
            <w:tcW w:w="8193" w:type="dxa"/>
            <w:gridSpan w:val="3"/>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(Address of principal executive offices and zip code)</w:t>
            </w:r>
          </w:p>
        </w:tc>
      </w:tr>
      <w:tr>
        <w:trPr/>
        <w:tc>
          <w:tcPr>
            <w:tcW w:w="8193"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(650) 266-6000</w:t>
            </w:r>
          </w:p>
        </w:tc>
      </w:tr>
      <w:tr>
        <w:trPr/>
        <w:tc>
          <w:tcPr>
            <w:tcW w:w="8193"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(Registrant's telephone number, including area code)</w:t>
            </w:r>
          </w:p>
        </w:tc>
      </w:tr>
    </w:tbl>
    <w:p>
      <w:pPr>
        <w:pStyle w:val="TextBody"/>
        <w:pBdr>
          <w:bottom w:val="single" w:sz="6" w:space="1" w:color="000000"/>
        </w:pBdr>
        <w:bidi w:val="0"/>
        <w:jc w:val="center"/>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jc w:val="left"/>
        <w:rPr/>
      </w:pPr>
      <w:r>
        <w:rPr/>
        <w:t> </w:t>
      </w:r>
    </w:p>
    <w:tbl>
      <w:tblPr>
        <w:tblW w:w="9530" w:type="dxa"/>
        <w:jc w:val="left"/>
        <w:tblInd w:w="0" w:type="dxa"/>
        <w:tblLayout w:type="fixed"/>
        <w:tblCellMar>
          <w:top w:w="28" w:type="dxa"/>
          <w:left w:w="28" w:type="dxa"/>
          <w:bottom w:w="28" w:type="dxa"/>
          <w:right w:w="28" w:type="dxa"/>
        </w:tblCellMar>
      </w:tblPr>
      <w:tblGrid>
        <w:gridCol w:w="349"/>
        <w:gridCol w:w="9181"/>
      </w:tblGrid>
      <w:tr>
        <w:trPr/>
        <w:tc>
          <w:tcPr>
            <w:tcW w:w="349"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49" w:type="dxa"/>
            <w:tcBorders/>
            <w:tcMar>
              <w:top w:w="0" w:type="dxa"/>
              <w:left w:w="0" w:type="dxa"/>
              <w:bottom w:w="0" w:type="dxa"/>
              <w:right w:w="0" w:type="dxa"/>
            </w:tcMar>
            <w:vAlign w:val="center"/>
          </w:tcPr>
          <w:p>
            <w:pPr>
              <w:pStyle w:val="TableContents"/>
              <w:bidi w:val="0"/>
              <w:spacing w:before="0" w:after="283"/>
              <w:ind w:left="0" w:right="0" w:firstLine="18"/>
              <w:jc w:val="center"/>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ind w:left="0" w:right="0" w:firstLine="18"/>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49" w:type="dxa"/>
            <w:tcBorders/>
            <w:tcMar>
              <w:top w:w="0" w:type="dxa"/>
              <w:left w:w="0" w:type="dxa"/>
              <w:bottom w:w="0" w:type="dxa"/>
              <w:right w:w="0" w:type="dxa"/>
            </w:tcMar>
            <w:vAlign w:val="center"/>
          </w:tcPr>
          <w:p>
            <w:pPr>
              <w:pStyle w:val="TableContents"/>
              <w:bidi w:val="0"/>
              <w:spacing w:before="200" w:after="283"/>
              <w:jc w:val="center"/>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49" w:type="dxa"/>
            <w:tcBorders/>
            <w:tcMar>
              <w:top w:w="0" w:type="dxa"/>
              <w:left w:w="0" w:type="dxa"/>
              <w:bottom w:w="0" w:type="dxa"/>
              <w:right w:w="0" w:type="dxa"/>
            </w:tcMar>
            <w:vAlign w:val="center"/>
          </w:tcPr>
          <w:p>
            <w:pPr>
              <w:pStyle w:val="TableContents"/>
              <w:bidi w:val="0"/>
              <w:spacing w:before="200" w:after="283"/>
              <w:jc w:val="center"/>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49" w:type="dxa"/>
            <w:tcBorders/>
            <w:tcMar>
              <w:top w:w="0" w:type="dxa"/>
              <w:left w:w="0" w:type="dxa"/>
              <w:bottom w:w="0" w:type="dxa"/>
              <w:right w:w="0" w:type="dxa"/>
            </w:tcMar>
            <w:vAlign w:val="center"/>
          </w:tcPr>
          <w:p>
            <w:pPr>
              <w:pStyle w:val="TableContents"/>
              <w:bidi w:val="0"/>
              <w:spacing w:before="200" w:after="283"/>
              <w:jc w:val="center"/>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tbl>
      <w:tblPr>
        <w:tblW w:w="9190" w:type="dxa"/>
        <w:jc w:val="left"/>
        <w:tblInd w:w="0" w:type="dxa"/>
        <w:tblLayout w:type="fixed"/>
        <w:tblCellMar>
          <w:top w:w="28" w:type="dxa"/>
          <w:left w:w="28" w:type="dxa"/>
          <w:bottom w:w="28" w:type="dxa"/>
          <w:right w:w="28" w:type="dxa"/>
        </w:tblCellMar>
      </w:tblPr>
      <w:tblGrid>
        <w:gridCol w:w="3571"/>
        <w:gridCol w:w="146"/>
        <w:gridCol w:w="1501"/>
        <w:gridCol w:w="146"/>
        <w:gridCol w:w="3826"/>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9190" w:type="dxa"/>
            <w:gridSpan w:val="5"/>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tc>
      </w:tr>
      <w:tr>
        <w:trPr/>
        <w:tc>
          <w:tcPr>
            <w:tcW w:w="35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5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8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LAB</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bidi w:val="0"/>
        <w:spacing w:before="0" w:after="12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120"/>
        <w:jc w:val="left"/>
        <w:rPr/>
      </w:pPr>
      <w:r>
        <w:rPr/>
        <w:t>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Item 3.01. Notice of Delisting or Failure to Satisfy a Continued Listing Rule or Standard; Transfer of Listing</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On July 22, 2026, Standard BioTools Inc. (NASDAQ: LAB) (the “Company”) received a notification letter (the “Notice”) from the Listing Qualifications Department (the “Staff”) of The Nasdaq Stock Market LLC (the “Nasdaq”) indicating that the Company did not meet the minimum bid price requirement set forth in Nasdaq’s Listing Rules for continued listing on The Nasdaq Global Select Market. The Notice follows a 30-day period during which the Company’s share price closed below the $1.00 threshold established under Nasdaq Listing Rule 5450(a)(1) (the “Minimum Bid Price Requirement”). Under Nasdaq Listing Rule 5810(c)(3)(A), the occurrence of a closing bid price below $1.00 per share for a period of 30 consecutive business days triggers an automatic compliance period of 180 calendar days.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Notice has no immediate effect on the listing or trading of the Company’s common stock on The Nasdaq Global Select Market, which will continue to trade uninterrupted on Nasdaq under the ticker “LAB”. The Notice also does not affect the ongoing business operations of the Company or its reporting requirements with the Securities and Exchange Commission.</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The Company now has a period of 180 calendar days from the date of the Notice, or until January 19, 2027, to regain compliance with the Minimum Bid Price Requirement for a minimum of 10 consecutive business days. Should the Company meet all other continued listing standards for The Nasdaq Global Select Market, the Company may be eligible for an additional 180-day compliance period (unless the Staff exercises its discretion to extend this ten-day period pursuant to Nasdaq Listing Rule 5810(c)(3)(H)). To qualify, the Company would need to transfer the listing of its common stock to The Nasdaq Capital Market and meet the continued listing requirement for the market value of publicly held shares and all other initial listing standards, with the exception of the Minimum Bid Price Requirement. To effect such a transfer, the Company would also need to pay an application fee to Nasdaq and would need to provide written notice to the Staff of the Company’s intention to cure the deficiency during the additional compliance period, for example, by implementing a reverse stock split, if necessary.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Company intends to work toward restoring compliance within the prescribed timeframe. However, there can be no assurance that the Company will be able to regain compliance with the Minimum Bid Price Requirement or that the Staff will grant the Company a further extension of time to regain compliance, if applicable.</w:t>
      </w:r>
    </w:p>
    <w:p>
      <w:pPr>
        <w:pStyle w:val="TextBody"/>
        <w:bidi w:val="0"/>
        <w:jc w:val="left"/>
        <w:rPr/>
      </w:pPr>
      <w:r>
        <w:rPr/>
        <w:t> </w:t>
      </w:r>
    </w:p>
    <w:p>
      <w:pPr>
        <w:pStyle w:val="TextBody"/>
        <w:bidi w:val="0"/>
        <w:jc w:val="left"/>
        <w:rPr/>
      </w:pPr>
      <w:r>
        <w:rPr/>
        <w:t> </w:t>
      </w:r>
    </w:p>
    <w:p>
      <w:pPr>
        <w:pStyle w:val="TextBody"/>
        <w:bidi w:val="0"/>
        <w:spacing w:before="0" w:after="12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120"/>
        <w:jc w:val="left"/>
        <w:rPr/>
      </w:pPr>
      <w:r>
        <w:rPr/>
        <w:t> </w:t>
      </w:r>
    </w:p>
    <w:p>
      <w:pPr>
        <w:pStyle w:val="TextBody"/>
        <w:bidi w:val="0"/>
        <w:jc w:val="left"/>
        <w:rPr/>
      </w:pPr>
      <w:r>
        <w:rPr/>
        <w:t> </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120"/>
        <w:jc w:val="left"/>
        <w:rPr/>
      </w:pPr>
      <w:r>
        <w:rPr/>
        <w:t> </w:t>
      </w:r>
    </w:p>
    <w:tbl>
      <w:tblPr>
        <w:tblW w:w="4932" w:type="dxa"/>
        <w:jc w:val="left"/>
        <w:tblInd w:w="0" w:type="dxa"/>
        <w:tblLayout w:type="fixed"/>
        <w:tblCellMar>
          <w:top w:w="28" w:type="dxa"/>
          <w:left w:w="28" w:type="dxa"/>
          <w:bottom w:w="28" w:type="dxa"/>
          <w:right w:w="28" w:type="dxa"/>
        </w:tblCellMar>
      </w:tblPr>
      <w:tblGrid>
        <w:gridCol w:w="556"/>
        <w:gridCol w:w="146"/>
        <w:gridCol w:w="1216"/>
        <w:gridCol w:w="166"/>
        <w:gridCol w:w="651"/>
        <w:gridCol w:w="166"/>
        <w:gridCol w:w="2031"/>
      </w:tblGrid>
      <w:tr>
        <w:trPr/>
        <w:tc>
          <w:tcPr>
            <w:tcW w:w="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3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24, 2026</w:t>
            </w:r>
          </w:p>
        </w:tc>
        <w:tc>
          <w:tcPr>
            <w:tcW w:w="166"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2848" w:type="dxa"/>
            <w:gridSpan w:val="3"/>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b/>
                <w:color w:val="000000"/>
                <w:sz w:val="20"/>
              </w:rPr>
            </w:pPr>
            <w:r>
              <w:rPr>
                <w:rFonts w:ascii="Times New Roman" w:hAnsi="Times New Roman"/>
                <w:b/>
                <w:color w:val="000000"/>
                <w:sz w:val="20"/>
              </w:rPr>
              <w:t>STANDARD BIOTOOLS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20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651"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20"/>
              </w:rPr>
            </w:pPr>
            <w:r>
              <w:rPr>
                <w:rFonts w:ascii="Times New Roman" w:hAnsi="Times New Roman"/>
                <w:color w:val="000000"/>
                <w:sz w:val="20"/>
              </w:rPr>
              <w:t>By:</w:t>
            </w:r>
          </w:p>
        </w:tc>
        <w:tc>
          <w:tcPr>
            <w:tcW w:w="166"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2031" w:type="dxa"/>
            <w:tcBorders>
              <w:bottom w:val="single" w:sz="4" w:space="0" w:color="000000"/>
            </w:tcBorders>
            <w:tcMar>
              <w:top w:w="0" w:type="dxa"/>
              <w:left w:w="0" w:type="dxa"/>
              <w:right w:w="0" w:type="dxa"/>
            </w:tcMar>
            <w:vAlign w:val="center"/>
          </w:tcPr>
          <w:p>
            <w:pPr>
              <w:pStyle w:val="TableContents"/>
              <w:bidi w:val="0"/>
              <w:spacing w:before="0" w:after="283"/>
              <w:ind w:left="0" w:right="0" w:firstLine="20"/>
              <w:jc w:val="left"/>
              <w:rPr>
                <w:rFonts w:ascii="Times New Roman" w:hAnsi="Times New Roman"/>
                <w:color w:val="000000"/>
                <w:sz w:val="20"/>
              </w:rPr>
            </w:pPr>
            <w:r>
              <w:rPr>
                <w:rFonts w:ascii="Times New Roman" w:hAnsi="Times New Roman"/>
                <w:color w:val="000000"/>
                <w:sz w:val="20"/>
              </w:rPr>
              <w:t>/s/ Alex Kim</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651"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20"/>
              </w:rPr>
            </w:pPr>
            <w:r>
              <w:rPr>
                <w:rFonts w:ascii="Times New Roman" w:hAnsi="Times New Roman"/>
                <w:color w:val="000000"/>
                <w:sz w:val="20"/>
              </w:rPr>
              <w:t>Name:</w:t>
            </w:r>
          </w:p>
        </w:tc>
        <w:tc>
          <w:tcPr>
            <w:tcW w:w="166"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2031"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20"/>
              </w:rPr>
            </w:pPr>
            <w:r>
              <w:rPr>
                <w:rFonts w:ascii="Times New Roman" w:hAnsi="Times New Roman"/>
                <w:color w:val="000000"/>
                <w:sz w:val="20"/>
              </w:rPr>
              <w:t>Alex Kim</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651"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20"/>
              </w:rPr>
            </w:pPr>
            <w:r>
              <w:rPr>
                <w:rFonts w:ascii="Times New Roman" w:hAnsi="Times New Roman"/>
                <w:color w:val="000000"/>
                <w:sz w:val="20"/>
              </w:rPr>
              <w:t>Title:</w:t>
            </w:r>
          </w:p>
        </w:tc>
        <w:tc>
          <w:tcPr>
            <w:tcW w:w="166"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2031"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spacing w:before="0" w:after="12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766</Words>
  <Characters>4131</Characters>
  <CharactersWithSpaces>4893</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