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21"/>
          <w:szCs w:val="21"/>
          <w:b w:val="1"/>
          <w:bCs w:val="1"/>
          <w:color w:val="auto"/>
        </w:rPr>
        <w:t>ANNUAL REPORT PURSUANT TO SECTION 13 OR 15(d) OF THE SECURITIES EXCHANGE ACT OF 1934</w:t>
      </w:r>
    </w:p>
    <w:p>
      <w:pPr>
        <w:spacing w:after="0" w:line="25"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2017</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3700" w:type="dxa"/>
            <w:vAlign w:val="bottom"/>
            <w:gridSpan w:val="3"/>
          </w:tcPr>
          <w:p>
            <w:pPr>
              <w:ind w:left="440"/>
              <w:spacing w:after="0"/>
              <w:rPr>
                <w:sz w:val="20"/>
                <w:szCs w:val="20"/>
                <w:color w:val="auto"/>
              </w:rPr>
            </w:pPr>
            <w:r>
              <w:rPr>
                <w:rFonts w:ascii="Arial" w:cs="Arial" w:eastAsia="Arial" w:hAnsi="Arial"/>
                <w:sz w:val="22"/>
                <w:szCs w:val="22"/>
                <w:b w:val="1"/>
                <w:bCs w:val="1"/>
                <w:color w:val="auto"/>
              </w:rPr>
              <w:t>For the transition period from</w:t>
            </w:r>
          </w:p>
        </w:tc>
        <w:tc>
          <w:tcPr>
            <w:tcW w:w="3720" w:type="dxa"/>
            <w:vAlign w:val="bottom"/>
          </w:tcPr>
          <w:p>
            <w:pPr>
              <w:ind w:left="180"/>
              <w:spacing w:after="0"/>
              <w:rPr>
                <w:sz w:val="20"/>
                <w:szCs w:val="20"/>
                <w:color w:val="auto"/>
              </w:rPr>
            </w:pPr>
            <w:r>
              <w:rPr>
                <w:rFonts w:ascii="Arial" w:cs="Arial" w:eastAsia="Arial" w:hAnsi="Arial"/>
                <w:sz w:val="22"/>
                <w:szCs w:val="22"/>
                <w:b w:val="1"/>
                <w:bCs w:val="1"/>
                <w:color w:val="auto"/>
              </w:rPr>
              <w:t>to</w:t>
            </w: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2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720" w:type="dxa"/>
            <w:vAlign w:val="bottom"/>
          </w:tcPr>
          <w:p>
            <w:pPr>
              <w:jc w:val="center"/>
              <w:ind w:left="208"/>
              <w:spacing w:after="0"/>
              <w:rPr>
                <w:sz w:val="20"/>
                <w:szCs w:val="20"/>
                <w:color w:val="auto"/>
              </w:rPr>
            </w:pPr>
            <w:r>
              <w:rPr>
                <w:rFonts w:ascii="Arial" w:cs="Arial" w:eastAsia="Arial" w:hAnsi="Arial"/>
                <w:sz w:val="22"/>
                <w:szCs w:val="22"/>
                <w:b w:val="1"/>
                <w:bCs w:val="1"/>
                <w:color w:val="auto"/>
                <w:w w:val="88"/>
              </w:rPr>
              <w:t>Commission file number: 001-34180</w:t>
            </w:r>
          </w:p>
        </w:tc>
        <w:tc>
          <w:tcPr>
            <w:tcW w:w="26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3"/>
        </w:trPr>
        <w:tc>
          <w:tcPr>
            <w:tcW w:w="2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jc w:val="center"/>
              <w:ind w:left="208"/>
              <w:spacing w:after="0"/>
              <w:rPr>
                <w:sz w:val="20"/>
                <w:szCs w:val="20"/>
                <w:color w:val="auto"/>
              </w:rPr>
            </w:pPr>
            <w:r>
              <w:rPr>
                <w:rFonts w:ascii="Arial" w:cs="Arial" w:eastAsia="Arial" w:hAnsi="Arial"/>
                <w:sz w:val="18"/>
                <w:szCs w:val="18"/>
                <w:color w:val="auto"/>
                <w:w w:val="89"/>
              </w:rPr>
              <w:t>______________________________________</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89"/>
        </w:trPr>
        <w:tc>
          <w:tcPr>
            <w:tcW w:w="2100" w:type="dxa"/>
            <w:vAlign w:val="bottom"/>
          </w:tcPr>
          <w:p>
            <w:pPr>
              <w:spacing w:after="0"/>
              <w:rPr>
                <w:sz w:val="24"/>
                <w:szCs w:val="24"/>
                <w:color w:val="auto"/>
              </w:rPr>
            </w:pPr>
          </w:p>
        </w:tc>
        <w:tc>
          <w:tcPr>
            <w:tcW w:w="8900" w:type="dxa"/>
            <w:vAlign w:val="bottom"/>
            <w:gridSpan w:val="5"/>
          </w:tcPr>
          <w:p>
            <w:pPr>
              <w:jc w:val="center"/>
              <w:ind w:right="1660"/>
              <w:spacing w:after="0"/>
              <w:rPr>
                <w:sz w:val="20"/>
                <w:szCs w:val="20"/>
                <w:color w:val="auto"/>
              </w:rPr>
            </w:pPr>
            <w:r>
              <w:rPr>
                <w:rFonts w:ascii="Arial" w:cs="Arial" w:eastAsia="Arial" w:hAnsi="Arial"/>
                <w:sz w:val="40"/>
                <w:szCs w:val="40"/>
                <w:b w:val="1"/>
                <w:bCs w:val="1"/>
                <w:color w:val="auto"/>
              </w:rPr>
              <w:t>FLUIDIGM CORPORATION</w:t>
            </w:r>
          </w:p>
        </w:tc>
      </w:tr>
      <w:tr>
        <w:trPr>
          <w:trHeight w:val="234"/>
        </w:trPr>
        <w:tc>
          <w:tcPr>
            <w:tcW w:w="2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300" w:type="dxa"/>
            <w:vAlign w:val="bottom"/>
            <w:gridSpan w:val="3"/>
          </w:tcPr>
          <w:p>
            <w:pPr>
              <w:jc w:val="center"/>
              <w:ind w:right="328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378"/>
        </w:trPr>
        <w:tc>
          <w:tcPr>
            <w:tcW w:w="2100" w:type="dxa"/>
            <w:vAlign w:val="bottom"/>
          </w:tcPr>
          <w:p>
            <w:pPr>
              <w:spacing w:after="0"/>
              <w:rPr>
                <w:sz w:val="24"/>
                <w:szCs w:val="24"/>
                <w:color w:val="auto"/>
              </w:rPr>
            </w:pPr>
          </w:p>
        </w:tc>
        <w:tc>
          <w:tcPr>
            <w:tcW w:w="160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77-0513190</w:t>
            </w:r>
          </w:p>
        </w:tc>
        <w:tc>
          <w:tcPr>
            <w:tcW w:w="900" w:type="dxa"/>
            <w:vAlign w:val="bottom"/>
          </w:tcPr>
          <w:p>
            <w:pPr>
              <w:spacing w:after="0"/>
              <w:rPr>
                <w:sz w:val="24"/>
                <w:szCs w:val="24"/>
                <w:color w:val="auto"/>
              </w:rPr>
            </w:pPr>
          </w:p>
        </w:tc>
      </w:tr>
      <w:tr>
        <w:trPr>
          <w:trHeight w:val="180"/>
        </w:trPr>
        <w:tc>
          <w:tcPr>
            <w:tcW w:w="3700" w:type="dxa"/>
            <w:vAlign w:val="bottom"/>
            <w:gridSpan w:val="3"/>
          </w:tcPr>
          <w:p>
            <w:pPr>
              <w:jc w:val="center"/>
              <w:ind w:left="1713"/>
              <w:spacing w:after="0"/>
              <w:rPr>
                <w:sz w:val="20"/>
                <w:szCs w:val="20"/>
                <w:color w:val="auto"/>
              </w:rPr>
            </w:pPr>
            <w:r>
              <w:rPr>
                <w:rFonts w:ascii="Arial" w:cs="Arial" w:eastAsia="Arial" w:hAnsi="Arial"/>
                <w:sz w:val="14"/>
                <w:szCs w:val="14"/>
                <w:b w:val="1"/>
                <w:bCs w:val="1"/>
                <w:color w:val="auto"/>
                <w:w w:val="92"/>
              </w:rPr>
              <w:t>(State or other jurisdiction of</w:t>
            </w:r>
          </w:p>
        </w:tc>
        <w:tc>
          <w:tcPr>
            <w:tcW w:w="3720" w:type="dxa"/>
            <w:vAlign w:val="bottom"/>
          </w:tcPr>
          <w:p>
            <w:pPr>
              <w:spacing w:after="0"/>
              <w:rPr>
                <w:sz w:val="15"/>
                <w:szCs w:val="15"/>
                <w:color w:val="auto"/>
              </w:rPr>
            </w:pPr>
          </w:p>
        </w:tc>
        <w:tc>
          <w:tcPr>
            <w:tcW w:w="35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700" w:type="dxa"/>
            <w:vAlign w:val="bottom"/>
            <w:gridSpan w:val="3"/>
          </w:tcPr>
          <w:p>
            <w:pPr>
              <w:jc w:val="center"/>
              <w:ind w:left="1713"/>
              <w:spacing w:after="0"/>
              <w:rPr>
                <w:sz w:val="20"/>
                <w:szCs w:val="20"/>
                <w:color w:val="auto"/>
              </w:rPr>
            </w:pPr>
            <w:r>
              <w:rPr>
                <w:rFonts w:ascii="Arial" w:cs="Arial" w:eastAsia="Arial" w:hAnsi="Arial"/>
                <w:sz w:val="14"/>
                <w:szCs w:val="14"/>
                <w:b w:val="1"/>
                <w:bCs w:val="1"/>
                <w:color w:val="auto"/>
                <w:w w:val="93"/>
              </w:rPr>
              <w:t>incorporation or organization)</w:t>
            </w:r>
          </w:p>
        </w:tc>
        <w:tc>
          <w:tcPr>
            <w:tcW w:w="3720" w:type="dxa"/>
            <w:vAlign w:val="bottom"/>
          </w:tcPr>
          <w:p>
            <w:pPr>
              <w:spacing w:after="0"/>
              <w:rPr>
                <w:sz w:val="16"/>
                <w:szCs w:val="16"/>
                <w:color w:val="auto"/>
              </w:rPr>
            </w:pPr>
          </w:p>
        </w:tc>
        <w:tc>
          <w:tcPr>
            <w:tcW w:w="35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6"/>
              </w:rPr>
              <w:t>Identification Number)</w:t>
            </w:r>
          </w:p>
        </w:tc>
      </w:tr>
      <w:tr>
        <w:trPr>
          <w:trHeight w:val="237"/>
        </w:trPr>
        <w:tc>
          <w:tcPr>
            <w:tcW w:w="2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20" w:type="dxa"/>
            <w:vAlign w:val="bottom"/>
          </w:tcPr>
          <w:p>
            <w:pPr>
              <w:jc w:val="center"/>
              <w:ind w:left="208"/>
              <w:spacing w:after="0"/>
              <w:rPr>
                <w:sz w:val="20"/>
                <w:szCs w:val="20"/>
                <w:color w:val="auto"/>
              </w:rPr>
            </w:pPr>
            <w:r>
              <w:rPr>
                <w:rFonts w:ascii="Arial" w:cs="Arial" w:eastAsia="Arial" w:hAnsi="Arial"/>
                <w:sz w:val="18"/>
                <w:szCs w:val="18"/>
                <w:b w:val="1"/>
                <w:bCs w:val="1"/>
                <w:color w:val="auto"/>
                <w:w w:val="89"/>
              </w:rPr>
              <w:t>7000 Shoreline Court, Suite 100</w:t>
            </w:r>
          </w:p>
        </w:tc>
        <w:tc>
          <w:tcPr>
            <w:tcW w:w="26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2"/>
        </w:trPr>
        <w:tc>
          <w:tcPr>
            <w:tcW w:w="2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720" w:type="dxa"/>
            <w:vAlign w:val="bottom"/>
          </w:tcPr>
          <w:p>
            <w:pPr>
              <w:jc w:val="center"/>
              <w:ind w:left="22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6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72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2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3"/>
        </w:trPr>
        <w:tc>
          <w:tcPr>
            <w:tcW w:w="2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jc w:val="center"/>
              <w:ind w:left="228"/>
              <w:spacing w:after="0"/>
              <w:rPr>
                <w:sz w:val="20"/>
                <w:szCs w:val="20"/>
                <w:color w:val="auto"/>
              </w:rPr>
            </w:pPr>
            <w:r>
              <w:rPr>
                <w:rFonts w:ascii="Arial" w:cs="Arial" w:eastAsia="Arial" w:hAnsi="Arial"/>
                <w:sz w:val="18"/>
                <w:szCs w:val="18"/>
                <w:b w:val="1"/>
                <w:bCs w:val="1"/>
                <w:color w:val="auto"/>
                <w:w w:val="90"/>
              </w:rPr>
              <w:t>(650) 266-6000</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2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300" w:type="dxa"/>
            <w:vAlign w:val="bottom"/>
            <w:gridSpan w:val="3"/>
          </w:tcPr>
          <w:p>
            <w:pPr>
              <w:jc w:val="center"/>
              <w:ind w:right="3280"/>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234"/>
        </w:trPr>
        <w:tc>
          <w:tcPr>
            <w:tcW w:w="2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820" w:type="dxa"/>
            <w:vAlign w:val="bottom"/>
            <w:gridSpan w:val="4"/>
          </w:tcPr>
          <w:p>
            <w:pPr>
              <w:jc w:val="center"/>
              <w:ind w:right="27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97"/>
        </w:trPr>
        <w:tc>
          <w:tcPr>
            <w:tcW w:w="2100" w:type="dxa"/>
            <w:vAlign w:val="bottom"/>
          </w:tcPr>
          <w:p>
            <w:pPr>
              <w:spacing w:after="0"/>
              <w:rPr>
                <w:sz w:val="24"/>
                <w:szCs w:val="24"/>
                <w:color w:val="auto"/>
              </w:rPr>
            </w:pPr>
          </w:p>
        </w:tc>
        <w:tc>
          <w:tcPr>
            <w:tcW w:w="1600" w:type="dxa"/>
            <w:vAlign w:val="bottom"/>
            <w:gridSpan w:val="2"/>
          </w:tcPr>
          <w:p>
            <w:pPr>
              <w:jc w:val="center"/>
              <w:ind w:right="430"/>
              <w:spacing w:after="0"/>
              <w:rPr>
                <w:sz w:val="20"/>
                <w:szCs w:val="20"/>
                <w:color w:val="auto"/>
              </w:rPr>
            </w:pPr>
            <w:r>
              <w:rPr>
                <w:rFonts w:ascii="Arial" w:cs="Arial" w:eastAsia="Arial" w:hAnsi="Arial"/>
                <w:sz w:val="14"/>
                <w:szCs w:val="14"/>
                <w:b w:val="1"/>
                <w:bCs w:val="1"/>
                <w:color w:val="auto"/>
                <w:w w:val="89"/>
              </w:rPr>
              <w:t>Title of each class</w:t>
            </w:r>
          </w:p>
        </w:tc>
        <w:tc>
          <w:tcPr>
            <w:tcW w:w="372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2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64"/>
        </w:trPr>
        <w:tc>
          <w:tcPr>
            <w:tcW w:w="7420" w:type="dxa"/>
            <w:vAlign w:val="bottom"/>
            <w:gridSpan w:val="4"/>
          </w:tcPr>
          <w:p>
            <w:pPr>
              <w:jc w:val="center"/>
              <w:ind w:right="2028"/>
              <w:spacing w:after="0"/>
              <w:rPr>
                <w:sz w:val="20"/>
                <w:szCs w:val="20"/>
                <w:color w:val="auto"/>
              </w:rPr>
            </w:pPr>
            <w:r>
              <w:rPr>
                <w:rFonts w:ascii="Arial" w:cs="Arial" w:eastAsia="Arial" w:hAnsi="Arial"/>
                <w:sz w:val="18"/>
                <w:szCs w:val="18"/>
                <w:color w:val="auto"/>
                <w:w w:val="89"/>
              </w:rPr>
              <w:t>Common Stock, $0.001 Par Value per Share</w:t>
            </w: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252"/>
        </w:trPr>
        <w:tc>
          <w:tcPr>
            <w:tcW w:w="2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20" w:type="dxa"/>
            <w:vAlign w:val="bottom"/>
            <w:gridSpan w:val="4"/>
          </w:tcPr>
          <w:p>
            <w:pPr>
              <w:jc w:val="center"/>
              <w:ind w:right="274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20"/>
        </w:trPr>
        <w:tc>
          <w:tcPr>
            <w:tcW w:w="2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720" w:type="dxa"/>
            <w:vAlign w:val="bottom"/>
          </w:tcPr>
          <w:p>
            <w:pPr>
              <w:jc w:val="center"/>
              <w:ind w:left="228"/>
              <w:spacing w:after="0"/>
              <w:rPr>
                <w:sz w:val="20"/>
                <w:szCs w:val="20"/>
                <w:color w:val="auto"/>
              </w:rPr>
            </w:pPr>
            <w:r>
              <w:rPr>
                <w:rFonts w:ascii="Arial" w:cs="Arial" w:eastAsia="Arial" w:hAnsi="Arial"/>
                <w:sz w:val="18"/>
                <w:szCs w:val="18"/>
                <w:b w:val="1"/>
                <w:bCs w:val="1"/>
                <w:color w:val="auto"/>
                <w:w w:val="88"/>
              </w:rPr>
              <w:t>None</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83"/>
        </w:trPr>
        <w:tc>
          <w:tcPr>
            <w:tcW w:w="2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720" w:type="dxa"/>
            <w:vAlign w:val="bottom"/>
          </w:tcPr>
          <w:p>
            <w:pPr>
              <w:jc w:val="center"/>
              <w:ind w:left="208"/>
              <w:spacing w:after="0" w:line="183" w:lineRule="exact"/>
              <w:rPr>
                <w:sz w:val="20"/>
                <w:szCs w:val="20"/>
                <w:color w:val="auto"/>
              </w:rPr>
            </w:pPr>
            <w:r>
              <w:rPr>
                <w:rFonts w:ascii="Arial" w:cs="Arial" w:eastAsia="Arial" w:hAnsi="Arial"/>
                <w:sz w:val="18"/>
                <w:szCs w:val="18"/>
                <w:color w:val="auto"/>
                <w:w w:val="89"/>
              </w:rPr>
              <w:t>______________________________________</w:t>
            </w:r>
          </w:p>
        </w:tc>
        <w:tc>
          <w:tcPr>
            <w:tcW w:w="26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9"/>
        </w:trPr>
        <w:tc>
          <w:tcPr>
            <w:tcW w:w="11000" w:type="dxa"/>
            <w:vAlign w:val="bottom"/>
            <w:gridSpan w:val="6"/>
          </w:tcPr>
          <w:p>
            <w:pPr>
              <w:ind w:left="340"/>
              <w:spacing w:after="0" w:line="207" w:lineRule="exact"/>
              <w:rPr>
                <w:sz w:val="20"/>
                <w:szCs w:val="20"/>
                <w:color w:val="auto"/>
              </w:rPr>
            </w:pPr>
            <w:r>
              <w:rPr>
                <w:rFonts w:ascii="Arial" w:cs="Arial" w:eastAsia="Arial" w:hAnsi="Arial"/>
                <w:sz w:val="18"/>
                <w:szCs w:val="18"/>
                <w:color w:val="auto"/>
                <w:w w:val="91"/>
              </w:rPr>
              <w:t xml:space="preserve">Indicate by check mark if the registrant is a well-known seasoned issuer, as defined in Rule 405 of the Securities Act of 1933, as amended.  Yes </w:t>
            </w:r>
            <w:r>
              <w:rPr>
                <w:rFonts w:ascii="MS PGothic" w:cs="MS PGothic" w:eastAsia="MS PGothic" w:hAnsi="MS PGothic"/>
                <w:sz w:val="18"/>
                <w:szCs w:val="18"/>
                <w:color w:val="auto"/>
                <w:w w:val="91"/>
              </w:rPr>
              <w:t>☐</w:t>
            </w: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No x</w:t>
            </w:r>
          </w:p>
        </w:tc>
        <w:tc>
          <w:tcPr>
            <w:tcW w:w="37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3"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as amended.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 w:lineRule="exact"/>
        <w:rPr>
          <w:sz w:val="24"/>
          <w:szCs w:val="24"/>
          <w:color w:val="auto"/>
        </w:rPr>
      </w:pPr>
    </w:p>
    <w:p>
      <w:pPr>
        <w:ind w:right="1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3" w:lineRule="exact"/>
        <w:rPr>
          <w:sz w:val="24"/>
          <w:szCs w:val="24"/>
          <w:color w:val="auto"/>
        </w:rPr>
      </w:pPr>
    </w:p>
    <w:p>
      <w:pPr>
        <w:ind w:right="20" w:firstLine="324"/>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3" w:lineRule="exact"/>
        <w:rPr>
          <w:sz w:val="24"/>
          <w:szCs w:val="24"/>
          <w:color w:val="auto"/>
        </w:rPr>
      </w:pPr>
    </w:p>
    <w:p>
      <w:pPr>
        <w:jc w:val="both"/>
        <w:ind w:right="60" w:firstLine="324"/>
        <w:spacing w:after="0" w:line="258"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jc w:val="both"/>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60"/>
              <w:spacing w:after="0"/>
              <w:rPr>
                <w:sz w:val="20"/>
                <w:szCs w:val="20"/>
                <w:color w:val="auto"/>
              </w:rPr>
            </w:pPr>
            <w:r>
              <w:rPr>
                <w:rFonts w:ascii="Arial" w:cs="Arial" w:eastAsia="Arial" w:hAnsi="Arial"/>
                <w:sz w:val="18"/>
                <w:szCs w:val="18"/>
                <w:color w:val="auto"/>
              </w:rPr>
              <w:t>x</w:t>
            </w:r>
          </w:p>
        </w:tc>
      </w:t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5120" w:type="dxa"/>
            <w:vAlign w:val="bottom"/>
          </w:tcPr>
          <w:p>
            <w:pPr>
              <w:ind w:left="4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80" w:type="dxa"/>
            <w:vAlign w:val="bottom"/>
          </w:tcPr>
          <w:p>
            <w:pPr>
              <w:ind w:left="106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63"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spacing w:after="0" w:line="207" w:lineRule="exact"/>
        <w:tabs>
          <w:tab w:leader="none" w:pos="866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72" w:lineRule="exact"/>
        <w:rPr>
          <w:sz w:val="24"/>
          <w:szCs w:val="24"/>
          <w:color w:val="auto"/>
        </w:rPr>
      </w:pPr>
    </w:p>
    <w:p>
      <w:pPr>
        <w:ind w:firstLine="324"/>
        <w:spacing w:after="0" w:line="253" w:lineRule="auto"/>
        <w:rPr>
          <w:sz w:val="20"/>
          <w:szCs w:val="20"/>
          <w:color w:val="auto"/>
        </w:rPr>
      </w:pPr>
      <w:r>
        <w:rPr>
          <w:rFonts w:ascii="Arial" w:cs="Arial" w:eastAsia="Arial" w:hAnsi="Arial"/>
          <w:sz w:val="18"/>
          <w:szCs w:val="18"/>
          <w:color w:val="auto"/>
        </w:rPr>
        <w:t>As of June 30, 2017, the last business day of the registrant’s most recently completed second fiscal quarter, the aggregate market value of voting and non-voting common equity held by non-affiliates of the registrant was approximately $87,539,609 (based on a closing sale price of $4.04 per share as reported for the NASDAQ Global Select Market on June 30, 2017).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$0.001 par value per share, outstanding as of February 9, 2018 was 38,812,314.</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______________________________________</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00"/>
          </w:cols>
          <w:pgMar w:left="240" w:top="1120" w:right="259" w:bottom="0" w:gutter="0" w:footer="0" w:header="0"/>
        </w:sectPr>
      </w:pPr>
    </w:p>
    <w:bookmarkStart w:id="1" w:name="page2"/>
    <w:bookmarkEnd w:id="1"/>
    <w:p>
      <w:pPr>
        <w:jc w:val="both"/>
        <w:ind w:firstLine="405"/>
        <w:spacing w:after="0" w:line="264" w:lineRule="auto"/>
        <w:rPr>
          <w:sz w:val="20"/>
          <w:szCs w:val="20"/>
          <w:color w:val="auto"/>
        </w:rPr>
      </w:pPr>
      <w:r>
        <w:rPr>
          <w:rFonts w:ascii="Arial" w:cs="Arial" w:eastAsia="Arial" w:hAnsi="Arial"/>
          <w:sz w:val="18"/>
          <w:szCs w:val="18"/>
          <w:color w:val="auto"/>
        </w:rPr>
        <w:t>Portions of the registrant’s Definitive Proxy Statement relating to the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gridSpan w:val="11"/>
          </w:tcPr>
          <w:p>
            <w:pPr>
              <w:jc w:val="center"/>
              <w:ind w:right="2440"/>
              <w:spacing w:after="0"/>
              <w:rPr>
                <w:sz w:val="20"/>
                <w:szCs w:val="20"/>
                <w:color w:val="auto"/>
              </w:rPr>
            </w:pPr>
            <w:r>
              <w:rPr>
                <w:rFonts w:ascii="Arial" w:cs="Arial" w:eastAsia="Arial" w:hAnsi="Arial"/>
                <w:sz w:val="18"/>
                <w:szCs w:val="18"/>
                <w:b w:val="1"/>
                <w:bCs w:val="1"/>
                <w:color w:val="auto"/>
                <w:w w:val="92"/>
              </w:rPr>
              <w:t>Fluidigm Corporation</w:t>
            </w:r>
          </w:p>
        </w:tc>
      </w:tr>
      <w:tr>
        <w:trPr>
          <w:trHeight w:val="279"/>
        </w:trPr>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gridSpan w:val="11"/>
          </w:tcPr>
          <w:p>
            <w:pPr>
              <w:jc w:val="center"/>
              <w:ind w:right="2440"/>
              <w:spacing w:after="0"/>
              <w:rPr>
                <w:sz w:val="20"/>
                <w:szCs w:val="20"/>
                <w:color w:val="auto"/>
              </w:rPr>
            </w:pPr>
            <w:r>
              <w:rPr>
                <w:rFonts w:ascii="Arial" w:cs="Arial" w:eastAsia="Arial" w:hAnsi="Arial"/>
                <w:sz w:val="18"/>
                <w:szCs w:val="18"/>
                <w:b w:val="1"/>
                <w:bCs w:val="1"/>
                <w:color w:val="auto"/>
                <w:w w:val="89"/>
              </w:rPr>
              <w:t>Fiscal Year 2017</w:t>
            </w:r>
          </w:p>
        </w:tc>
      </w:tr>
      <w:tr>
        <w:trPr>
          <w:trHeight w:val="216"/>
        </w:trPr>
        <w:tc>
          <w:tcPr>
            <w:tcW w:w="1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40" w:type="dxa"/>
            <w:vAlign w:val="bottom"/>
            <w:gridSpan w:val="11"/>
          </w:tcPr>
          <w:p>
            <w:pPr>
              <w:jc w:val="center"/>
              <w:ind w:right="2440"/>
              <w:spacing w:after="0"/>
              <w:rPr>
                <w:sz w:val="20"/>
                <w:szCs w:val="20"/>
                <w:color w:val="auto"/>
              </w:rPr>
            </w:pPr>
            <w:r>
              <w:rPr>
                <w:rFonts w:ascii="Arial" w:cs="Arial" w:eastAsia="Arial" w:hAnsi="Arial"/>
                <w:sz w:val="18"/>
                <w:szCs w:val="18"/>
                <w:b w:val="1"/>
                <w:bCs w:val="1"/>
                <w:color w:val="auto"/>
                <w:w w:val="96"/>
              </w:rPr>
              <w:t>Form 10-K</w:t>
            </w:r>
          </w:p>
        </w:tc>
      </w:tr>
      <w:tr>
        <w:trPr>
          <w:trHeight w:val="220"/>
        </w:trPr>
        <w:tc>
          <w:tcPr>
            <w:tcW w:w="1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740" w:type="dxa"/>
            <w:vAlign w:val="bottom"/>
            <w:gridSpan w:val="11"/>
          </w:tcPr>
          <w:p>
            <w:pPr>
              <w:jc w:val="center"/>
              <w:ind w:right="2420"/>
              <w:spacing w:after="0"/>
              <w:rPr>
                <w:sz w:val="20"/>
                <w:szCs w:val="20"/>
                <w:color w:val="auto"/>
              </w:rPr>
            </w:pPr>
            <w:r>
              <w:rPr>
                <w:rFonts w:ascii="Arial" w:cs="Arial" w:eastAsia="Arial" w:hAnsi="Arial"/>
                <w:sz w:val="18"/>
                <w:szCs w:val="18"/>
                <w:b w:val="1"/>
                <w:bCs w:val="1"/>
                <w:color w:val="auto"/>
                <w:w w:val="93"/>
              </w:rPr>
              <w:t>Annual Report</w:t>
            </w:r>
          </w:p>
        </w:tc>
      </w:tr>
      <w:tr>
        <w:trPr>
          <w:trHeight w:val="230"/>
        </w:trPr>
        <w:tc>
          <w:tcPr>
            <w:tcW w:w="1500" w:type="dxa"/>
            <w:vAlign w:val="bottom"/>
          </w:tcPr>
          <w:p>
            <w:pPr>
              <w:spacing w:after="0"/>
              <w:rPr>
                <w:sz w:val="20"/>
                <w:szCs w:val="20"/>
                <w:color w:val="auto"/>
              </w:rPr>
            </w:pPr>
          </w:p>
        </w:tc>
        <w:tc>
          <w:tcPr>
            <w:tcW w:w="6140" w:type="dxa"/>
            <w:vAlign w:val="bottom"/>
            <w:gridSpan w:val="18"/>
          </w:tcPr>
          <w:p>
            <w:pPr>
              <w:jc w:val="center"/>
              <w:ind w:left="2110"/>
              <w:spacing w:after="0"/>
              <w:rPr>
                <w:sz w:val="20"/>
                <w:szCs w:val="20"/>
                <w:color w:val="auto"/>
              </w:rPr>
            </w:pPr>
            <w:r>
              <w:rPr>
                <w:rFonts w:ascii="Arial" w:cs="Arial" w:eastAsia="Arial" w:hAnsi="Arial"/>
                <w:sz w:val="18"/>
                <w:szCs w:val="18"/>
                <w:color w:val="auto"/>
                <w:w w:val="89"/>
              </w:rPr>
              <w:t>______________________________________</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97"/>
        </w:trPr>
        <w:tc>
          <w:tcPr>
            <w:tcW w:w="1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gridSpan w:val="11"/>
          </w:tcPr>
          <w:p>
            <w:pPr>
              <w:jc w:val="center"/>
              <w:ind w:right="2420"/>
              <w:spacing w:after="0"/>
              <w:rPr>
                <w:sz w:val="20"/>
                <w:szCs w:val="20"/>
                <w:color w:val="auto"/>
              </w:rPr>
            </w:pPr>
            <w:r>
              <w:rPr>
                <w:rFonts w:ascii="Arial" w:cs="Arial" w:eastAsia="Arial" w:hAnsi="Arial"/>
                <w:sz w:val="18"/>
                <w:szCs w:val="18"/>
                <w:b w:val="1"/>
                <w:bCs w:val="1"/>
                <w:color w:val="auto"/>
                <w:w w:val="98"/>
              </w:rPr>
              <w:t>TABLE OF CONTENTS</w:t>
            </w:r>
          </w:p>
        </w:tc>
      </w:tr>
      <w:tr>
        <w:trPr>
          <w:trHeight w:val="837"/>
        </w:trPr>
        <w:tc>
          <w:tcPr>
            <w:tcW w:w="1500" w:type="dxa"/>
            <w:vAlign w:val="bottom"/>
          </w:tcPr>
          <w:p>
            <w:pPr>
              <w:spacing w:after="0"/>
              <w:rPr>
                <w:sz w:val="20"/>
                <w:szCs w:val="20"/>
                <w:color w:val="auto"/>
              </w:rPr>
            </w:pPr>
            <w:r>
              <w:rPr>
                <w:rFonts w:ascii="Arial" w:cs="Arial" w:eastAsia="Arial" w:hAnsi="Arial"/>
                <w:sz w:val="18"/>
                <w:szCs w:val="18"/>
                <w:color w:val="auto"/>
              </w:rPr>
              <w:t>PART 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1500" w:type="dxa"/>
            <w:vAlign w:val="bottom"/>
          </w:tcPr>
          <w:p>
            <w:pPr>
              <w:ind w:left="340"/>
              <w:spacing w:after="0"/>
              <w:rPr>
                <w:sz w:val="20"/>
                <w:szCs w:val="20"/>
                <w:color w:val="auto"/>
              </w:rPr>
            </w:pPr>
            <w:r>
              <w:rPr>
                <w:rFonts w:ascii="Arial" w:cs="Arial" w:eastAsia="Arial" w:hAnsi="Arial"/>
                <w:sz w:val="18"/>
                <w:szCs w:val="18"/>
                <w:color w:val="auto"/>
              </w:rPr>
              <w:t>ITEM 1.</w:t>
            </w:r>
          </w:p>
        </w:tc>
        <w:tc>
          <w:tcPr>
            <w:tcW w:w="7760" w:type="dxa"/>
            <w:vAlign w:val="bottom"/>
            <w:gridSpan w:val="2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1A.</w:t>
            </w:r>
          </w:p>
        </w:tc>
        <w:tc>
          <w:tcPr>
            <w:tcW w:w="7760" w:type="dxa"/>
            <w:vAlign w:val="bottom"/>
            <w:gridSpan w:val="23"/>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RISK FACTORS</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1B.</w:t>
            </w:r>
          </w:p>
        </w:tc>
        <w:tc>
          <w:tcPr>
            <w:tcW w:w="2820" w:type="dxa"/>
            <w:vAlign w:val="bottom"/>
            <w:tcBorders>
              <w:bottom w:val="single" w:sz="8" w:color="0000FF"/>
            </w:tcBorders>
            <w:gridSpan w:val="11"/>
          </w:tcPr>
          <w:p>
            <w:pPr>
              <w:spacing w:after="0"/>
              <w:rPr>
                <w:rFonts w:ascii="Arial" w:cs="Arial" w:eastAsia="Arial" w:hAnsi="Arial"/>
                <w:sz w:val="18"/>
                <w:szCs w:val="18"/>
                <w:color w:val="0000FF"/>
                <w:w w:val="94"/>
              </w:rPr>
            </w:pPr>
            <w:hyperlink w:anchor="page45">
              <w:r>
                <w:rPr>
                  <w:rFonts w:ascii="Arial" w:cs="Arial" w:eastAsia="Arial" w:hAnsi="Arial"/>
                  <w:sz w:val="18"/>
                  <w:szCs w:val="18"/>
                  <w:color w:val="0000FF"/>
                  <w:w w:val="94"/>
                </w:rPr>
                <w:t>UNRESOLVED STAFF COMMENTS</w:t>
              </w:r>
            </w:hyperlink>
          </w:p>
        </w:tc>
        <w:tc>
          <w:tcPr>
            <w:tcW w:w="4940" w:type="dxa"/>
            <w:vAlign w:val="bottom"/>
            <w:gridSpan w:val="12"/>
          </w:tcPr>
          <w:p>
            <w:pPr>
              <w:spacing w:after="0"/>
              <w:rPr>
                <w:sz w:val="21"/>
                <w:szCs w:val="2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2.</w:t>
            </w:r>
          </w:p>
        </w:tc>
        <w:tc>
          <w:tcPr>
            <w:tcW w:w="7760" w:type="dxa"/>
            <w:vAlign w:val="bottom"/>
            <w:gridSpan w:val="2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PROPERTIES</w:t>
              </w:r>
            </w:hyperlink>
          </w:p>
        </w:tc>
      </w:tr>
      <w:tr>
        <w:trPr>
          <w:trHeight w:val="20"/>
        </w:trPr>
        <w:tc>
          <w:tcPr>
            <w:tcW w:w="150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3.</w:t>
            </w:r>
          </w:p>
        </w:tc>
        <w:tc>
          <w:tcPr>
            <w:tcW w:w="7760" w:type="dxa"/>
            <w:vAlign w:val="bottom"/>
            <w:gridSpan w:val="2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r>
      <w:tr>
        <w:trPr>
          <w:trHeight w:val="20"/>
        </w:trPr>
        <w:tc>
          <w:tcPr>
            <w:tcW w:w="150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4.</w:t>
            </w:r>
          </w:p>
        </w:tc>
        <w:tc>
          <w:tcPr>
            <w:tcW w:w="7760" w:type="dxa"/>
            <w:vAlign w:val="bottom"/>
            <w:gridSpan w:val="2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MINE SAFETY DISCLOSURES</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5.</w:t>
            </w:r>
          </w:p>
        </w:tc>
        <w:tc>
          <w:tcPr>
            <w:tcW w:w="7600" w:type="dxa"/>
            <w:vAlign w:val="bottom"/>
            <w:tcBorders>
              <w:bottom w:val="single" w:sz="8" w:color="0000FF"/>
            </w:tcBorders>
            <w:gridSpan w:val="21"/>
          </w:tcPr>
          <w:p>
            <w:pPr>
              <w:spacing w:after="0"/>
              <w:rPr>
                <w:rFonts w:ascii="Arial" w:cs="Arial" w:eastAsia="Arial" w:hAnsi="Arial"/>
                <w:sz w:val="18"/>
                <w:szCs w:val="18"/>
                <w:color w:val="0000FF"/>
                <w:w w:val="96"/>
              </w:rPr>
            </w:pPr>
            <w:hyperlink w:anchor="page47">
              <w:r>
                <w:rPr>
                  <w:rFonts w:ascii="Arial" w:cs="Arial" w:eastAsia="Arial" w:hAnsi="Arial"/>
                  <w:sz w:val="18"/>
                  <w:szCs w:val="18"/>
                  <w:color w:val="0000FF"/>
                  <w:w w:val="96"/>
                </w:rPr>
                <w:t>MARKET FOR REGISTRANT’S COMMON EQUITY, RELATED STOCKHOLDER MATTERS AND</w:t>
              </w:r>
            </w:hyperlink>
          </w:p>
        </w:tc>
        <w:tc>
          <w:tcPr>
            <w:tcW w:w="160" w:type="dxa"/>
            <w:vAlign w:val="bottom"/>
            <w:gridSpan w:val="2"/>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376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ISSUER PURCHASES OF EQUITY SECURITIES</w:t>
              </w:r>
            </w:hyperlink>
          </w:p>
        </w:tc>
        <w:tc>
          <w:tcPr>
            <w:tcW w:w="4000" w:type="dxa"/>
            <w:vAlign w:val="bottom"/>
            <w:gridSpan w:val="10"/>
          </w:tcPr>
          <w:p>
            <w:pPr>
              <w:spacing w:after="0"/>
              <w:rPr>
                <w:sz w:val="17"/>
                <w:szCs w:val="17"/>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6.</w:t>
            </w:r>
          </w:p>
        </w:tc>
        <w:tc>
          <w:tcPr>
            <w:tcW w:w="2420" w:type="dxa"/>
            <w:vAlign w:val="bottom"/>
            <w:tcBorders>
              <w:bottom w:val="single" w:sz="8" w:color="0000FF"/>
            </w:tcBorders>
            <w:gridSpan w:val="8"/>
          </w:tcPr>
          <w:p>
            <w:pPr>
              <w:spacing w:after="0"/>
              <w:rPr>
                <w:rFonts w:ascii="Arial" w:cs="Arial" w:eastAsia="Arial" w:hAnsi="Arial"/>
                <w:sz w:val="18"/>
                <w:szCs w:val="18"/>
                <w:color w:val="0000FF"/>
                <w:w w:val="97"/>
              </w:rPr>
            </w:pPr>
            <w:hyperlink w:anchor="page49">
              <w:r>
                <w:rPr>
                  <w:rFonts w:ascii="Arial" w:cs="Arial" w:eastAsia="Arial" w:hAnsi="Arial"/>
                  <w:sz w:val="18"/>
                  <w:szCs w:val="18"/>
                  <w:color w:val="0000FF"/>
                  <w:w w:val="97"/>
                </w:rPr>
                <w:t>SELECTED FINANCIAL DATA</w:t>
              </w:r>
            </w:hyperlink>
          </w:p>
        </w:tc>
        <w:tc>
          <w:tcPr>
            <w:tcW w:w="5340" w:type="dxa"/>
            <w:vAlign w:val="bottom"/>
            <w:gridSpan w:val="15"/>
          </w:tcPr>
          <w:p>
            <w:pPr>
              <w:spacing w:after="0"/>
              <w:rPr>
                <w:sz w:val="21"/>
                <w:szCs w:val="2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w:t>
            </w:r>
          </w:p>
        </w:tc>
        <w:tc>
          <w:tcPr>
            <w:tcW w:w="7760" w:type="dxa"/>
            <w:vAlign w:val="bottom"/>
            <w:tcBorders>
              <w:bottom w:val="single" w:sz="8" w:color="0000EE"/>
            </w:tcBorders>
            <w:gridSpan w:val="23"/>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MANAGEMENT’S DISCUSSION AND ANALYSIS OF FINANCIAL CONDITION AND RESULTS OF</w:t>
              </w:r>
            </w:hyperlink>
          </w:p>
        </w:tc>
      </w:tr>
      <w:tr>
        <w:trPr>
          <w:trHeight w:val="196"/>
        </w:trPr>
        <w:tc>
          <w:tcPr>
            <w:tcW w:w="150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OPERATIONS</w:t>
              </w:r>
            </w:hyperlink>
          </w:p>
        </w:tc>
        <w:tc>
          <w:tcPr>
            <w:tcW w:w="6660" w:type="dxa"/>
            <w:vAlign w:val="bottom"/>
            <w:gridSpan w:val="20"/>
          </w:tcPr>
          <w:p>
            <w:pPr>
              <w:spacing w:after="0"/>
              <w:rPr>
                <w:sz w:val="17"/>
                <w:szCs w:val="17"/>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7A.</w:t>
            </w:r>
          </w:p>
        </w:tc>
        <w:tc>
          <w:tcPr>
            <w:tcW w:w="6140" w:type="dxa"/>
            <w:vAlign w:val="bottom"/>
            <w:tcBorders>
              <w:bottom w:val="single" w:sz="8" w:color="0000FF"/>
            </w:tcBorders>
            <w:gridSpan w:val="18"/>
          </w:tcPr>
          <w:p>
            <w:pPr>
              <w:spacing w:after="0"/>
              <w:rPr>
                <w:rFonts w:ascii="Arial" w:cs="Arial" w:eastAsia="Arial" w:hAnsi="Arial"/>
                <w:sz w:val="18"/>
                <w:szCs w:val="18"/>
                <w:color w:val="0000FF"/>
                <w:w w:val="98"/>
              </w:rPr>
            </w:pPr>
            <w:hyperlink w:anchor="page64">
              <w:r>
                <w:rPr>
                  <w:rFonts w:ascii="Arial" w:cs="Arial" w:eastAsia="Arial" w:hAnsi="Arial"/>
                  <w:sz w:val="18"/>
                  <w:szCs w:val="18"/>
                  <w:color w:val="0000FF"/>
                  <w:w w:val="98"/>
                </w:rPr>
                <w:t>QUANTITATIVE AND QUALITATIVE DISCLOSURES ABOUT MARKET RISK</w:t>
              </w:r>
            </w:hyperlink>
          </w:p>
        </w:tc>
        <w:tc>
          <w:tcPr>
            <w:tcW w:w="1620" w:type="dxa"/>
            <w:vAlign w:val="bottom"/>
            <w:gridSpan w:val="5"/>
          </w:tcPr>
          <w:p>
            <w:pPr>
              <w:spacing w:after="0"/>
              <w:rPr>
                <w:sz w:val="21"/>
                <w:szCs w:val="2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8.</w:t>
            </w:r>
          </w:p>
        </w:tc>
        <w:tc>
          <w:tcPr>
            <w:tcW w:w="4660" w:type="dxa"/>
            <w:vAlign w:val="bottom"/>
            <w:tcBorders>
              <w:bottom w:val="single" w:sz="8" w:color="0000FF"/>
            </w:tcBorders>
            <w:gridSpan w:val="16"/>
          </w:tcPr>
          <w:p>
            <w:pPr>
              <w:spacing w:after="0"/>
              <w:rPr>
                <w:rFonts w:ascii="Arial" w:cs="Arial" w:eastAsia="Arial" w:hAnsi="Arial"/>
                <w:sz w:val="18"/>
                <w:szCs w:val="18"/>
                <w:color w:val="0000FF"/>
                <w:w w:val="96"/>
              </w:rPr>
            </w:pPr>
            <w:hyperlink w:anchor="page65">
              <w:r>
                <w:rPr>
                  <w:rFonts w:ascii="Arial" w:cs="Arial" w:eastAsia="Arial" w:hAnsi="Arial"/>
                  <w:sz w:val="18"/>
                  <w:szCs w:val="18"/>
                  <w:color w:val="0000FF"/>
                  <w:w w:val="96"/>
                </w:rPr>
                <w:t>FINANCIAL STATEMENTS AND SUPPLEMENTARY DATA</w:t>
              </w:r>
            </w:hyperlink>
          </w:p>
        </w:tc>
        <w:tc>
          <w:tcPr>
            <w:tcW w:w="3100" w:type="dxa"/>
            <w:vAlign w:val="bottom"/>
            <w:gridSpan w:val="7"/>
          </w:tcPr>
          <w:p>
            <w:pPr>
              <w:spacing w:after="0"/>
              <w:rPr>
                <w:sz w:val="21"/>
                <w:szCs w:val="2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w:t>
            </w:r>
          </w:p>
        </w:tc>
        <w:tc>
          <w:tcPr>
            <w:tcW w:w="6920" w:type="dxa"/>
            <w:vAlign w:val="bottom"/>
            <w:tcBorders>
              <w:bottom w:val="single" w:sz="8" w:color="0000FF"/>
            </w:tcBorders>
            <w:gridSpan w:val="19"/>
          </w:tcPr>
          <w:p>
            <w:pPr>
              <w:spacing w:after="0"/>
              <w:rPr>
                <w:rFonts w:ascii="Arial" w:cs="Arial" w:eastAsia="Arial" w:hAnsi="Arial"/>
                <w:sz w:val="18"/>
                <w:szCs w:val="18"/>
                <w:color w:val="0000FF"/>
                <w:w w:val="97"/>
              </w:rPr>
            </w:pPr>
            <w:hyperlink w:anchor="page97">
              <w:r>
                <w:rPr>
                  <w:rFonts w:ascii="Arial" w:cs="Arial" w:eastAsia="Arial" w:hAnsi="Arial"/>
                  <w:sz w:val="18"/>
                  <w:szCs w:val="18"/>
                  <w:color w:val="0000FF"/>
                  <w:w w:val="97"/>
                </w:rPr>
                <w:t>CHANGES IN AND DISAGREEMENTS WITH ACCOUNTANTS ON ACCOUNTING AND</w:t>
              </w:r>
            </w:hyperlink>
          </w:p>
        </w:tc>
        <w:tc>
          <w:tcPr>
            <w:tcW w:w="840" w:type="dxa"/>
            <w:vAlign w:val="bottom"/>
            <w:gridSpan w:val="4"/>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2120" w:type="dxa"/>
            <w:vAlign w:val="bottom"/>
            <w:tcBorders>
              <w:bottom w:val="single" w:sz="8" w:color="0000FF"/>
            </w:tcBorders>
            <w:gridSpan w:val="7"/>
          </w:tcPr>
          <w:p>
            <w:pPr>
              <w:spacing w:after="0" w:line="196" w:lineRule="exact"/>
              <w:rPr>
                <w:rFonts w:ascii="Arial" w:cs="Arial" w:eastAsia="Arial" w:hAnsi="Arial"/>
                <w:sz w:val="18"/>
                <w:szCs w:val="18"/>
                <w:color w:val="0000FF"/>
                <w:w w:val="97"/>
              </w:rPr>
            </w:pPr>
            <w:hyperlink w:anchor="page97">
              <w:r>
                <w:rPr>
                  <w:rFonts w:ascii="Arial" w:cs="Arial" w:eastAsia="Arial" w:hAnsi="Arial"/>
                  <w:sz w:val="18"/>
                  <w:szCs w:val="18"/>
                  <w:color w:val="0000FF"/>
                  <w:w w:val="97"/>
                </w:rPr>
                <w:t>FINANCIAL DISCLOSURE</w:t>
              </w:r>
            </w:hyperlink>
          </w:p>
        </w:tc>
        <w:tc>
          <w:tcPr>
            <w:tcW w:w="5640" w:type="dxa"/>
            <w:vAlign w:val="bottom"/>
            <w:gridSpan w:val="16"/>
          </w:tcPr>
          <w:p>
            <w:pPr>
              <w:spacing w:after="0"/>
              <w:rPr>
                <w:sz w:val="17"/>
                <w:szCs w:val="17"/>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9A.</w:t>
            </w:r>
          </w:p>
        </w:tc>
        <w:tc>
          <w:tcPr>
            <w:tcW w:w="260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CONTROLS AND PROCEDURES</w:t>
              </w:r>
            </w:hyperlink>
          </w:p>
        </w:tc>
        <w:tc>
          <w:tcPr>
            <w:tcW w:w="5160" w:type="dxa"/>
            <w:vAlign w:val="bottom"/>
            <w:gridSpan w:val="13"/>
          </w:tcPr>
          <w:p>
            <w:pPr>
              <w:spacing w:after="0"/>
              <w:rPr>
                <w:sz w:val="21"/>
                <w:szCs w:val="2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9B.</w:t>
            </w:r>
          </w:p>
        </w:tc>
        <w:tc>
          <w:tcPr>
            <w:tcW w:w="7760" w:type="dxa"/>
            <w:vAlign w:val="bottom"/>
            <w:gridSpan w:val="23"/>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OTHER INFORMATION</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III</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10.</w:t>
            </w:r>
          </w:p>
        </w:tc>
        <w:tc>
          <w:tcPr>
            <w:tcW w:w="5800" w:type="dxa"/>
            <w:vAlign w:val="bottom"/>
            <w:tcBorders>
              <w:bottom w:val="single" w:sz="8" w:color="0000FF"/>
            </w:tcBorders>
            <w:gridSpan w:val="17"/>
          </w:tcPr>
          <w:p>
            <w:pPr>
              <w:spacing w:after="0"/>
              <w:rPr>
                <w:rFonts w:ascii="Arial" w:cs="Arial" w:eastAsia="Arial" w:hAnsi="Arial"/>
                <w:sz w:val="18"/>
                <w:szCs w:val="18"/>
                <w:color w:val="0000FF"/>
                <w:w w:val="94"/>
              </w:rPr>
            </w:pPr>
            <w:hyperlink w:anchor="page99">
              <w:r>
                <w:rPr>
                  <w:rFonts w:ascii="Arial" w:cs="Arial" w:eastAsia="Arial" w:hAnsi="Arial"/>
                  <w:sz w:val="18"/>
                  <w:szCs w:val="18"/>
                  <w:color w:val="0000FF"/>
                  <w:w w:val="94"/>
                </w:rPr>
                <w:t>DIRECTORS, EXECUTIVE OFFICERS AND CORPORATE GOVERNANCE</w:t>
              </w:r>
            </w:hyperlink>
          </w:p>
        </w:tc>
        <w:tc>
          <w:tcPr>
            <w:tcW w:w="1960" w:type="dxa"/>
            <w:vAlign w:val="bottom"/>
            <w:gridSpan w:val="6"/>
          </w:tcPr>
          <w:p>
            <w:pPr>
              <w:spacing w:after="0"/>
              <w:rPr>
                <w:sz w:val="24"/>
                <w:szCs w:val="24"/>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11.</w:t>
            </w:r>
          </w:p>
        </w:tc>
        <w:tc>
          <w:tcPr>
            <w:tcW w:w="2440" w:type="dxa"/>
            <w:vAlign w:val="bottom"/>
            <w:tcBorders>
              <w:bottom w:val="single" w:sz="8" w:color="0000FF"/>
            </w:tcBorders>
            <w:gridSpan w:val="9"/>
          </w:tcPr>
          <w:p>
            <w:pPr>
              <w:spacing w:after="0"/>
              <w:rPr>
                <w:rFonts w:ascii="Arial" w:cs="Arial" w:eastAsia="Arial" w:hAnsi="Arial"/>
                <w:sz w:val="18"/>
                <w:szCs w:val="18"/>
                <w:color w:val="0000FF"/>
                <w:w w:val="95"/>
              </w:rPr>
            </w:pPr>
            <w:hyperlink w:anchor="page99">
              <w:r>
                <w:rPr>
                  <w:rFonts w:ascii="Arial" w:cs="Arial" w:eastAsia="Arial" w:hAnsi="Arial"/>
                  <w:sz w:val="18"/>
                  <w:szCs w:val="18"/>
                  <w:color w:val="0000FF"/>
                  <w:w w:val="95"/>
                </w:rPr>
                <w:t>EXECUTIVE COMPENSATION</w:t>
              </w:r>
            </w:hyperlink>
          </w:p>
        </w:tc>
        <w:tc>
          <w:tcPr>
            <w:tcW w:w="5320" w:type="dxa"/>
            <w:vAlign w:val="bottom"/>
            <w:gridSpan w:val="14"/>
          </w:tcPr>
          <w:p>
            <w:pPr>
              <w:spacing w:after="0"/>
              <w:rPr>
                <w:sz w:val="21"/>
                <w:szCs w:val="2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FF"/>
            </w:tcBorders>
            <w:gridSpan w:val="20"/>
          </w:tcPr>
          <w:p>
            <w:pPr>
              <w:spacing w:after="0"/>
              <w:rPr>
                <w:rFonts w:ascii="Arial" w:cs="Arial" w:eastAsia="Arial" w:hAnsi="Arial"/>
                <w:sz w:val="18"/>
                <w:szCs w:val="18"/>
                <w:color w:val="0000FF"/>
                <w:w w:val="96"/>
              </w:rPr>
            </w:pPr>
            <w:hyperlink w:anchor="page99">
              <w:r>
                <w:rPr>
                  <w:rFonts w:ascii="Arial" w:cs="Arial" w:eastAsia="Arial" w:hAnsi="Arial"/>
                  <w:sz w:val="18"/>
                  <w:szCs w:val="18"/>
                  <w:color w:val="0000FF"/>
                  <w:w w:val="96"/>
                </w:rPr>
                <w:t>SECURITY OWNERSHIP OF CERTAIN BENEFICIAL OWNERS AND MANAGEMENT AND</w:t>
              </w:r>
            </w:hyperlink>
          </w:p>
        </w:tc>
        <w:tc>
          <w:tcPr>
            <w:tcW w:w="600" w:type="dxa"/>
            <w:vAlign w:val="bottom"/>
            <w:gridSpan w:val="3"/>
          </w:tcPr>
          <w:p>
            <w:pPr>
              <w:spacing w:after="0"/>
              <w:rPr>
                <w:sz w:val="21"/>
                <w:szCs w:val="21"/>
                <w:color w:val="auto"/>
              </w:rPr>
            </w:pPr>
          </w:p>
        </w:tc>
      </w:tr>
      <w:tr>
        <w:trPr>
          <w:trHeight w:val="196"/>
        </w:trPr>
        <w:tc>
          <w:tcPr>
            <w:tcW w:w="1500" w:type="dxa"/>
            <w:vAlign w:val="bottom"/>
          </w:tcPr>
          <w:p>
            <w:pPr>
              <w:spacing w:after="0"/>
              <w:rPr>
                <w:sz w:val="17"/>
                <w:szCs w:val="17"/>
                <w:color w:val="auto"/>
              </w:rPr>
            </w:pPr>
          </w:p>
        </w:tc>
        <w:tc>
          <w:tcPr>
            <w:tcW w:w="7760" w:type="dxa"/>
            <w:vAlign w:val="bottom"/>
            <w:gridSpan w:val="23"/>
          </w:tcPr>
          <w:p>
            <w:pPr>
              <w:spacing w:after="0" w:line="196" w:lineRule="exact"/>
              <w:rPr>
                <w:rFonts w:ascii="Arial" w:cs="Arial" w:eastAsia="Arial" w:hAnsi="Arial"/>
                <w:sz w:val="18"/>
                <w:szCs w:val="18"/>
                <w:color w:val="0000FF"/>
              </w:rPr>
            </w:pPr>
            <w:hyperlink w:anchor="page99">
              <w:r>
                <w:rPr>
                  <w:rFonts w:ascii="Arial" w:cs="Arial" w:eastAsia="Arial" w:hAnsi="Arial"/>
                  <w:sz w:val="18"/>
                  <w:szCs w:val="18"/>
                  <w:color w:val="0000FF"/>
                </w:rPr>
                <w:t>RELATED STOCKHOLDER MATTERS</w:t>
              </w:r>
            </w:hyperlink>
          </w:p>
        </w:tc>
      </w:tr>
      <w:tr>
        <w:trPr>
          <w:trHeight w:val="20"/>
        </w:trPr>
        <w:tc>
          <w:tcPr>
            <w:tcW w:w="150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FF"/>
            </w:tcBorders>
            <w:gridSpan w:val="22"/>
          </w:tcPr>
          <w:p>
            <w:pPr>
              <w:spacing w:after="0"/>
              <w:rPr>
                <w:rFonts w:ascii="Arial" w:cs="Arial" w:eastAsia="Arial" w:hAnsi="Arial"/>
                <w:sz w:val="18"/>
                <w:szCs w:val="18"/>
                <w:color w:val="0000FF"/>
                <w:w w:val="95"/>
              </w:rPr>
            </w:pPr>
            <w:hyperlink w:anchor="page99">
              <w:r>
                <w:rPr>
                  <w:rFonts w:ascii="Arial" w:cs="Arial" w:eastAsia="Arial" w:hAnsi="Arial"/>
                  <w:sz w:val="18"/>
                  <w:szCs w:val="18"/>
                  <w:color w:val="0000FF"/>
                  <w:w w:val="95"/>
                </w:rPr>
                <w:t>CERTAIN RELATIONSHIPS AND RELATED TRANSACTIONS, AND DIRECTOR INDEPENDENCE</w:t>
              </w:r>
            </w:hyperlink>
          </w:p>
        </w:tc>
        <w:tc>
          <w:tcPr>
            <w:tcW w:w="60" w:type="dxa"/>
            <w:vAlign w:val="bottom"/>
          </w:tcPr>
          <w:p>
            <w:pPr>
              <w:spacing w:after="0"/>
              <w:rPr>
                <w:sz w:val="21"/>
                <w:szCs w:val="21"/>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14.</w:t>
            </w:r>
          </w:p>
        </w:tc>
        <w:tc>
          <w:tcPr>
            <w:tcW w:w="7760" w:type="dxa"/>
            <w:vAlign w:val="bottom"/>
            <w:gridSpan w:val="23"/>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PRINCIPAL ACCOUNTING FEES AND SERVICES</w:t>
              </w:r>
            </w:hyperlink>
          </w:p>
        </w:tc>
      </w:tr>
      <w:tr>
        <w:trPr>
          <w:trHeight w:val="412"/>
        </w:trPr>
        <w:tc>
          <w:tcPr>
            <w:tcW w:w="1500" w:type="dxa"/>
            <w:vAlign w:val="bottom"/>
          </w:tcPr>
          <w:p>
            <w:pPr>
              <w:spacing w:after="0"/>
              <w:rPr>
                <w:sz w:val="20"/>
                <w:szCs w:val="20"/>
                <w:color w:val="auto"/>
              </w:rPr>
            </w:pPr>
            <w:r>
              <w:rPr>
                <w:rFonts w:ascii="Arial" w:cs="Arial" w:eastAsia="Arial" w:hAnsi="Arial"/>
                <w:sz w:val="18"/>
                <w:szCs w:val="18"/>
                <w:color w:val="auto"/>
              </w:rPr>
              <w:t>PART IV</w:t>
            </w:r>
          </w:p>
        </w:tc>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18"/>
                <w:szCs w:val="18"/>
                <w:color w:val="auto"/>
              </w:rPr>
              <w:t>ITEM 15.</w:t>
            </w:r>
          </w:p>
        </w:tc>
        <w:tc>
          <w:tcPr>
            <w:tcW w:w="404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EXHIBITS, FINANCIAL STATEMENT SCHEDULES</w:t>
              </w:r>
            </w:hyperlink>
          </w:p>
        </w:tc>
        <w:tc>
          <w:tcPr>
            <w:tcW w:w="3720" w:type="dxa"/>
            <w:vAlign w:val="bottom"/>
            <w:gridSpan w:val="8"/>
          </w:tcPr>
          <w:p>
            <w:pPr>
              <w:spacing w:after="0"/>
              <w:rPr>
                <w:sz w:val="24"/>
                <w:szCs w:val="24"/>
                <w:color w:val="auto"/>
              </w:rPr>
            </w:pPr>
          </w:p>
        </w:tc>
      </w:tr>
      <w:tr>
        <w:trPr>
          <w:trHeight w:val="250"/>
        </w:trPr>
        <w:tc>
          <w:tcPr>
            <w:tcW w:w="1500" w:type="dxa"/>
            <w:vAlign w:val="bottom"/>
          </w:tcPr>
          <w:p>
            <w:pPr>
              <w:ind w:left="340"/>
              <w:spacing w:after="0"/>
              <w:rPr>
                <w:sz w:val="20"/>
                <w:szCs w:val="20"/>
                <w:color w:val="auto"/>
              </w:rPr>
            </w:pPr>
            <w:r>
              <w:rPr>
                <w:rFonts w:ascii="Arial" w:cs="Arial" w:eastAsia="Arial" w:hAnsi="Arial"/>
                <w:sz w:val="18"/>
                <w:szCs w:val="18"/>
                <w:color w:val="auto"/>
              </w:rPr>
              <w:t>ITEM 16.</w:t>
            </w:r>
          </w:p>
        </w:tc>
        <w:tc>
          <w:tcPr>
            <w:tcW w:w="7760" w:type="dxa"/>
            <w:vAlign w:val="bottom"/>
            <w:gridSpan w:val="23"/>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FORM 10-K SUMMARY</w:t>
              </w:r>
            </w:hyperlink>
          </w:p>
        </w:tc>
      </w:tr>
      <w:tr>
        <w:trPr>
          <w:trHeight w:val="669"/>
        </w:trPr>
        <w:tc>
          <w:tcPr>
            <w:tcW w:w="150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8"/>
          </w:tcPr>
          <w:p>
            <w:pPr>
              <w:jc w:val="center"/>
              <w:ind w:right="3460"/>
              <w:spacing w:after="0"/>
              <w:rPr>
                <w:sz w:val="20"/>
                <w:szCs w:val="20"/>
                <w:color w:val="auto"/>
              </w:rPr>
            </w:pPr>
            <w:r>
              <w:rPr>
                <w:rFonts w:ascii="Arial" w:cs="Arial" w:eastAsia="Arial" w:hAnsi="Arial"/>
                <w:sz w:val="18"/>
                <w:szCs w:val="18"/>
                <w:color w:val="auto"/>
              </w:rPr>
              <w:t>i</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wp:posOffset>
            </wp:positionH>
            <wp:positionV relativeFrom="paragraph">
              <wp:posOffset>23495</wp:posOffset>
            </wp:positionV>
            <wp:extent cx="1157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14"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41</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41</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41</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42</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43</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45</w:t>
        </w:r>
      </w:hyperlink>
    </w:p>
    <w:p>
      <w:pPr>
        <w:spacing w:after="0" w:line="279"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61</w:t>
        </w:r>
      </w:hyperlink>
    </w:p>
    <w:p>
      <w:pPr>
        <w:spacing w:after="0" w:line="279" w:lineRule="exact"/>
        <w:rPr>
          <w:sz w:val="20"/>
          <w:szCs w:val="20"/>
          <w:color w:val="auto"/>
        </w:rPr>
      </w:pPr>
    </w:p>
    <w:p>
      <w:pPr>
        <w:jc w:val="right"/>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93</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93</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94</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95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95</w:t>
        </w:r>
      </w:hyperlink>
    </w:p>
    <w:p>
      <w:pPr>
        <w:spacing w:after="0" w:line="279" w:lineRule="exact"/>
        <w:rPr>
          <w:sz w:val="20"/>
          <w:szCs w:val="20"/>
          <w:color w:val="auto"/>
        </w:rPr>
      </w:pPr>
    </w:p>
    <w:p>
      <w:pPr>
        <w:jc w:val="right"/>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95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95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95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96</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98</w:t>
        </w:r>
      </w:hyperlink>
    </w:p>
    <w:p>
      <w:pPr>
        <w:sectPr>
          <w:pgSz w:w="11900" w:h="16838" w:orient="portrait"/>
          <w:cols w:equalWidth="0" w:num="2">
            <w:col w:w="9600" w:space="720"/>
            <w:col w:w="1040"/>
          </w:cols>
          <w:pgMar w:left="280" w:top="742"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310"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This Form 10-K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competitive position, industry environment, potential growth opportunities, market growth expectations,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1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13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12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29"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“Fluidigm,” the Fluidigm logo, “Access Array,” “Advanta,” “Biomark,” “C1,” “Callisto,” “Cell-ID,” “CyTOF,” “D3,” “Delta Gene,” “Digital Array,” “Dynamic Array,” “EP1,” “EQ,” “FC1,” “Flex Six,” “Helios,” “High-Precision 96.96 Genotyping,” “Hyperion,” “Imaging Mass Cytometry,” “IMC,” “Juno,” “Maxpar,” “MCD,” “MSL,” “Nanoflex” “Open App,” “Polaris,” “qdPCR 37K,” “Script Builder,” “Script Hub,” “Singular,” “SNP Trace” and “SNP Type” are trademarks or registered trademarks of Fluidigm Corporation. Other service marks, trademarks and trade names referred to in this Form 10-K are the property of their respective owners.</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____________________________</w:t>
      </w:r>
    </w:p>
    <w:p>
      <w:pPr>
        <w:spacing w:after="0" w:line="21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Unless the context requires otherwise, references in this Annual Report on Form 10-K to “Fluidigm,” the “Company,” “we,” “us,” and “our” refer to Fluidigm Corporation and its subsidiaries.</w:t>
      </w:r>
    </w:p>
    <w:p>
      <w:pPr>
        <w:sectPr>
          <w:pgSz w:w="11900" w:h="16838" w:orient="portrait"/>
          <w:cols w:equalWidth="0" w:num="1">
            <w:col w:w="11400"/>
          </w:cols>
          <w:pgMar w:left="240" w:top="742"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5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Our suspension and imaging mass cytometry systems enable the highly-multiplexed analysis of cellular surface and intracellular proteins in both blood and tissue.</w:t>
      </w:r>
    </w:p>
    <w:p>
      <w:pPr>
        <w:spacing w:after="0" w:line="166" w:lineRule="exact"/>
        <w:rPr>
          <w:sz w:val="20"/>
          <w:szCs w:val="20"/>
          <w:color w:val="auto"/>
        </w:rPr>
      </w:pPr>
    </w:p>
    <w:p>
      <w:pPr>
        <w:jc w:val="both"/>
        <w:ind w:right="500" w:firstLine="432"/>
        <w:spacing w:after="0" w:line="279" w:lineRule="auto"/>
        <w:rPr>
          <w:sz w:val="20"/>
          <w:szCs w:val="20"/>
          <w:color w:val="auto"/>
        </w:rPr>
      </w:pPr>
      <w:r>
        <w:rPr>
          <w:rFonts w:ascii="Arial" w:cs="Arial" w:eastAsia="Arial" w:hAnsi="Arial"/>
          <w:sz w:val="17"/>
          <w:szCs w:val="17"/>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provide new insights into immune-modulated disease, analyze the genetic composition of individual stem cells and assess the quality of agricultural products, such as seeds or livestock.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225"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Our IFCs are manufactured using multi-layer soft lithography technology, or MSL technology, to create valves, chambers, channels and other fluidic components on our IFCs that allow nanoliter quantities of fluids to be precisely manipulated within the IFC. We have developed commercial manufacturing processes to fabricate valves, channels, vias, and chambers with dimensions in the ten to 100 micron range, at high density and with high yields.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Integrated Fluidic Circuits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IFCs incorporate several different types of technology that together enable us to use MSL technology to rapidly design and deploy new microfluidic applications. The first level of our IFC technology is a library of components that perform basic microfluidic functions, such as pumps, mixers, single-cell capture chambers, separation columns, control logic, and reaction chambers. The second level of our IFC technology comprises the architectures we have designed to exploit our ability to conduct thousands of reactions on a single IFC. The third level of our IFC technology involves the interaction of our IFCs with the actual laboratory environment. Our IFCs are built on specially designed input frames that are compatible with most commonly used laboratory systems.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Instrumentation and Software</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mass cytometry instrumentation technology includes a custom-designed inductively-coupled plasma ion source, ion-optical and vacuum systems, and instrument control electronics. With our Helios system, which is an enhanced version of our CyTOF 2 system, individual cells are atomized, ionized, and extracted. A time-of-flight mass analyzer separates atomic ions of different mass-to-charge ratios, providing information on temporal distribution of ions. The Hyperion Imaging System combines CyTOF technology with imaging capability to enable simultaneous interrogation of 4 to 37 protein markers in the spatial context of the tissue microenvironment.</w:t>
      </w:r>
    </w:p>
    <w:p>
      <w:pPr>
        <w:spacing w:after="0" w:line="188"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Biomark HD system includes our custom thermal cycler, the FC1 cycler, and a sophisticated fluorescence imaging system. Our EP1 instrument is a fluorescence reader designed for end-point imaging, suitable for genotyping and digital PCR applications. Our C1 system combines the hardware elements of our IFC controllers and FC1 cycler with sophisticated scripting and protocol control software to enable automation of single-cell capture and preparation for subsequent analysis. Certain capabilities of the C1 system have been used to create our Juno system, which serves as a universal controller and cycler for our Dynamic Array IFCs. Our Polaris system combines the capabilities of all these instruments by incorporating thermal cycling, IFC control, environmental regulation, and imaging.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5" w:name="page6"/>
    <w:bookmarkEnd w:id="5"/>
    <w:p>
      <w:pPr>
        <w:ind w:right="160" w:firstLine="432"/>
        <w:spacing w:after="0" w:line="264" w:lineRule="auto"/>
        <w:rPr>
          <w:sz w:val="20"/>
          <w:szCs w:val="20"/>
          <w:color w:val="auto"/>
        </w:rPr>
      </w:pPr>
      <w:r>
        <w:rPr>
          <w:rFonts w:ascii="Arial" w:cs="Arial" w:eastAsia="Arial" w:hAnsi="Arial"/>
          <w:sz w:val="18"/>
          <w:szCs w:val="18"/>
          <w:color w:val="auto"/>
        </w:rPr>
        <w:t>We have developed instrumentation technology to load samples and reagents onto our IFCs and to control and monitor reactions within our IFCs. Our line of IFC controllers consists of commercial pneumatic components and both custom and commercial electronics. They apply precise control of multiple pressures to move fluid and control valve states in a microfluidic IFC.</w:t>
      </w:r>
    </w:p>
    <w:p>
      <w:pPr>
        <w:spacing w:after="0" w:line="18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also developed specialized software to manage and analyze the unusually large amounts of data produced by our systems. Our bioinformatic toolset, the Singular software, facilitates the analysis and visualization of single-cell gene expression data. More recently, we extended the scope of the toolset to include DNA analysis tools. We also developed the C1 Script Builder software to enable customers to take full advantage of the flexibility of C1 IFC architecture by allowing them to program their own control scripts for the C1 system. We offer Fluidigm Cytobank, our cloud-based platform of analytical tools, for use with the Helios system.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Assays and Reagents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manufacture metal-conjugated antibodies for use with our Helios system to allow detection of up to approximately 37 protein targets simultaneously in a single cell. Our metal-conjugated antibodies are manufactured using metal-chelating polymers, which are produced using proprietary polymerization processes and subsequent post-polymerization modifications.</w:t>
      </w:r>
    </w:p>
    <w:p>
      <w:pPr>
        <w:spacing w:after="0" w:line="18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Delta Gene and single-nucleotide polymorphism type, or SNP Type, assay products consist of assay design and custom content delivery systems for gene expression and genotyping, respectively. These offerings provide low-cost alternatives to chemistries such as TaqMan, and allow customers to use IFCs in more flexible ways. PCR assay reagents need to be specific to the gene targets of interest but the process of designing a set of assays may delay the implementation experiments or require the use of expensive pre-designed assays. We have developed a process to provide customers with validated assays for their targets of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We market innovative technologies and life-science tools, including preparatory and analytical instruments for High Throughput Genomics, Single Cell Genomics, Mass Cytometry and consumables, including IFCs, assays, and reagents. Our primary product offerings are summarized in the table below:</w:t>
      </w:r>
    </w:p>
    <w:p>
      <w:pPr>
        <w:sectPr>
          <w:pgSz w:w="11900" w:h="16838" w:orient="portrait"/>
          <w:cols w:equalWidth="0" w:num="1">
            <w:col w:w="11400"/>
          </w:cols>
          <w:pgMar w:left="240" w:top="584" w:right="259" w:bottom="1440" w:gutter="0" w:footer="0" w:header="0"/>
        </w:sect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Product</w:t>
            </w:r>
          </w:p>
        </w:tc>
        <w:tc>
          <w:tcPr>
            <w:tcW w:w="4120" w:type="dxa"/>
            <w:vAlign w:val="bottom"/>
          </w:tcPr>
          <w:p>
            <w:pPr>
              <w:ind w:left="1280"/>
              <w:spacing w:after="0"/>
              <w:rPr>
                <w:sz w:val="20"/>
                <w:szCs w:val="20"/>
                <w:color w:val="auto"/>
              </w:rPr>
            </w:pPr>
            <w:r>
              <w:rPr>
                <w:rFonts w:ascii="Arial" w:cs="Arial" w:eastAsia="Arial" w:hAnsi="Arial"/>
                <w:sz w:val="18"/>
                <w:szCs w:val="18"/>
                <w:b w:val="1"/>
                <w:bCs w:val="1"/>
                <w:color w:val="auto"/>
              </w:rPr>
              <w:t>Product Description</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74"/>
        </w:trPr>
        <w:tc>
          <w:tcPr>
            <w:tcW w:w="3660" w:type="dxa"/>
            <w:vAlign w:val="bottom"/>
          </w:tcPr>
          <w:p>
            <w:pPr>
              <w:ind w:left="40"/>
              <w:spacing w:after="0"/>
              <w:rPr>
                <w:sz w:val="20"/>
                <w:szCs w:val="20"/>
                <w:color w:val="auto"/>
              </w:rPr>
            </w:pPr>
            <w:r>
              <w:rPr>
                <w:rFonts w:ascii="Arial" w:cs="Arial" w:eastAsia="Arial" w:hAnsi="Arial"/>
                <w:sz w:val="22"/>
                <w:szCs w:val="22"/>
                <w:b w:val="1"/>
                <w:bCs w:val="1"/>
                <w:color w:val="auto"/>
              </w:rPr>
              <w:t>Mass Cytometry</w:t>
            </w:r>
          </w:p>
        </w:tc>
        <w:tc>
          <w:tcPr>
            <w:tcW w:w="240" w:type="dxa"/>
            <w:vAlign w:val="bottom"/>
          </w:tcPr>
          <w:p>
            <w:pPr>
              <w:spacing w:after="0"/>
              <w:rPr>
                <w:sz w:val="23"/>
                <w:szCs w:val="23"/>
                <w:color w:val="auto"/>
              </w:rPr>
            </w:pPr>
          </w:p>
        </w:tc>
        <w:tc>
          <w:tcPr>
            <w:tcW w:w="4120" w:type="dxa"/>
            <w:vAlign w:val="bottom"/>
          </w:tcPr>
          <w:p>
            <w:pPr>
              <w:spacing w:after="0"/>
              <w:rPr>
                <w:sz w:val="23"/>
                <w:szCs w:val="23"/>
                <w:color w:val="auto"/>
              </w:rPr>
            </w:pPr>
          </w:p>
        </w:tc>
      </w:tr>
      <w:tr>
        <w:trPr>
          <w:trHeight w:val="381"/>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Analytical Systems:</w:t>
            </w:r>
          </w:p>
        </w:tc>
        <w:tc>
          <w:tcPr>
            <w:tcW w:w="4120" w:type="dxa"/>
            <w:vAlign w:val="bottom"/>
          </w:tcPr>
          <w:p>
            <w:pPr>
              <w:spacing w:after="0"/>
              <w:rPr>
                <w:sz w:val="24"/>
                <w:szCs w:val="24"/>
                <w:color w:val="auto"/>
              </w:rPr>
            </w:pPr>
          </w:p>
        </w:tc>
      </w:tr>
      <w:tr>
        <w:trPr>
          <w:trHeight w:val="37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Helios System</w:t>
            </w:r>
          </w:p>
        </w:tc>
        <w:tc>
          <w:tcPr>
            <w:tcW w:w="4120" w:type="dxa"/>
            <w:vAlign w:val="bottom"/>
          </w:tcPr>
          <w:p>
            <w:pPr>
              <w:ind w:left="20"/>
              <w:spacing w:after="0"/>
              <w:rPr>
                <w:sz w:val="20"/>
                <w:szCs w:val="20"/>
                <w:color w:val="auto"/>
              </w:rPr>
            </w:pPr>
            <w:r>
              <w:rPr>
                <w:rFonts w:ascii="Arial" w:cs="Arial" w:eastAsia="Arial" w:hAnsi="Arial"/>
                <w:sz w:val="18"/>
                <w:szCs w:val="18"/>
                <w:color w:val="auto"/>
              </w:rPr>
              <w:t>Mass cytometry instrument that performs high-</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w w:val="92"/>
              </w:rPr>
              <w:t>parameter single-cell protein analysis by analyzing cells</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w w:val="97"/>
              </w:rPr>
              <w:t>labeled with a panel of reagents conjugated to stable</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metal isotopes.</w:t>
            </w:r>
          </w:p>
        </w:tc>
      </w:tr>
      <w:tr>
        <w:trPr>
          <w:trHeight w:val="37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Hyperion Imaging System</w:t>
            </w:r>
          </w:p>
        </w:tc>
        <w:tc>
          <w:tcPr>
            <w:tcW w:w="4120" w:type="dxa"/>
            <w:vAlign w:val="bottom"/>
          </w:tcPr>
          <w:p>
            <w:pPr>
              <w:ind w:left="20"/>
              <w:spacing w:after="0"/>
              <w:rPr>
                <w:sz w:val="20"/>
                <w:szCs w:val="20"/>
                <w:color w:val="auto"/>
              </w:rPr>
            </w:pPr>
            <w:r>
              <w:rPr>
                <w:rFonts w:ascii="Arial" w:cs="Arial" w:eastAsia="Arial" w:hAnsi="Arial"/>
                <w:sz w:val="18"/>
                <w:szCs w:val="18"/>
                <w:color w:val="auto"/>
                <w:w w:val="93"/>
              </w:rPr>
              <w:t>The Hyperion Imaging System brings together imaging</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capability with proven high-parameter CyTOF</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w w:val="92"/>
              </w:rPr>
              <w:t>technology to enable the simultaneous detection of 4 to</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w w:val="95"/>
              </w:rPr>
              <w:t>37 metal-tagged protein markers in the spatial context</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of the tissue microenvironment.</w:t>
            </w:r>
          </w:p>
        </w:tc>
      </w:tr>
      <w:tr>
        <w:trPr>
          <w:trHeight w:val="37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Hyperion Tissue Imager</w:t>
            </w:r>
          </w:p>
        </w:tc>
        <w:tc>
          <w:tcPr>
            <w:tcW w:w="4120" w:type="dxa"/>
            <w:vAlign w:val="bottom"/>
          </w:tcPr>
          <w:p>
            <w:pPr>
              <w:ind w:left="20"/>
              <w:spacing w:after="0"/>
              <w:rPr>
                <w:sz w:val="20"/>
                <w:szCs w:val="20"/>
                <w:color w:val="auto"/>
              </w:rPr>
            </w:pPr>
            <w:r>
              <w:rPr>
                <w:rFonts w:ascii="Arial" w:cs="Arial" w:eastAsia="Arial" w:hAnsi="Arial"/>
                <w:sz w:val="18"/>
                <w:szCs w:val="18"/>
                <w:color w:val="auto"/>
                <w:w w:val="93"/>
              </w:rPr>
              <w:t>The Hyperion Tissue Imager scans tissues at 1 micron</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w w:val="92"/>
              </w:rPr>
              <w:t>resolution for detection using CyTOF technology. It can</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w w:val="96"/>
              </w:rPr>
              <w:t>be purchased as an upgrade for the Helios system to</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w w:val="96"/>
              </w:rPr>
              <w:t>enable imaging capability. When the Hyperion Tissue</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w w:val="95"/>
              </w:rPr>
              <w:t>Imager is connected to the Helios system, it creates a</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fully functional Hyperion Imaging System.</w:t>
            </w: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Assays and Reagents:</w:t>
            </w:r>
          </w:p>
        </w:tc>
        <w:tc>
          <w:tcPr>
            <w:tcW w:w="4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2023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Single-Cell Protein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Highly multiplexed protein imaging of tissue heterogeneity across a breadth of pathologies (diseases) including tumors, diabetes, immune diseases and infection</w:t>
      </w:r>
    </w:p>
    <w:p>
      <w:pPr>
        <w:spacing w:after="0" w:line="33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Highly multiplexed protein imaging of tissue heterogeneity across a breadth of pathologies (diseases) including tumors, diabetes, immune diseases and infection</w:t>
      </w:r>
    </w:p>
    <w:p>
      <w:pPr>
        <w:spacing w:after="0" w:line="976" w:lineRule="exact"/>
        <w:rPr>
          <w:sz w:val="20"/>
          <w:szCs w:val="20"/>
          <w:color w:val="auto"/>
        </w:rPr>
      </w:pPr>
    </w:p>
    <w:p>
      <w:pPr>
        <w:sectPr>
          <w:pgSz w:w="11900" w:h="16838" w:orient="portrait"/>
          <w:cols w:equalWidth="0" w:num="2">
            <w:col w:w="8020" w:space="240"/>
            <w:col w:w="3140"/>
          </w:cols>
          <w:pgMar w:left="240" w:top="584" w:right="259" w:bottom="1440" w:gutter="0" w:footer="0" w:header="0"/>
          <w:type w:val="continuous"/>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584" w:right="2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Product</w:t>
            </w:r>
          </w:p>
        </w:tc>
        <w:tc>
          <w:tcPr>
            <w:tcW w:w="4340" w:type="dxa"/>
            <w:vAlign w:val="bottom"/>
            <w:gridSpan w:val="2"/>
          </w:tcPr>
          <w:p>
            <w:pPr>
              <w:ind w:left="1280"/>
              <w:spacing w:after="0"/>
              <w:rPr>
                <w:sz w:val="20"/>
                <w:szCs w:val="20"/>
                <w:color w:val="auto"/>
              </w:rPr>
            </w:pPr>
            <w:r>
              <w:rPr>
                <w:rFonts w:ascii="Arial" w:cs="Arial" w:eastAsia="Arial" w:hAnsi="Arial"/>
                <w:sz w:val="18"/>
                <w:szCs w:val="18"/>
                <w:b w:val="1"/>
                <w:bCs w:val="1"/>
                <w:color w:val="auto"/>
              </w:rPr>
              <w:t>Product Description</w:t>
            </w:r>
          </w:p>
        </w:tc>
        <w:tc>
          <w:tcPr>
            <w:tcW w:w="3180" w:type="dxa"/>
            <w:vAlign w:val="bottom"/>
          </w:tcPr>
          <w:p>
            <w:pPr>
              <w:ind w:left="1100"/>
              <w:spacing w:after="0"/>
              <w:rPr>
                <w:sz w:val="20"/>
                <w:szCs w:val="20"/>
                <w:color w:val="auto"/>
              </w:rPr>
            </w:pPr>
            <w:r>
              <w:rPr>
                <w:rFonts w:ascii="Arial" w:cs="Arial" w:eastAsia="Arial" w:hAnsi="Arial"/>
                <w:sz w:val="18"/>
                <w:szCs w:val="18"/>
                <w:b w:val="1"/>
                <w:bCs w:val="1"/>
                <w:color w:val="auto"/>
              </w:rPr>
              <w:t>Applications</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Maxpar Reagents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9"/>
              </w:rPr>
              <w:t>Pre-conjugated metal-labeled antibodies for functional</w:t>
            </w:r>
          </w:p>
        </w:tc>
        <w:tc>
          <w:tcPr>
            <w:tcW w:w="3180" w:type="dxa"/>
            <w:vAlign w:val="bottom"/>
          </w:tcPr>
          <w:p>
            <w:pPr>
              <w:ind w:left="20"/>
              <w:spacing w:after="0"/>
              <w:rPr>
                <w:sz w:val="20"/>
                <w:szCs w:val="20"/>
                <w:color w:val="auto"/>
              </w:rPr>
            </w:pPr>
            <w:r>
              <w:rPr>
                <w:rFonts w:ascii="Arial" w:cs="Arial" w:eastAsia="Arial" w:hAnsi="Arial"/>
                <w:sz w:val="18"/>
                <w:szCs w:val="18"/>
                <w:color w:val="auto"/>
              </w:rPr>
              <w:t>Single-Cell Protein Analysis</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and phenotypic profiling of single cells, application</w:t>
            </w:r>
          </w:p>
        </w:tc>
        <w:tc>
          <w:tcPr>
            <w:tcW w:w="31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specific panel kits, and reagents for custom antibody</w:t>
            </w:r>
          </w:p>
        </w:tc>
        <w:tc>
          <w:tcPr>
            <w:tcW w:w="31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labeling and nucleic acid staining.</w:t>
            </w:r>
          </w:p>
        </w:tc>
        <w:tc>
          <w:tcPr>
            <w:tcW w:w="3180" w:type="dxa"/>
            <w:vAlign w:val="bottom"/>
          </w:tcPr>
          <w:p>
            <w:pPr>
              <w:spacing w:after="0"/>
              <w:rPr>
                <w:sz w:val="20"/>
                <w:szCs w:val="20"/>
                <w:color w:val="auto"/>
              </w:rPr>
            </w:pPr>
          </w:p>
        </w:tc>
      </w:tr>
    </w:tbl>
    <w:p>
      <w:pPr>
        <w:spacing w:after="0" w:line="148" w:lineRule="exact"/>
        <w:rPr>
          <w:sz w:val="20"/>
          <w:szCs w:val="20"/>
          <w:color w:val="auto"/>
        </w:rPr>
      </w:pPr>
    </w:p>
    <w:p>
      <w:pPr>
        <w:sectPr>
          <w:pgSz w:w="11900" w:h="16838" w:orient="portrait"/>
          <w:cols w:equalWidth="0" w:num="1">
            <w:col w:w="11420"/>
          </w:cols>
          <w:pgMar w:left="240" w:top="688" w:right="239" w:bottom="1440" w:gutter="0" w:footer="0" w:header="0"/>
        </w:sectPr>
      </w:pPr>
    </w:p>
    <w:p>
      <w:pPr>
        <w:ind w:left="40"/>
        <w:spacing w:after="0"/>
        <w:rPr>
          <w:sz w:val="20"/>
          <w:szCs w:val="20"/>
          <w:color w:val="auto"/>
        </w:rPr>
      </w:pPr>
      <w:r>
        <w:rPr>
          <w:rFonts w:ascii="Arial" w:cs="Arial" w:eastAsia="Arial" w:hAnsi="Arial"/>
          <w:sz w:val="22"/>
          <w:szCs w:val="22"/>
          <w:b w:val="1"/>
          <w:bCs w:val="1"/>
          <w:color w:val="auto"/>
        </w:rPr>
        <w:t>High Throughput Genomics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Preparatory Instruments:</w:t>
      </w:r>
    </w:p>
    <w:p>
      <w:pPr>
        <w:spacing w:after="0" w:line="189" w:lineRule="exact"/>
        <w:rPr>
          <w:sz w:val="20"/>
          <w:szCs w:val="20"/>
          <w:color w:val="auto"/>
        </w:rPr>
      </w:pPr>
    </w:p>
    <w:p>
      <w:pPr>
        <w:ind w:left="160"/>
        <w:spacing w:after="0"/>
        <w:tabs>
          <w:tab w:leader="none" w:pos="3900" w:val="left"/>
        </w:tabs>
        <w:rPr>
          <w:sz w:val="20"/>
          <w:szCs w:val="20"/>
          <w:color w:val="auto"/>
        </w:rPr>
      </w:pPr>
      <w:r>
        <w:rPr>
          <w:rFonts w:ascii="Arial" w:cs="Arial" w:eastAsia="Arial" w:hAnsi="Arial"/>
          <w:sz w:val="18"/>
          <w:szCs w:val="18"/>
          <w:color w:val="auto"/>
        </w:rPr>
        <w:t>Access Array System</w:t>
      </w:r>
      <w:r>
        <w:rPr>
          <w:sz w:val="20"/>
          <w:szCs w:val="20"/>
          <w:color w:val="auto"/>
        </w:rPr>
        <w:tab/>
      </w:r>
      <w:r>
        <w:rPr>
          <w:rFonts w:ascii="Arial" w:cs="Arial" w:eastAsia="Arial" w:hAnsi="Arial"/>
          <w:sz w:val="16"/>
          <w:szCs w:val="16"/>
          <w:color w:val="auto"/>
        </w:rPr>
        <w:t>A modular, flexible system that automates amplicon-</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based library preparation of up to 480 amplicons across</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48 unique samples per processing run. The resulting</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barcoded libraries are ready for targeted DNA</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sequencing on next-generation sequencing (NGS)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platforms from Illumina®, Ion Torrent®, and other</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suppliers.</w:t>
      </w:r>
    </w:p>
    <w:p>
      <w:pPr>
        <w:spacing w:after="0" w:line="170" w:lineRule="exact"/>
        <w:rPr>
          <w:sz w:val="20"/>
          <w:szCs w:val="20"/>
          <w:color w:val="auto"/>
        </w:rPr>
      </w:pPr>
    </w:p>
    <w:p>
      <w:pPr>
        <w:ind w:left="180"/>
        <w:spacing w:after="0"/>
        <w:tabs>
          <w:tab w:leader="none" w:pos="3900" w:val="left"/>
        </w:tabs>
        <w:rPr>
          <w:sz w:val="20"/>
          <w:szCs w:val="20"/>
          <w:color w:val="auto"/>
        </w:rPr>
      </w:pPr>
      <w:r>
        <w:rPr>
          <w:rFonts w:ascii="Arial" w:cs="Arial" w:eastAsia="Arial" w:hAnsi="Arial"/>
          <w:sz w:val="18"/>
          <w:szCs w:val="18"/>
          <w:color w:val="auto"/>
        </w:rPr>
        <w:t>Juno System</w:t>
      </w:r>
      <w:r>
        <w:rPr>
          <w:sz w:val="20"/>
          <w:szCs w:val="20"/>
          <w:color w:val="auto"/>
        </w:rPr>
        <w:tab/>
      </w:r>
      <w:r>
        <w:rPr>
          <w:rFonts w:ascii="Arial" w:cs="Arial" w:eastAsia="Arial" w:hAnsi="Arial"/>
          <w:sz w:val="16"/>
          <w:szCs w:val="16"/>
          <w:color w:val="auto"/>
        </w:rPr>
        <w:t>An integrated system that automates the preparation of</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amplicon-based libraries for targeted DNA next-</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generation sequencing, as well as the preparation of</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samples for genomic analysis. Additionally, Juno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automates workflows for PCR-based gene expression</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and genotyping by assembling and controlling reactions</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at the nanoliter scale, and enabling preamplification</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within the IFC for the genotyping of challenging and</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low-concentration DNA samples.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Analytical Instruments:</w:t>
      </w:r>
    </w:p>
    <w:p>
      <w:pPr>
        <w:spacing w:after="0" w:line="189" w:lineRule="exact"/>
        <w:rPr>
          <w:sz w:val="20"/>
          <w:szCs w:val="20"/>
          <w:color w:val="auto"/>
        </w:rPr>
      </w:pPr>
    </w:p>
    <w:p>
      <w:pPr>
        <w:ind w:left="180"/>
        <w:spacing w:after="0"/>
        <w:tabs>
          <w:tab w:leader="none" w:pos="3900" w:val="left"/>
        </w:tabs>
        <w:rPr>
          <w:sz w:val="20"/>
          <w:szCs w:val="20"/>
          <w:color w:val="auto"/>
        </w:rPr>
      </w:pPr>
      <w:r>
        <w:rPr>
          <w:rFonts w:ascii="Arial" w:cs="Arial" w:eastAsia="Arial" w:hAnsi="Arial"/>
          <w:sz w:val="18"/>
          <w:szCs w:val="18"/>
          <w:color w:val="auto"/>
        </w:rPr>
        <w:t>Biomark HD System</w:t>
      </w:r>
      <w:r>
        <w:rPr>
          <w:sz w:val="20"/>
          <w:szCs w:val="20"/>
          <w:color w:val="auto"/>
        </w:rPr>
        <w:tab/>
      </w:r>
      <w:r>
        <w:rPr>
          <w:rFonts w:ascii="Arial" w:cs="Arial" w:eastAsia="Arial" w:hAnsi="Arial"/>
          <w:sz w:val="16"/>
          <w:szCs w:val="16"/>
          <w:color w:val="auto"/>
        </w:rPr>
        <w:t>Real-time PCR analytical instrument for high-</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throughput gene expression analysis, single-cell</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targeted gene expression analysis, microRNA analysis,</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SNP genotyping, and digital PCR.</w:t>
      </w:r>
    </w:p>
    <w:p>
      <w:pPr>
        <w:spacing w:after="0" w:line="170" w:lineRule="exact"/>
        <w:rPr>
          <w:sz w:val="20"/>
          <w:szCs w:val="20"/>
          <w:color w:val="auto"/>
        </w:rPr>
      </w:pPr>
    </w:p>
    <w:p>
      <w:pPr>
        <w:ind w:left="180"/>
        <w:spacing w:after="0"/>
        <w:tabs>
          <w:tab w:leader="none" w:pos="3900" w:val="left"/>
        </w:tabs>
        <w:rPr>
          <w:sz w:val="20"/>
          <w:szCs w:val="20"/>
          <w:color w:val="auto"/>
        </w:rPr>
      </w:pPr>
      <w:r>
        <w:rPr>
          <w:rFonts w:ascii="Arial" w:cs="Arial" w:eastAsia="Arial" w:hAnsi="Arial"/>
          <w:sz w:val="18"/>
          <w:szCs w:val="18"/>
          <w:color w:val="auto"/>
        </w:rPr>
        <w:t>EP1 System</w:t>
      </w:r>
      <w:r>
        <w:rPr>
          <w:sz w:val="20"/>
          <w:szCs w:val="20"/>
          <w:color w:val="auto"/>
        </w:rPr>
        <w:tab/>
      </w:r>
      <w:r>
        <w:rPr>
          <w:rFonts w:ascii="Arial" w:cs="Arial" w:eastAsia="Arial" w:hAnsi="Arial"/>
          <w:sz w:val="16"/>
          <w:szCs w:val="16"/>
          <w:color w:val="auto"/>
        </w:rPr>
        <w:t>End-point PCR analytical instrument that performs</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high-throughput SNP genotyping and end-point digital</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PCR.</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Integrated Fluidic Circuits (IFCs):</w:t>
      </w:r>
    </w:p>
    <w:p>
      <w:pPr>
        <w:spacing w:after="0" w:line="189" w:lineRule="exact"/>
        <w:rPr>
          <w:sz w:val="20"/>
          <w:szCs w:val="20"/>
          <w:color w:val="auto"/>
        </w:rPr>
      </w:pPr>
    </w:p>
    <w:p>
      <w:pPr>
        <w:ind w:left="180"/>
        <w:spacing w:after="0"/>
        <w:tabs>
          <w:tab w:leader="none" w:pos="3900" w:val="left"/>
        </w:tabs>
        <w:rPr>
          <w:sz w:val="20"/>
          <w:szCs w:val="20"/>
          <w:color w:val="auto"/>
        </w:rPr>
      </w:pPr>
      <w:r>
        <w:rPr>
          <w:rFonts w:ascii="Arial" w:cs="Arial" w:eastAsia="Arial" w:hAnsi="Arial"/>
          <w:sz w:val="18"/>
          <w:szCs w:val="18"/>
          <w:color w:val="auto"/>
        </w:rPr>
        <w:t>LP IFCs</w:t>
      </w:r>
      <w:r>
        <w:rPr>
          <w:sz w:val="20"/>
          <w:szCs w:val="20"/>
          <w:color w:val="auto"/>
        </w:rPr>
        <w:tab/>
      </w:r>
      <w:r>
        <w:rPr>
          <w:rFonts w:ascii="Arial" w:cs="Arial" w:eastAsia="Arial" w:hAnsi="Arial"/>
          <w:sz w:val="16"/>
          <w:szCs w:val="16"/>
          <w:color w:val="auto"/>
        </w:rPr>
        <w:t>Library Preparation IFCs to support targeted DNA</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sequencing of 48 or 192 samples on next generation</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sequencing instruments.</w:t>
      </w:r>
    </w:p>
    <w:p>
      <w:pPr>
        <w:spacing w:after="0" w:line="170" w:lineRule="exact"/>
        <w:rPr>
          <w:sz w:val="20"/>
          <w:szCs w:val="20"/>
          <w:color w:val="auto"/>
        </w:rPr>
      </w:pPr>
    </w:p>
    <w:p>
      <w:pPr>
        <w:ind w:left="180"/>
        <w:spacing w:after="0"/>
        <w:tabs>
          <w:tab w:leader="none" w:pos="3900" w:val="left"/>
        </w:tabs>
        <w:rPr>
          <w:sz w:val="20"/>
          <w:szCs w:val="20"/>
          <w:color w:val="auto"/>
        </w:rPr>
      </w:pPr>
      <w:r>
        <w:rPr>
          <w:rFonts w:ascii="Arial" w:cs="Arial" w:eastAsia="Arial" w:hAnsi="Arial"/>
          <w:sz w:val="18"/>
          <w:szCs w:val="18"/>
          <w:color w:val="auto"/>
        </w:rPr>
        <w:t>Juno Genotyping IFC</w:t>
      </w:r>
      <w:r>
        <w:rPr>
          <w:sz w:val="20"/>
          <w:szCs w:val="20"/>
          <w:color w:val="auto"/>
        </w:rPr>
        <w:tab/>
      </w:r>
      <w:r>
        <w:rPr>
          <w:rFonts w:ascii="Arial" w:cs="Arial" w:eastAsia="Arial" w:hAnsi="Arial"/>
          <w:sz w:val="16"/>
          <w:szCs w:val="16"/>
          <w:color w:val="auto"/>
        </w:rPr>
        <w:t>IFC that incorporate preamplification for genotyping of</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96 samples and 96 markers on a single run.</w:t>
      </w:r>
    </w:p>
    <w:p>
      <w:pPr>
        <w:spacing w:after="0" w:line="170" w:lineRule="exact"/>
        <w:rPr>
          <w:sz w:val="20"/>
          <w:szCs w:val="20"/>
          <w:color w:val="auto"/>
        </w:rPr>
      </w:pPr>
    </w:p>
    <w:p>
      <w:pPr>
        <w:ind w:left="180"/>
        <w:spacing w:after="0"/>
        <w:tabs>
          <w:tab w:leader="none" w:pos="3900" w:val="left"/>
        </w:tabs>
        <w:rPr>
          <w:sz w:val="20"/>
          <w:szCs w:val="20"/>
          <w:color w:val="auto"/>
        </w:rPr>
      </w:pPr>
      <w:r>
        <w:rPr>
          <w:rFonts w:ascii="Arial" w:cs="Arial" w:eastAsia="Arial" w:hAnsi="Arial"/>
          <w:sz w:val="18"/>
          <w:szCs w:val="18"/>
          <w:color w:val="auto"/>
        </w:rPr>
        <w:t>Dynamic Array IFCs</w:t>
      </w:r>
      <w:r>
        <w:rPr>
          <w:sz w:val="20"/>
          <w:szCs w:val="20"/>
          <w:color w:val="auto"/>
        </w:rPr>
        <w:tab/>
      </w:r>
      <w:r>
        <w:rPr>
          <w:rFonts w:ascii="Arial" w:cs="Arial" w:eastAsia="Arial" w:hAnsi="Arial"/>
          <w:sz w:val="16"/>
          <w:szCs w:val="16"/>
          <w:color w:val="auto"/>
        </w:rPr>
        <w:t>IFCs based on matrix architecture, allowing users to (i)</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individually assay up to 48 samples against up to 48</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assays, (ii) individually assay up to 96 samples against</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up to 96 assays, or (iii) individually assay up to 192</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samples against up to 24 assays.</w:t>
      </w:r>
    </w:p>
    <w:p>
      <w:pPr>
        <w:spacing w:after="0" w:line="170" w:lineRule="exact"/>
        <w:rPr>
          <w:sz w:val="20"/>
          <w:szCs w:val="20"/>
          <w:color w:val="auto"/>
        </w:rPr>
      </w:pPr>
    </w:p>
    <w:p>
      <w:pPr>
        <w:ind w:left="180"/>
        <w:spacing w:after="0"/>
        <w:tabs>
          <w:tab w:leader="none" w:pos="3900" w:val="left"/>
        </w:tabs>
        <w:rPr>
          <w:sz w:val="20"/>
          <w:szCs w:val="20"/>
          <w:color w:val="auto"/>
        </w:rPr>
      </w:pPr>
      <w:r>
        <w:rPr>
          <w:rFonts w:ascii="Arial" w:cs="Arial" w:eastAsia="Arial" w:hAnsi="Arial"/>
          <w:sz w:val="18"/>
          <w:szCs w:val="18"/>
          <w:color w:val="auto"/>
        </w:rPr>
        <w:t>Digital Array IFCs</w:t>
      </w:r>
      <w:r>
        <w:rPr>
          <w:sz w:val="20"/>
          <w:szCs w:val="20"/>
          <w:color w:val="auto"/>
        </w:rPr>
        <w:tab/>
      </w:r>
      <w:r>
        <w:rPr>
          <w:rFonts w:ascii="Arial" w:cs="Arial" w:eastAsia="Arial" w:hAnsi="Arial"/>
          <w:sz w:val="16"/>
          <w:szCs w:val="16"/>
          <w:color w:val="auto"/>
        </w:rPr>
        <w:t>IFCs based on partitioning architecture allowing users</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to (i) individually assay up to 12 samples or panels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across 765 chambers, or to (ii) individually assay up to</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48 samples across 770 chambers per IFC.</w:t>
      </w:r>
    </w:p>
    <w:p>
      <w:pPr>
        <w:spacing w:after="0" w:line="3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Library preparation for targeted DNA sequencing on NGS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Library preparation for targeted DNA sequencing on NGS systems. End-Point PCR, SNP Genotyping and Gene Expression, and digital PCR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SNP Genotyping, Digital PCR, and Gene Expression, including Single-Cell Targeted Gene Expression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SNP Genotyping and Digital PCR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Library preparation for targeted DNA next-generation sequencing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Low concentration DNA samples</w:t>
      </w:r>
    </w:p>
    <w:p>
      <w:pPr>
        <w:spacing w:after="0" w:line="200" w:lineRule="exact"/>
        <w:rPr>
          <w:sz w:val="20"/>
          <w:szCs w:val="20"/>
          <w:color w:val="auto"/>
        </w:rPr>
      </w:pPr>
    </w:p>
    <w:p>
      <w:pPr>
        <w:spacing w:after="0" w:line="20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Real-time qPCR, End-Point PCR, SNP Genotyping and Gene Expression, including Single-Cell Targeted Gene Expression</w:t>
      </w: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Digital PCR, Copy Number Variation and Variant Detection</w:t>
      </w:r>
    </w:p>
    <w:p>
      <w:pPr>
        <w:sectPr>
          <w:pgSz w:w="11900" w:h="16838" w:orient="portrait"/>
          <w:cols w:equalWidth="0" w:num="2">
            <w:col w:w="7960" w:space="300"/>
            <w:col w:w="3160"/>
          </w:cols>
          <w:pgMar w:left="240" w:top="688"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Product</w:t>
            </w:r>
          </w:p>
        </w:tc>
        <w:tc>
          <w:tcPr>
            <w:tcW w:w="4340" w:type="dxa"/>
            <w:vAlign w:val="bottom"/>
            <w:gridSpan w:val="2"/>
          </w:tcPr>
          <w:p>
            <w:pPr>
              <w:ind w:left="1280"/>
              <w:spacing w:after="0"/>
              <w:rPr>
                <w:sz w:val="20"/>
                <w:szCs w:val="20"/>
                <w:color w:val="auto"/>
              </w:rPr>
            </w:pPr>
            <w:r>
              <w:rPr>
                <w:rFonts w:ascii="Arial" w:cs="Arial" w:eastAsia="Arial" w:hAnsi="Arial"/>
                <w:sz w:val="18"/>
                <w:szCs w:val="18"/>
                <w:b w:val="1"/>
                <w:bCs w:val="1"/>
                <w:color w:val="auto"/>
              </w:rPr>
              <w:t>Product Description</w:t>
            </w:r>
          </w:p>
        </w:tc>
        <w:tc>
          <w:tcPr>
            <w:tcW w:w="3180" w:type="dxa"/>
            <w:vAlign w:val="bottom"/>
          </w:tcPr>
          <w:p>
            <w:pPr>
              <w:ind w:left="1100"/>
              <w:spacing w:after="0"/>
              <w:rPr>
                <w:sz w:val="20"/>
                <w:szCs w:val="20"/>
                <w:color w:val="auto"/>
              </w:rPr>
            </w:pPr>
            <w:r>
              <w:rPr>
                <w:rFonts w:ascii="Arial" w:cs="Arial" w:eastAsia="Arial" w:hAnsi="Arial"/>
                <w:sz w:val="18"/>
                <w:szCs w:val="18"/>
                <w:b w:val="1"/>
                <w:bCs w:val="1"/>
                <w:color w:val="auto"/>
              </w:rPr>
              <w:t>Applications</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Flex Six IFC</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9"/>
              </w:rPr>
              <w:t>IFC that incorporates six 12 X 12 partitions that can be</w:t>
            </w:r>
          </w:p>
        </w:tc>
        <w:tc>
          <w:tcPr>
            <w:tcW w:w="3180" w:type="dxa"/>
            <w:vAlign w:val="bottom"/>
          </w:tcPr>
          <w:p>
            <w:pPr>
              <w:ind w:left="20"/>
              <w:spacing w:after="0"/>
              <w:rPr>
                <w:sz w:val="20"/>
                <w:szCs w:val="20"/>
                <w:color w:val="auto"/>
              </w:rPr>
            </w:pPr>
            <w:r>
              <w:rPr>
                <w:rFonts w:ascii="Arial" w:cs="Arial" w:eastAsia="Arial" w:hAnsi="Arial"/>
                <w:sz w:val="18"/>
                <w:szCs w:val="18"/>
                <w:color w:val="auto"/>
              </w:rPr>
              <w:t>Gene Expression and SNP Genotyping</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organized in any configuration, in up to six separate</w:t>
            </w:r>
          </w:p>
        </w:tc>
        <w:tc>
          <w:tcPr>
            <w:tcW w:w="31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experimental runs.</w:t>
            </w:r>
          </w:p>
        </w:tc>
        <w:tc>
          <w:tcPr>
            <w:tcW w:w="3180" w:type="dxa"/>
            <w:vAlign w:val="bottom"/>
          </w:tcPr>
          <w:p>
            <w:pPr>
              <w:spacing w:after="0"/>
              <w:rPr>
                <w:sz w:val="20"/>
                <w:szCs w:val="20"/>
                <w:color w:val="auto"/>
              </w:rPr>
            </w:pPr>
          </w:p>
        </w:tc>
      </w:tr>
      <w:tr>
        <w:trPr>
          <w:trHeight w:val="392"/>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Assays and Reagents:</w:t>
            </w: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7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Delta Gene and SNP Type Assays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Custom designed assays for specific nucleic acid</w:t>
            </w:r>
          </w:p>
        </w:tc>
        <w:tc>
          <w:tcPr>
            <w:tcW w:w="3180" w:type="dxa"/>
            <w:vAlign w:val="bottom"/>
          </w:tcPr>
          <w:p>
            <w:pPr>
              <w:ind w:left="20"/>
              <w:spacing w:after="0"/>
              <w:rPr>
                <w:sz w:val="20"/>
                <w:szCs w:val="20"/>
                <w:color w:val="auto"/>
              </w:rPr>
            </w:pPr>
            <w:r>
              <w:rPr>
                <w:rFonts w:ascii="Arial" w:cs="Arial" w:eastAsia="Arial" w:hAnsi="Arial"/>
                <w:sz w:val="18"/>
                <w:szCs w:val="18"/>
                <w:color w:val="auto"/>
              </w:rPr>
              <w:t>Gene Expression, Single-Cell Targeted</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regions of interest, providing optimized assays, content,</w:t>
            </w:r>
          </w:p>
        </w:tc>
        <w:tc>
          <w:tcPr>
            <w:tcW w:w="3180" w:type="dxa"/>
            <w:vAlign w:val="bottom"/>
          </w:tcPr>
          <w:p>
            <w:pPr>
              <w:ind w:left="20"/>
              <w:spacing w:after="0"/>
              <w:rPr>
                <w:sz w:val="20"/>
                <w:szCs w:val="20"/>
                <w:color w:val="auto"/>
              </w:rPr>
            </w:pPr>
            <w:r>
              <w:rPr>
                <w:rFonts w:ascii="Arial" w:cs="Arial" w:eastAsia="Arial" w:hAnsi="Arial"/>
                <w:sz w:val="18"/>
                <w:szCs w:val="18"/>
                <w:color w:val="auto"/>
                <w:w w:val="98"/>
              </w:rPr>
              <w:t>Gene Expression, and SNP Genotyping</w:t>
            </w: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and services to users of Biomark and EP1 systems at</w:t>
            </w:r>
          </w:p>
        </w:tc>
        <w:tc>
          <w:tcPr>
            <w:tcW w:w="31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7"/>
              </w:rPr>
              <w:t>lower cost as compared to other commercially available</w:t>
            </w:r>
          </w:p>
        </w:tc>
        <w:tc>
          <w:tcPr>
            <w:tcW w:w="31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chemistries.</w:t>
            </w:r>
          </w:p>
        </w:tc>
        <w:tc>
          <w:tcPr>
            <w:tcW w:w="3180" w:type="dxa"/>
            <w:vAlign w:val="bottom"/>
          </w:tcPr>
          <w:p>
            <w:pPr>
              <w:spacing w:after="0"/>
              <w:rPr>
                <w:sz w:val="20"/>
                <w:szCs w:val="20"/>
                <w:color w:val="auto"/>
              </w:rPr>
            </w:pPr>
          </w:p>
        </w:tc>
      </w:tr>
      <w:tr>
        <w:trPr>
          <w:trHeight w:val="377"/>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Access Array Target-Specific Primers and</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Custom designed amplicon-library preparation assays</w:t>
            </w:r>
          </w:p>
        </w:tc>
        <w:tc>
          <w:tcPr>
            <w:tcW w:w="3180" w:type="dxa"/>
            <w:vAlign w:val="bottom"/>
          </w:tcPr>
          <w:p>
            <w:pPr>
              <w:ind w:left="20"/>
              <w:spacing w:after="0"/>
              <w:rPr>
                <w:sz w:val="20"/>
                <w:szCs w:val="20"/>
                <w:color w:val="auto"/>
              </w:rPr>
            </w:pPr>
            <w:r>
              <w:rPr>
                <w:rFonts w:ascii="Arial" w:cs="Arial" w:eastAsia="Arial" w:hAnsi="Arial"/>
                <w:sz w:val="18"/>
                <w:szCs w:val="18"/>
                <w:color w:val="auto"/>
              </w:rPr>
              <w:t>Targeted Sequencing with</w:t>
            </w:r>
          </w:p>
        </w:tc>
      </w:tr>
      <w:tr>
        <w:trPr>
          <w:trHeight w:val="216"/>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Targeted Sequencing Prep Primers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w w:val="99"/>
              </w:rPr>
              <w:t>for use with Access Array IFCs on the Access Array or</w:t>
            </w:r>
          </w:p>
        </w:tc>
        <w:tc>
          <w:tcPr>
            <w:tcW w:w="3180" w:type="dxa"/>
            <w:vAlign w:val="bottom"/>
          </w:tcPr>
          <w:p>
            <w:pPr>
              <w:ind w:left="20"/>
              <w:spacing w:after="0"/>
              <w:rPr>
                <w:sz w:val="20"/>
                <w:szCs w:val="20"/>
                <w:color w:val="auto"/>
              </w:rPr>
            </w:pPr>
            <w:r>
              <w:rPr>
                <w:rFonts w:ascii="Arial" w:cs="Arial" w:eastAsia="Arial" w:hAnsi="Arial"/>
                <w:sz w:val="18"/>
                <w:szCs w:val="18"/>
                <w:color w:val="auto"/>
              </w:rPr>
              <w:t>Next-Generation DNA</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Juno systems.</w:t>
            </w:r>
          </w:p>
        </w:tc>
        <w:tc>
          <w:tcPr>
            <w:tcW w:w="3180" w:type="dxa"/>
            <w:vAlign w:val="bottom"/>
          </w:tcPr>
          <w:p>
            <w:pPr>
              <w:ind w:left="20"/>
              <w:spacing w:after="0"/>
              <w:rPr>
                <w:sz w:val="20"/>
                <w:szCs w:val="20"/>
                <w:color w:val="auto"/>
              </w:rPr>
            </w:pPr>
            <w:r>
              <w:rPr>
                <w:rFonts w:ascii="Arial" w:cs="Arial" w:eastAsia="Arial" w:hAnsi="Arial"/>
                <w:sz w:val="18"/>
                <w:szCs w:val="18"/>
                <w:color w:val="auto"/>
              </w:rPr>
              <w:t>Sequencing</w:t>
            </w:r>
          </w:p>
        </w:tc>
      </w:tr>
      <w:tr>
        <w:trPr>
          <w:trHeight w:val="37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Targeted DNA Seq Library Assays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Custom designed amplicon-library preparation assays</w:t>
            </w:r>
          </w:p>
        </w:tc>
        <w:tc>
          <w:tcPr>
            <w:tcW w:w="318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for use with LP IFCs on the Access Array or Juno</w:t>
            </w:r>
          </w:p>
        </w:tc>
        <w:tc>
          <w:tcPr>
            <w:tcW w:w="31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systems.</w:t>
            </w:r>
          </w:p>
        </w:tc>
        <w:tc>
          <w:tcPr>
            <w:tcW w:w="3180" w:type="dxa"/>
            <w:vAlign w:val="bottom"/>
          </w:tcPr>
          <w:p>
            <w:pPr>
              <w:spacing w:after="0"/>
              <w:rPr>
                <w:sz w:val="20"/>
                <w:szCs w:val="20"/>
                <w:color w:val="auto"/>
              </w:rPr>
            </w:pPr>
          </w:p>
        </w:tc>
      </w:tr>
    </w:tbl>
    <w:p>
      <w:pPr>
        <w:spacing w:after="0" w:line="148" w:lineRule="exact"/>
        <w:rPr>
          <w:sz w:val="20"/>
          <w:szCs w:val="20"/>
          <w:color w:val="auto"/>
        </w:rPr>
      </w:pPr>
    </w:p>
    <w:p>
      <w:pPr>
        <w:sectPr>
          <w:pgSz w:w="11900" w:h="16838" w:orient="portrait"/>
          <w:cols w:equalWidth="0" w:num="1">
            <w:col w:w="11420"/>
          </w:cols>
          <w:pgMar w:left="240" w:top="688" w:right="239" w:bottom="1440" w:gutter="0" w:footer="0" w:header="0"/>
        </w:sectPr>
      </w:pPr>
    </w:p>
    <w:p>
      <w:pPr>
        <w:ind w:left="40"/>
        <w:spacing w:after="0"/>
        <w:rPr>
          <w:sz w:val="20"/>
          <w:szCs w:val="20"/>
          <w:color w:val="auto"/>
        </w:rPr>
      </w:pPr>
      <w:r>
        <w:rPr>
          <w:rFonts w:ascii="Arial" w:cs="Arial" w:eastAsia="Arial" w:hAnsi="Arial"/>
          <w:sz w:val="22"/>
          <w:szCs w:val="22"/>
          <w:b w:val="1"/>
          <w:bCs w:val="1"/>
          <w:color w:val="auto"/>
        </w:rPr>
        <w:t>Single Cell Genomics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Preparatory Instrument:</w:t>
      </w:r>
    </w:p>
    <w:p>
      <w:pPr>
        <w:spacing w:after="0" w:line="189" w:lineRule="exact"/>
        <w:rPr>
          <w:sz w:val="20"/>
          <w:szCs w:val="20"/>
          <w:color w:val="auto"/>
        </w:rPr>
      </w:pPr>
    </w:p>
    <w:p>
      <w:pPr>
        <w:ind w:left="180"/>
        <w:spacing w:after="0"/>
        <w:tabs>
          <w:tab w:leader="none" w:pos="3900" w:val="left"/>
        </w:tabs>
        <w:rPr>
          <w:sz w:val="20"/>
          <w:szCs w:val="20"/>
          <w:color w:val="auto"/>
        </w:rPr>
      </w:pPr>
      <w:r>
        <w:rPr>
          <w:rFonts w:ascii="Arial" w:cs="Arial" w:eastAsia="Arial" w:hAnsi="Arial"/>
          <w:sz w:val="18"/>
          <w:szCs w:val="18"/>
          <w:color w:val="auto"/>
        </w:rPr>
        <w:t>C1 System</w:t>
      </w:r>
      <w:r>
        <w:rPr>
          <w:sz w:val="20"/>
          <w:szCs w:val="20"/>
          <w:color w:val="auto"/>
        </w:rPr>
        <w:tab/>
      </w:r>
      <w:r>
        <w:rPr>
          <w:rFonts w:ascii="Arial" w:cs="Arial" w:eastAsia="Arial" w:hAnsi="Arial"/>
          <w:sz w:val="16"/>
          <w:szCs w:val="16"/>
          <w:color w:val="auto"/>
        </w:rPr>
        <w:t>Sample preparation system that rapidly and reliably</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7"/>
          <w:szCs w:val="17"/>
          <w:color w:val="auto"/>
        </w:rPr>
        <w:t>isolates and processes individual cells for genomic</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Preparatory Analytical Instruments:</w:t>
      </w:r>
    </w:p>
    <w:p>
      <w:pPr>
        <w:spacing w:after="0" w:line="189" w:lineRule="exact"/>
        <w:rPr>
          <w:sz w:val="20"/>
          <w:szCs w:val="20"/>
          <w:color w:val="auto"/>
        </w:rPr>
      </w:pPr>
    </w:p>
    <w:p>
      <w:pPr>
        <w:ind w:left="180"/>
        <w:spacing w:after="0"/>
        <w:tabs>
          <w:tab w:leader="none" w:pos="3900" w:val="left"/>
        </w:tabs>
        <w:rPr>
          <w:sz w:val="20"/>
          <w:szCs w:val="20"/>
          <w:color w:val="auto"/>
        </w:rPr>
      </w:pPr>
      <w:r>
        <w:rPr>
          <w:rFonts w:ascii="Arial" w:cs="Arial" w:eastAsia="Arial" w:hAnsi="Arial"/>
          <w:sz w:val="18"/>
          <w:szCs w:val="18"/>
          <w:color w:val="auto"/>
        </w:rPr>
        <w:t>Polaris System</w:t>
      </w:r>
      <w:r>
        <w:rPr>
          <w:sz w:val="20"/>
          <w:szCs w:val="20"/>
          <w:color w:val="auto"/>
        </w:rPr>
        <w:tab/>
      </w:r>
      <w:r>
        <w:rPr>
          <w:rFonts w:ascii="Arial" w:cs="Arial" w:eastAsia="Arial" w:hAnsi="Arial"/>
          <w:sz w:val="16"/>
          <w:szCs w:val="16"/>
          <w:color w:val="auto"/>
        </w:rPr>
        <w:t>System and IFC that enables single cell contextual</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studies by facilitating active/live cell selection,</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isolation, imaging, dosing, and cell culturing</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workflows.</w:t>
      </w:r>
    </w:p>
    <w:p>
      <w:pPr>
        <w:spacing w:after="0" w:line="170" w:lineRule="exact"/>
        <w:rPr>
          <w:sz w:val="20"/>
          <w:szCs w:val="20"/>
          <w:color w:val="auto"/>
        </w:rPr>
      </w:pPr>
    </w:p>
    <w:p>
      <w:pPr>
        <w:ind w:left="180"/>
        <w:spacing w:after="0"/>
        <w:tabs>
          <w:tab w:leader="none" w:pos="3900" w:val="left"/>
        </w:tabs>
        <w:rPr>
          <w:sz w:val="20"/>
          <w:szCs w:val="20"/>
          <w:color w:val="auto"/>
        </w:rPr>
      </w:pPr>
      <w:r>
        <w:rPr>
          <w:rFonts w:ascii="Arial" w:cs="Arial" w:eastAsia="Arial" w:hAnsi="Arial"/>
          <w:sz w:val="18"/>
          <w:szCs w:val="18"/>
          <w:color w:val="auto"/>
        </w:rPr>
        <w:t>C1 IFCs</w:t>
      </w:r>
      <w:r>
        <w:rPr>
          <w:sz w:val="20"/>
          <w:szCs w:val="20"/>
          <w:color w:val="auto"/>
        </w:rPr>
        <w:tab/>
      </w:r>
      <w:r>
        <w:rPr>
          <w:rFonts w:ascii="Arial" w:cs="Arial" w:eastAsia="Arial" w:hAnsi="Arial"/>
          <w:sz w:val="16"/>
          <w:szCs w:val="16"/>
          <w:color w:val="auto"/>
        </w:rPr>
        <w:t>IFCs that capture up to 800 cells between 5-25 microns</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in diameter and then automatically process the cells for</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 variety of genomic analysis using thermal and</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pneumatic controls at nanoliter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tabs>
          <w:tab w:leader="none" w:pos="3900" w:val="left"/>
        </w:tabs>
        <w:rPr>
          <w:sz w:val="20"/>
          <w:szCs w:val="20"/>
          <w:color w:val="auto"/>
        </w:rPr>
      </w:pPr>
      <w:r>
        <w:rPr>
          <w:rFonts w:ascii="Arial" w:cs="Arial" w:eastAsia="Arial" w:hAnsi="Arial"/>
          <w:sz w:val="18"/>
          <w:szCs w:val="18"/>
          <w:color w:val="auto"/>
        </w:rPr>
        <w:t>Polaris IFC</w:t>
      </w:r>
      <w:r>
        <w:rPr>
          <w:sz w:val="20"/>
          <w:szCs w:val="20"/>
          <w:color w:val="auto"/>
        </w:rPr>
        <w:tab/>
      </w:r>
      <w:r>
        <w:rPr>
          <w:rFonts w:ascii="Arial" w:cs="Arial" w:eastAsia="Arial" w:hAnsi="Arial"/>
          <w:sz w:val="16"/>
          <w:szCs w:val="16"/>
          <w:color w:val="auto"/>
        </w:rPr>
        <w:t>IFC that actively selects, captures and cultures up to 48</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single-cells for up to 24 hours. It integrates media</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exchange, dosing and time course studies followed by</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cell lysis, reverse transcriptions and library preparation</w:t>
      </w:r>
    </w:p>
    <w:p>
      <w:pPr>
        <w:spacing w:after="0" w:line="32"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 single cell mRNA sequencing.</w:t>
      </w:r>
    </w:p>
    <w:p>
      <w:pPr>
        <w:spacing w:after="0" w:line="3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Single-Cell Targeted Gene Expression, Single-Cell microRNA Analysis, Single-Cell mRNA Sequencing (Full Length and End-Counting), Single-Cell Targeted DNA Sequencing, Single-Cell Whole Exome Sequencing, and Single-Cell Whole Genome DNA Sequencing, Single-Cell Epigenetics</w:t>
      </w:r>
    </w:p>
    <w:p>
      <w:pPr>
        <w:spacing w:after="0" w:line="200" w:lineRule="exact"/>
        <w:rPr>
          <w:sz w:val="20"/>
          <w:szCs w:val="20"/>
          <w:color w:val="auto"/>
        </w:rPr>
      </w:pPr>
    </w:p>
    <w:p>
      <w:pPr>
        <w:spacing w:after="0" w:line="3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Functional Genomics Using Single-Cell mRNA Sequencing</w:t>
      </w:r>
    </w:p>
    <w:p>
      <w:pPr>
        <w:spacing w:after="0" w:line="200" w:lineRule="exact"/>
        <w:rPr>
          <w:sz w:val="20"/>
          <w:szCs w:val="20"/>
          <w:color w:val="auto"/>
        </w:rPr>
      </w:pPr>
    </w:p>
    <w:p>
      <w:pPr>
        <w:spacing w:after="0" w:line="362"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Single-Cell Targeted Gene Expression, Single-Cell microRNA Analysis, Single-Cell mRNA Sequencing (Full Length and End-Counting), Single-Cell Targeted DNA Sequencing, Single-Cell Whole Exome DNA Sequencing, and Single-Cell Whole Genome DNA Sequencing. Additional customer and 3</w:t>
      </w:r>
      <w:r>
        <w:rPr>
          <w:rFonts w:ascii="Arial" w:cs="Arial" w:eastAsia="Arial" w:hAnsi="Arial"/>
          <w:sz w:val="24"/>
          <w:szCs w:val="24"/>
          <w:color w:val="auto"/>
          <w:vertAlign w:val="superscript"/>
        </w:rPr>
        <w:t>rd</w:t>
      </w:r>
      <w:r>
        <w:rPr>
          <w:rFonts w:ascii="Arial" w:cs="Arial" w:eastAsia="Arial" w:hAnsi="Arial"/>
          <w:sz w:val="17"/>
          <w:szCs w:val="17"/>
          <w:color w:val="auto"/>
        </w:rPr>
        <w:t>-party developed applications available through Fluidigm Script Hub</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Functional Genomics of Single Cells</w:t>
      </w:r>
    </w:p>
    <w:p>
      <w:pPr>
        <w:sectPr>
          <w:pgSz w:w="11900" w:h="16838" w:orient="portrait"/>
          <w:cols w:equalWidth="0" w:num="2">
            <w:col w:w="7900" w:space="360"/>
            <w:col w:w="3160"/>
          </w:cols>
          <w:pgMar w:left="240" w:top="688"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current markets for our products include genomics and proteomics, predominantly among academic life science research customers, but also in various applied markets customers, such as clinical research laboratories, biopharmaceutical companies, biorepositories and agricultural biotechnology entities.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Genomics</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One primary area of focus within life science research is genetic analysis, the study of genes and their functions. The hereditary material or nucleic acid of an organism is often referred to as its genome, the protein-encoding regions of which are commonly known as genes. Analysis of variations in genomes, genes and gene activity in and between organisms can provide valuable insight into their health and functioning. Single-cell genomics is the study of the sequence and expression of genes and their ultimate functions at the individual cell level.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several forms of genetic analysis in use today, including genotyping, gene expression analysis and DNA sequencing.</w:t>
      </w:r>
    </w:p>
    <w:p>
      <w:pPr>
        <w:spacing w:after="0" w:line="225" w:lineRule="exact"/>
        <w:rPr>
          <w:sz w:val="20"/>
          <w:szCs w:val="20"/>
          <w:color w:val="auto"/>
        </w:rPr>
      </w:pPr>
    </w:p>
    <w:p>
      <w:pPr>
        <w:ind w:left="740" w:right="180" w:hanging="246"/>
        <w:spacing w:after="0" w:line="312" w:lineRule="auto"/>
        <w:tabs>
          <w:tab w:leader="none" w:pos="7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Genotyping involves the analysis of DNA variations across individual genomes. There are multiple forms of variants, including single nucleotide polymorphism, or SNPs, insertion-deletions and copy number variation. A common application of genotyping focuses on analyzing SNPs to determine whether a SNP or group of SNPs are associated with a particular genetic trait, such as propensity for a disease.</w:t>
      </w:r>
    </w:p>
    <w:p>
      <w:pPr>
        <w:spacing w:after="0" w:line="146" w:lineRule="exact"/>
        <w:rPr>
          <w:rFonts w:ascii="Arial" w:cs="Arial" w:eastAsia="Arial" w:hAnsi="Arial"/>
          <w:sz w:val="16"/>
          <w:szCs w:val="16"/>
          <w:color w:val="auto"/>
        </w:rPr>
      </w:pPr>
    </w:p>
    <w:p>
      <w:pPr>
        <w:jc w:val="both"/>
        <w:ind w:left="740" w:right="300" w:hanging="246"/>
        <w:spacing w:after="0" w:line="264"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 expression analysis involves measuring the levels of particular ribonucleic acid sequences known as messenger RNAs, or mRNAs, which have been transcribed from genes. Determining these levels is important because mRNAs are often translated by the cell into proteins, and may affect the activity of the cell or the larger organism.</w:t>
      </w:r>
    </w:p>
    <w:p>
      <w:pPr>
        <w:spacing w:after="0" w:line="181" w:lineRule="exact"/>
        <w:rPr>
          <w:rFonts w:ascii="Arial" w:cs="Arial" w:eastAsia="Arial" w:hAnsi="Arial"/>
          <w:sz w:val="18"/>
          <w:szCs w:val="18"/>
          <w:color w:val="auto"/>
        </w:rPr>
      </w:pPr>
    </w:p>
    <w:p>
      <w:pPr>
        <w:ind w:left="740" w:right="60" w:hanging="246"/>
        <w:spacing w:after="0" w:line="259"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DNA sequencing is a process by which researchers are able to determine the particular order of nucleotide bases that comprise all or a portion of a particular gene or genome, and typically improves with target enrichment, such as complex sample preparation and tagging processes. Researchers are increasingly using next-generation DNA sequencers to rapidly and cost-effectively sequence portions of genomes, which is important for the identification of genetic variations that correlate with particular phenotypes.</w:t>
      </w:r>
    </w:p>
    <w:p>
      <w:pPr>
        <w:spacing w:after="0" w:line="18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Gene expression and genotyping are studied through a combination of various technology platforms that characterize gene function and genetic variation. These platforms often rely on PCR, amplification to generate exponential copies of a DNA sample to provide sufficient signal to facilitate detection. Real-time quantitative PCR, or real-time qPCR, is a more advanced form of PCR that makes it possible to quantify the number of copies of DNA present in a sample.</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Proteomics</w:t>
      </w:r>
    </w:p>
    <w:p>
      <w:pPr>
        <w:spacing w:after="0" w:line="22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Another focus within life science research is protein analysis, the study of proteins and their structures and functions. Proteins perform a vast array of functions within living organisms, including catalyzing metabolic reactions, replicating DNA, signaling response to stimuli and transporting molecules from one location to another. Protein analysis is required to profile and understand cellular function as well as the interaction in tissues and other complex microenvironments.</w:t>
      </w:r>
    </w:p>
    <w:p>
      <w:pPr>
        <w:spacing w:after="0" w:line="187" w:lineRule="exact"/>
        <w:rPr>
          <w:sz w:val="20"/>
          <w:szCs w:val="20"/>
          <w:color w:val="auto"/>
        </w:rPr>
      </w:pPr>
    </w:p>
    <w:p>
      <w:pPr>
        <w:ind w:right="1600" w:firstLine="405"/>
        <w:spacing w:after="0" w:line="277" w:lineRule="auto"/>
        <w:rPr>
          <w:sz w:val="20"/>
          <w:szCs w:val="20"/>
          <w:color w:val="auto"/>
        </w:rPr>
      </w:pPr>
      <w:r>
        <w:rPr>
          <w:rFonts w:ascii="Arial" w:cs="Arial" w:eastAsia="Arial" w:hAnsi="Arial"/>
          <w:sz w:val="18"/>
          <w:szCs w:val="18"/>
          <w:color w:val="auto"/>
        </w:rPr>
        <w:t>There are several forms of high-throughput protein analysis in use today, including mass spectrometry, traditional flow cytometry, immunohistochemistry and both suspension and imaging mass cytometry.</w:t>
      </w:r>
    </w:p>
    <w:p>
      <w:pPr>
        <w:spacing w:after="0" w:line="170" w:lineRule="exact"/>
        <w:rPr>
          <w:sz w:val="20"/>
          <w:szCs w:val="20"/>
          <w:color w:val="auto"/>
        </w:rPr>
      </w:pPr>
    </w:p>
    <w:p>
      <w:pPr>
        <w:ind w:left="740" w:right="100" w:hanging="246"/>
        <w:spacing w:after="0" w:line="26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Mass spectrometry is an analytical chemistry technique that measures the mass-to-charge ratio in molecules using external electric and magnetic fields. Mass spectrometry techniques are limited to bulk samples and provide an understanding of global protein dynamics on a tissue or organism level, but does not alone enable researchers to analyze data at a single cell level.</w:t>
      </w:r>
    </w:p>
    <w:p>
      <w:pPr>
        <w:spacing w:after="0" w:line="181" w:lineRule="exact"/>
        <w:rPr>
          <w:rFonts w:ascii="Arial" w:cs="Arial" w:eastAsia="Arial" w:hAnsi="Arial"/>
          <w:sz w:val="18"/>
          <w:szCs w:val="18"/>
          <w:color w:val="auto"/>
        </w:rPr>
      </w:pPr>
    </w:p>
    <w:p>
      <w:pPr>
        <w:ind w:left="740" w:hanging="246"/>
        <w:spacing w:after="0" w:line="26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Traditional flow cytometry utilizes a suspension of cells in a stream of fluid and passes them through an electronic detection apparatus to allow simultaneous multi-parameter analysis of the physical and chemical characteristics of up to thousands of cells per second. Although traditional flow cytometry technologies are high-throughput with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80" w:right="279" w:bottom="1440" w:gutter="0" w:footer="0" w:header="0"/>
        </w:sectPr>
      </w:pPr>
    </w:p>
    <w:bookmarkStart w:id="9" w:name="page10"/>
    <w:bookmarkEnd w:id="9"/>
    <w:p>
      <w:pPr>
        <w:ind w:left="740" w:right="40"/>
        <w:spacing w:after="0" w:line="336" w:lineRule="auto"/>
        <w:rPr>
          <w:sz w:val="20"/>
          <w:szCs w:val="20"/>
          <w:color w:val="auto"/>
        </w:rPr>
      </w:pPr>
      <w:r>
        <w:rPr>
          <w:rFonts w:ascii="Arial" w:cs="Arial" w:eastAsia="Arial" w:hAnsi="Arial"/>
          <w:sz w:val="17"/>
          <w:szCs w:val="17"/>
          <w:color w:val="auto"/>
        </w:rPr>
        <w:t>single-cell analysis capabilities, a key limitation is the use of fluorescent dyes to label antibodies for detection. These fluorescent labels have emission spectra that typically overlap, making it challenging to optimize reagents to analyze many protein markers at once. In general, the number of protein targets for conventional flow cytometry is less than about 10 with significant reagent optimization often involved.</w:t>
      </w:r>
    </w:p>
    <w:p>
      <w:pPr>
        <w:spacing w:after="0" w:line="138" w:lineRule="exact"/>
        <w:rPr>
          <w:sz w:val="20"/>
          <w:szCs w:val="20"/>
          <w:color w:val="auto"/>
        </w:rPr>
      </w:pPr>
    </w:p>
    <w:p>
      <w:pPr>
        <w:ind w:left="740" w:hanging="246"/>
        <w:spacing w:after="0" w:line="293"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Immunohistochemistry is a method by which cells in a tissue section are stained with antibodies and then imaged with a conventional or fluorescent microscope. Antibodies selected to bind to proteins of interest can be conjugated with either chromogenic or fluorescent labels, allowing cellular proteins to be visualized in spatial context. Immunohistochemistry is used broadly throughout the life sciences industry, and in clinical diagnostics, to diagnose and better understand the characteristics and relationship of cancerous versus normal cells in biopsy tissue. In general, the number of simultaneously imageable proteins is less than five, with researchers only able to achieve a higher-parameter resolution using serial sections (several adjacent sections of the same tissue) or other highly laborious, more serial staining methods.</w:t>
      </w:r>
    </w:p>
    <w:p>
      <w:pPr>
        <w:spacing w:after="0" w:line="164" w:lineRule="exact"/>
        <w:rPr>
          <w:rFonts w:ascii="Arial" w:cs="Arial" w:eastAsia="Arial" w:hAnsi="Arial"/>
          <w:sz w:val="16"/>
          <w:szCs w:val="16"/>
          <w:color w:val="auto"/>
        </w:rPr>
      </w:pPr>
    </w:p>
    <w:p>
      <w:pPr>
        <w:ind w:left="740" w:hanging="165"/>
        <w:spacing w:after="0" w:line="302" w:lineRule="auto"/>
        <w:tabs>
          <w:tab w:leader="none" w:pos="740" w:val="left"/>
        </w:tabs>
        <w:numPr>
          <w:ilvl w:val="1"/>
          <w:numId w:val="4"/>
        </w:numPr>
        <w:rPr>
          <w:rFonts w:ascii="Arial" w:cs="Arial" w:eastAsia="Arial" w:hAnsi="Arial"/>
          <w:sz w:val="16"/>
          <w:szCs w:val="16"/>
          <w:color w:val="auto"/>
        </w:rPr>
      </w:pPr>
      <w:r>
        <w:rPr>
          <w:rFonts w:ascii="Arial" w:cs="Arial" w:eastAsia="Arial" w:hAnsi="Arial"/>
          <w:sz w:val="16"/>
          <w:szCs w:val="16"/>
          <w:color w:val="auto"/>
        </w:rPr>
        <w:t>Suspension mass cytometry is similar to traditional flow cytometry but is based primarily on antibodies using heavy metal isotope labels rather than fluorescent labels for detection of proteins, enabling the significant expansion of the number of parameters analyzed per individual cell versus conventional flow cytometry technologies. With high-throughput, single-cell analysis capabilities and the ability to analyze more protein markers per individual cell, researchers have more granular information, which allows them to identify and characterize even finer subpopulations of cells.</w:t>
      </w:r>
    </w:p>
    <w:p>
      <w:pPr>
        <w:spacing w:after="0" w:line="154" w:lineRule="exact"/>
        <w:rPr>
          <w:rFonts w:ascii="Arial" w:cs="Arial" w:eastAsia="Arial" w:hAnsi="Arial"/>
          <w:sz w:val="16"/>
          <w:szCs w:val="16"/>
          <w:color w:val="auto"/>
        </w:rPr>
      </w:pPr>
    </w:p>
    <w:p>
      <w:pPr>
        <w:ind w:left="740" w:right="100" w:hanging="246"/>
        <w:spacing w:after="0" w:line="264"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Imaging mass cytometry is similar to immunohistochemistry, but is also based primarily on antibodies using heavy metal isotope labels rather than fluorescent or chromogenic labels for detection of proteins. This method enables a significant expansion of the number of parameters simultaneously analyzed per tissue section rather than in adjacent sections or via serial staining protocols.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Customer Types:</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Academic Life Science Research</w:t>
      </w:r>
      <w:r>
        <w:rPr>
          <w:rFonts w:ascii="Arial" w:cs="Arial" w:eastAsia="Arial" w:hAnsi="Arial"/>
          <w:sz w:val="18"/>
          <w:szCs w:val="18"/>
          <w:color w:val="auto"/>
        </w:rPr>
        <w:t>. A large portion of global life science research takes place in academic settings, including universities, publicly or</w:t>
      </w:r>
      <w:r>
        <w:rPr>
          <w:rFonts w:ascii="Arial" w:cs="Arial" w:eastAsia="Arial" w:hAnsi="Arial"/>
          <w:sz w:val="18"/>
          <w:szCs w:val="18"/>
          <w:i w:val="1"/>
          <w:iCs w:val="1"/>
          <w:color w:val="auto"/>
        </w:rPr>
        <w:t xml:space="preserve"> </w:t>
      </w:r>
      <w:r>
        <w:rPr>
          <w:rFonts w:ascii="Arial" w:cs="Arial" w:eastAsia="Arial" w:hAnsi="Arial"/>
          <w:sz w:val="18"/>
          <w:szCs w:val="18"/>
          <w:color w:val="auto"/>
        </w:rPr>
        <w:t>philanthropically funded institutes, research hospitals and government-funded agencies. The activities conducted by these customers spans the entire range of products and services and are generally directed at producing new basic or translational biology insights for publication or presentation in peer-reviewed journals and forums. Many of the key breakthroughs in biological science employed or modified by clinical research laboratories, biopharmaceutical and other applied markets transpire first in the academic research setting.</w:t>
      </w:r>
    </w:p>
    <w:p>
      <w:pPr>
        <w:spacing w:after="0" w:line="188"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Clinical Research Laboratories</w:t>
      </w:r>
      <w:r>
        <w:rPr>
          <w:rFonts w:ascii="Arial" w:cs="Arial" w:eastAsia="Arial" w:hAnsi="Arial"/>
          <w:sz w:val="18"/>
          <w:szCs w:val="18"/>
          <w:color w:val="auto"/>
        </w:rPr>
        <w:t>. Recent advances in genetic analysis technology are increasingly being used for clinical research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Techniques such as SNP genotyping, gene expression analysis, targeted DNA sequencing and other genetic correlation studies, have been developed to identify disease susceptibility and to diagnose, classify and monitor disease progression. Prognostics and diagnostics based on measuring these genetic markers have the potential to be much more accurate and robust than conventional diagnostics. The validation and translation of prognostics and diagnostics into clinically available tests often requires life science automation systems that are able to measure multiple biomarkers efficiently in a large number of patient samples.</w:t>
      </w:r>
    </w:p>
    <w:p>
      <w:pPr>
        <w:spacing w:after="0" w:line="193"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i w:val="1"/>
          <w:iCs w:val="1"/>
          <w:color w:val="auto"/>
        </w:rPr>
        <w:t xml:space="preserve">Biopharmaceuticals and Biotechnology. </w:t>
      </w:r>
      <w:r>
        <w:rPr>
          <w:rFonts w:ascii="Arial" w:cs="Arial" w:eastAsia="Arial" w:hAnsi="Arial"/>
          <w:sz w:val="17"/>
          <w:szCs w:val="17"/>
          <w:color w:val="auto"/>
        </w:rPr>
        <w:t>Biopharmaceutical companies use production scale genomic and proteomic analytical methods in numerous</w:t>
      </w:r>
      <w:r>
        <w:rPr>
          <w:rFonts w:ascii="Arial" w:cs="Arial" w:eastAsia="Arial" w:hAnsi="Arial"/>
          <w:sz w:val="17"/>
          <w:szCs w:val="17"/>
          <w:i w:val="1"/>
          <w:iCs w:val="1"/>
          <w:color w:val="auto"/>
        </w:rPr>
        <w:t xml:space="preserve"> </w:t>
      </w:r>
      <w:r>
        <w:rPr>
          <w:rFonts w:ascii="Arial" w:cs="Arial" w:eastAsia="Arial" w:hAnsi="Arial"/>
          <w:sz w:val="17"/>
          <w:szCs w:val="17"/>
          <w:color w:val="auto"/>
        </w:rPr>
        <w:t>phases of the discovery, development and the approval process of a therapeutic agent. These methods also may be used in companion diagnostics to attempt to reduce adverse events and identify patient populations that may more effectively respond to a therapeutic agent.</w:t>
      </w:r>
    </w:p>
    <w:p>
      <w:pPr>
        <w:spacing w:after="0" w:line="166" w:lineRule="exact"/>
        <w:rPr>
          <w:sz w:val="20"/>
          <w:szCs w:val="20"/>
          <w:color w:val="auto"/>
        </w:rPr>
      </w:pPr>
    </w:p>
    <w:p>
      <w:pPr>
        <w:jc w:val="both"/>
        <w:ind w:right="480" w:firstLine="432"/>
        <w:spacing w:after="0" w:line="259" w:lineRule="auto"/>
        <w:rPr>
          <w:sz w:val="20"/>
          <w:szCs w:val="20"/>
          <w:color w:val="auto"/>
        </w:rPr>
      </w:pPr>
      <w:r>
        <w:rPr>
          <w:rFonts w:ascii="Arial" w:cs="Arial" w:eastAsia="Arial" w:hAnsi="Arial"/>
          <w:sz w:val="18"/>
          <w:szCs w:val="18"/>
          <w:i w:val="1"/>
          <w:iCs w:val="1"/>
          <w:color w:val="auto"/>
        </w:rPr>
        <w:t>Biorepositories</w:t>
      </w:r>
      <w:r>
        <w:rPr>
          <w:rFonts w:ascii="Arial" w:cs="Arial" w:eastAsia="Arial" w:hAnsi="Arial"/>
          <w:sz w:val="18"/>
          <w:szCs w:val="18"/>
          <w:color w:val="auto"/>
        </w:rPr>
        <w:t>. Advancements in biology have led to an increased dependence on biorepositories to store genetic material for future testing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Flaws in the identity and quality of biorepository specimens are costly and result in erroneous data. To ensure sample integrity, biorepositories require cost-effective, simple and high-throughput techniques to identify DNA samples and ensure traceability throughout the banking and downstream analytical processes.</w:t>
      </w:r>
    </w:p>
    <w:p>
      <w:pPr>
        <w:spacing w:after="0" w:line="18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Agricultural Biotechnology</w:t>
      </w:r>
      <w:r>
        <w:rPr>
          <w:rFonts w:ascii="Arial" w:cs="Arial" w:eastAsia="Arial" w:hAnsi="Arial"/>
          <w:sz w:val="18"/>
          <w:szCs w:val="18"/>
          <w:color w:val="auto"/>
        </w:rPr>
        <w:t>. Ag-Bio applies scientific techniques, including genetic analysis techniques, such as SNP genotyping and DNA sequencing,</w:t>
      </w:r>
      <w:r>
        <w:rPr>
          <w:rFonts w:ascii="Arial" w:cs="Arial" w:eastAsia="Arial" w:hAnsi="Arial"/>
          <w:sz w:val="18"/>
          <w:szCs w:val="18"/>
          <w:i w:val="1"/>
          <w:iCs w:val="1"/>
          <w:color w:val="auto"/>
        </w:rPr>
        <w:t xml:space="preserve"> </w:t>
      </w:r>
      <w:r>
        <w:rPr>
          <w:rFonts w:ascii="Arial" w:cs="Arial" w:eastAsia="Arial" w:hAnsi="Arial"/>
          <w:sz w:val="18"/>
          <w:szCs w:val="18"/>
          <w:color w:val="auto"/>
        </w:rPr>
        <w:t>to study and improve desired characteristics in plants, animals and microorganisms. Genetic analysis techniques have become increasingly useful in Ag-Bio applications, including wildlife population studies, agricultural quality control, and commercial genetic engineering and identification. Ag-Bio customers require systems that can quickly and accurately analyze a large number of samples, such as tissue from livestock populations or seeds from a production lot, in a high-throughput and cost-efficient manner.</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95"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Fluidigm’s Strategy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Key elements of our strategy include:</w:t>
      </w:r>
    </w:p>
    <w:p>
      <w:pPr>
        <w:spacing w:after="0" w:line="221" w:lineRule="exact"/>
        <w:rPr>
          <w:sz w:val="20"/>
          <w:szCs w:val="20"/>
          <w:color w:val="auto"/>
        </w:rPr>
      </w:pPr>
    </w:p>
    <w:p>
      <w:pPr>
        <w:ind w:left="420" w:hanging="331"/>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Offer innovative, differentiated products to researchers based on our microfluidic and mass cytometry technologies.</w:t>
      </w:r>
    </w:p>
    <w:p>
      <w:pPr>
        <w:spacing w:after="0" w:line="22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microfluidic technologies enable a scalable and sensitive solution in fields requiring high-throughput genomic analysis, whether this be for the analysis of gene expression profiles, genotyping or library preparation in advance of gene sequencing. Microfluidic solutions also enable single-cell genomic analysis across a broad menu of applications. Mass cytometry is a leading solution to analyze many cell-surface and intracellular proteins simultaneously in cell suspensions and tissues. Our products enable innovative methods to characterize cells and other sample types not commonly achieved with other technology analogues.</w:t>
      </w:r>
    </w:p>
    <w:p>
      <w:pPr>
        <w:spacing w:after="0" w:line="184" w:lineRule="exact"/>
        <w:rPr>
          <w:sz w:val="20"/>
          <w:szCs w:val="20"/>
          <w:color w:val="auto"/>
        </w:rPr>
      </w:pPr>
    </w:p>
    <w:p>
      <w:pPr>
        <w:ind w:left="420" w:right="820" w:hanging="331"/>
        <w:spacing w:after="0" w:line="282"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Expand addressable markets through attention to assay content, workflow efficiency, software improvements, and desirable strategic partnerships</w:t>
      </w:r>
      <w:r>
        <w:rPr>
          <w:rFonts w:ascii="Arial" w:cs="Arial" w:eastAsia="Arial" w:hAnsi="Arial"/>
          <w:sz w:val="18"/>
          <w:szCs w:val="18"/>
          <w:color w:val="auto"/>
        </w:rPr>
        <w:t>.</w:t>
      </w:r>
    </w:p>
    <w:p>
      <w:pPr>
        <w:spacing w:after="0" w:line="166"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Our strategy devotes attention to building out applications, workflows and analytics to allow our customers better productivity, increasing the value of our toolsets. We have internally-developed and externally-partnered to enable our C1 system to enable the widest breadth of single-cell applications currently in the marketplace. Our content development strategy also includes our high-throughput genomics platforms for gene expression, genotyping and sequencing library preparations as well as our mass cytometry franchise. Our future assay development will leverage both in-house informatics as well as externally-partnered solutions to drive towards sample-to-answer functionality across all our platforms.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Service and Support</w:t>
      </w:r>
    </w:p>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distribute our systems through our direct sales force and support organizations located in North America, Europe, and Asia-Pacific, and through distributors or sales agents in several European, Latin American, Middle Eastern, and Asia-Pacific countries. Our sales and marketing efforts are targeted at laboratory directors and principal investigators at leading companies and academic institutions who need reliable life science automation solutions or enabling new genomics and mass cytometry technologies for research or commercial purposes.</w:t>
      </w:r>
    </w:p>
    <w:p>
      <w:pPr>
        <w:spacing w:after="0" w:line="187"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8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As of December 31, 2017, we had 163 people employed in sales, technical support, and marketing, including 82 sales representatives and applications specialists located in the field.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sell our instruments to leading academic research institutions, translational research and medicine centers, cancer centers, clinical research laboratories, and biopharmaceutical, biotechnology and Ag-Bio companies. No single customer represented more than 10% of our total revenue for 2017, 2016, or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manufacturing operations are primarily located in Singapore and Canada.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the United States.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11" w:name="page12"/>
    <w:bookmarkEnd w:id="11"/>
    <w:p>
      <w:pPr>
        <w:ind w:firstLine="432"/>
        <w:spacing w:after="0" w:line="254" w:lineRule="auto"/>
        <w:rPr>
          <w:sz w:val="20"/>
          <w:szCs w:val="20"/>
          <w:color w:val="auto"/>
        </w:rPr>
      </w:pPr>
      <w:r>
        <w:rPr>
          <w:rFonts w:ascii="Arial" w:cs="Arial" w:eastAsia="Arial" w:hAnsi="Arial"/>
          <w:sz w:val="18"/>
          <w:szCs w:val="18"/>
          <w:color w:val="auto"/>
        </w:rPr>
        <w:t>We rely on a limited number of suppliers for certain components and materials used in our products. Key components in our products that are supplied by sole or limited source suppliers include a specialized polymer and other specialized materials from which our IFC cores are fabricated, specialized custom camera lenses, fiber light guides, and other components required for the reader of our Biomark system; specialized pneumatic and electronic components for our C1, Juno, Callisto and Polaris systems, the electron multiplier detector included in, and the nickel sampler cone and certain metal isotopes used with, our Helios system; specially developed laser used in our Hyperion Imaging System; and certain raw materials for our Delta Gene and SNP Type assays and Access Array Target-Specific primers. The loss of a single or sole source supplier would require significant time and effort to locate and qualify an alternative source of supply, if at all, and could adversely impact our business. For additional information, please see the section entitled “Risk factors” in Part I, Item 1A of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We have assembled experienced research and development teams at our South San Francisco, California, Markham, Ontario, Canada, and Singapore locations with the scientific, engineering, software, bioinformatic, and process talent that we believe is required to grow our business.</w:t>
      </w:r>
    </w:p>
    <w:p>
      <w:pPr>
        <w:spacing w:after="0" w:line="147"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The largest component of our current research and development effort is in the areas of new products, new applications and new content. We developed a high-throughput C1 IFC (HT IFC) for handling up to 800 medium sized cell types applied to the work-flows of the Fluidigm installed base instruments. In the area of mass cytometry, we developed an initial prototype imaging mass cytometer instrument in 2016, and successfully launched the commercial Hyperion Imaging System in October 2017. The imaging mass cytometer system provides spatial resolution of protein expression in complex tissue samples at the single-cell level, quantitative measurement using metal isotope tags, and analysis of up to 37 proteins. We also developed metal-labeled antibodies compatible with formalin fixed paraffin embedded tissue samples, to be used with the Hyperion. We also invest significantly in research and development efforts to expand our single-cell and production genomics applications. For example, we continue to develop and commercialize various panel sets for cancer research for use with our systems. We successfully launched in 2017 the Advanta™ Immuno-Oncology Gene Expression Assay, which is a 170-gene expression qPCR assay that enables profiling of tumor immunobiology and new biomarker identification.</w:t>
      </w:r>
    </w:p>
    <w:p>
      <w:pPr>
        <w:spacing w:after="0" w:line="167"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The second component of our research and development effort is to continuously develop new manufacturing processes and test methods to drive down manufacturing cost, increase manufacturing throughput, widen fabrication process capability, and support new microfluidic devices and designs.</w:t>
      </w:r>
    </w:p>
    <w:p>
      <w:pPr>
        <w:spacing w:after="0" w:line="124" w:lineRule="exact"/>
        <w:rPr>
          <w:sz w:val="20"/>
          <w:szCs w:val="20"/>
          <w:color w:val="auto"/>
        </w:rPr>
      </w:pPr>
    </w:p>
    <w:p>
      <w:pPr>
        <w:ind w:right="1000" w:firstLine="432"/>
        <w:spacing w:after="0" w:line="277" w:lineRule="auto"/>
        <w:rPr>
          <w:sz w:val="20"/>
          <w:szCs w:val="20"/>
          <w:color w:val="auto"/>
        </w:rPr>
      </w:pPr>
      <w:r>
        <w:rPr>
          <w:rFonts w:ascii="Arial" w:cs="Arial" w:eastAsia="Arial" w:hAnsi="Arial"/>
          <w:sz w:val="18"/>
          <w:szCs w:val="18"/>
          <w:color w:val="auto"/>
        </w:rPr>
        <w:t>Our research and development expenses were $30.8 million, $38.4 million, and $39.3 million in 2017, 2016, and 2015, respectively. As of December 31, 2017, 100 of our employees were engaged in research and development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life science markets are highly competitive and expected to grow more competitive with the increasing knowledge gained from ongoing research and development. We believe that the principal competitive factors in our target markets include cost of capital equipment and supplies; reputation among customers; innovation in product offerings; flexibility and ease of use; accuracy and reproducibility of results; and compatibility with existing laboratory processes, tools, and methods.</w:t>
      </w:r>
    </w:p>
    <w:p>
      <w:pPr>
        <w:spacing w:after="0" w:line="18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compete with both established and development stage life science companies that design, manufacture, and market instruments for gene expression analysis, genotyping, other nucleic acid detection, protein expression analysis, and additional applications. In addition, a number of other companies and academic groups are in the process of developing novel technologies for life science markets. Many of our competitors enjoy several competitive advantages over us, including significantly greater name recognition; greater financial and human resources; broader product lines and product packages; larger sales forces and eCommerce channels; larger and more geographically dispersed customer support organization; substantial intellectual property portfolios; larger and more established customer bases and relationships; greater resources dedicated to marketing efforts; better established and larger scale manufacturing capability; and greater resources and longer experience in research and development. For additional information, please see the section entitled “Risk factors” in Part I, Item 1A of this Form 10-K.</w:t>
      </w:r>
    </w:p>
    <w:p>
      <w:pPr>
        <w:spacing w:after="0" w:line="17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To successfully compete with existing products and future technologies, we need to demonstrate to potential customers that the performance of our technologies and products, the solutions we provide our customers, as well as our customer support capabilities, are superior to those of our competitors. To differentiate our company from other, larger enterprises, we need to introduce new and innovative offerings regularly and maintain a well-staffed commercial team “in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8" w:right="259" w:bottom="1440" w:gutter="0" w:footer="0" w:header="0"/>
        </w:sectPr>
      </w:pPr>
    </w:p>
    <w:bookmarkStart w:id="12" w:name="page13"/>
    <w:bookmarkEnd w:id="12"/>
    <w:p>
      <w:pPr>
        <w:ind w:right="140"/>
        <w:spacing w:after="0" w:line="264" w:lineRule="auto"/>
        <w:rPr>
          <w:sz w:val="20"/>
          <w:szCs w:val="20"/>
          <w:color w:val="auto"/>
        </w:rPr>
      </w:pPr>
      <w:r>
        <w:rPr>
          <w:rFonts w:ascii="Arial" w:cs="Arial" w:eastAsia="Arial" w:hAnsi="Arial"/>
          <w:sz w:val="18"/>
          <w:szCs w:val="18"/>
          <w:color w:val="auto"/>
        </w:rPr>
        <w:t>the field” to successfully communicate the advantages of our products and overcome potential obstacles to acceptance of our products. In addition, ongoing collaborations and partnerships with key opinion leaders are desirable to demonstrate both biological innovation and applications that solve customer problems.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We have developed a portfolio of issued patents and patent applications directed to commercial products and technologies in development. As of December 31, 2017, we owned or licensed over 630 patents and we had approximately 180 pending patent applications worldwide. Our patents have expiration dates ranging from 2018 to 2034.</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entered into licenses for technologies from various companies and academic institutions.</w:t>
      </w:r>
    </w:p>
    <w:p>
      <w:pPr>
        <w:spacing w:after="0" w:line="225"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i w:val="1"/>
          <w:iCs w:val="1"/>
          <w:color w:val="auto"/>
        </w:rPr>
        <w:t xml:space="preserve">Microfluidic Technologies. </w:t>
      </w:r>
      <w:r>
        <w:rPr>
          <w:rFonts w:ascii="Arial" w:cs="Arial" w:eastAsia="Arial" w:hAnsi="Arial"/>
          <w:sz w:val="18"/>
          <w:szCs w:val="18"/>
          <w:color w:val="auto"/>
        </w:rPr>
        <w:t>Our core microfluidics technology originated at the California Institute of Technology, or Caltech, in the laboratory of</w:t>
      </w:r>
      <w:r>
        <w:rPr>
          <w:rFonts w:ascii="Arial" w:cs="Arial" w:eastAsia="Arial" w:hAnsi="Arial"/>
          <w:sz w:val="18"/>
          <w:szCs w:val="18"/>
          <w:i w:val="1"/>
          <w:iCs w:val="1"/>
          <w:color w:val="auto"/>
        </w:rPr>
        <w:t xml:space="preserve"> </w:t>
      </w:r>
      <w:r>
        <w:rPr>
          <w:rFonts w:ascii="Arial" w:cs="Arial" w:eastAsia="Arial" w:hAnsi="Arial"/>
          <w:sz w:val="18"/>
          <w:szCs w:val="18"/>
          <w:color w:val="auto"/>
        </w:rPr>
        <w:t>Professor Stephen Quake, who is a co-founder of Fluidigm. We license microfluidics technology from Caltech, Harvard University, and Caliper Life Sciences, Inc., which subsequently became a PerkinElmer company, referred to as Caliper.</w:t>
      </w:r>
    </w:p>
    <w:p>
      <w:pPr>
        <w:spacing w:after="0" w:line="181" w:lineRule="exact"/>
        <w:rPr>
          <w:sz w:val="20"/>
          <w:szCs w:val="20"/>
          <w:color w:val="auto"/>
        </w:rPr>
      </w:pPr>
    </w:p>
    <w:p>
      <w:pPr>
        <w:ind w:left="820" w:hanging="245"/>
        <w:spacing w:after="0" w:line="259"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2017 and 2030.</w:t>
      </w:r>
    </w:p>
    <w:p>
      <w:pPr>
        <w:spacing w:after="0" w:line="186" w:lineRule="exact"/>
        <w:rPr>
          <w:rFonts w:ascii="Arial" w:cs="Arial" w:eastAsia="Arial" w:hAnsi="Arial"/>
          <w:sz w:val="18"/>
          <w:szCs w:val="18"/>
          <w:color w:val="auto"/>
        </w:rPr>
      </w:pPr>
    </w:p>
    <w:p>
      <w:pPr>
        <w:jc w:val="both"/>
        <w:ind w:left="820" w:right="200" w:hanging="245"/>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entered into a co-exclusive license agreement with Harvard University for the license of relevant patent filings relating to microfluidic technology. The license agreement will terminate with the last-to-expire of the licensed patents. The U.S. issued patents we have licensed from Harvard University expire between 2019 and 2027.</w:t>
      </w:r>
    </w:p>
    <w:p>
      <w:pPr>
        <w:spacing w:after="0" w:line="181" w:lineRule="exact"/>
        <w:rPr>
          <w:rFonts w:ascii="Arial" w:cs="Arial" w:eastAsia="Arial" w:hAnsi="Arial"/>
          <w:sz w:val="18"/>
          <w:szCs w:val="18"/>
          <w:color w:val="auto"/>
        </w:rPr>
      </w:pPr>
    </w:p>
    <w:p>
      <w:pPr>
        <w:ind w:left="820" w:right="460" w:hanging="245"/>
        <w:spacing w:after="0" w:line="286"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May 2011, we entered into a license agreement with Caliper to license Caliper’s existing patent portfolio in certain fields. The license agreement will terminate with the last-to-expire of the licensed patents. As later amended, the license agreement provides for certain royalty payments until mid-2018 for our existing products at the time of amendment and their future equivalents.</w:t>
      </w:r>
    </w:p>
    <w:p>
      <w:pPr>
        <w:spacing w:after="0" w:line="166"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i w:val="1"/>
          <w:iCs w:val="1"/>
          <w:color w:val="auto"/>
        </w:rPr>
        <w:t xml:space="preserve">Instrumentation and Digital PCR. </w:t>
      </w:r>
      <w:r>
        <w:rPr>
          <w:rFonts w:ascii="Arial" w:cs="Arial" w:eastAsia="Arial" w:hAnsi="Arial"/>
          <w:sz w:val="16"/>
          <w:szCs w:val="16"/>
          <w:color w:val="auto"/>
        </w:rPr>
        <w:t>On June 30, 2011, we settled litigation and entered into a series of patent cross-license and sub-license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Life Technologies Corporation (now part of Thermo Fisher Scientific) and its subsidiary Applied Biosystems, LLC, referred to as Life. The agreements involve a cross-license concerning our imaging readers and other patent filings and certain of Life’s patent families relating to methods and instruments for conducting nucleic acid amplification, such as with PCR; a sub-license that provides us access to certain of Life’s digital PCR patents; and a sublicense that provides Life access to certain of our non-core technology patents licensed from Caltech. In July 2011, pursuant to the terms of the agreements, we paid Life $2.0 million in connection with our exercise of an option to preclude Life from initiating litigation under its patents existing as of June 30, 2011 against our customers for two years and against our company, with respect to our current products and equivalent future products, for four years, subject to certain exceptions. In November 2017, we settled pending litigation with Life and, pursuant to the terms of the settlement, one of the patent license agreements was amended to provide Life with a fully paid-up license under the patents covered by such agreement, subject to certain field of use restrictions. The license agreement will terminate with the last-to-expire of the licensed patents, which is expected to be in 2028.</w:t>
      </w:r>
    </w:p>
    <w:p>
      <w:pPr>
        <w:spacing w:after="0" w:line="16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i w:val="1"/>
          <w:iCs w:val="1"/>
          <w:color w:val="auto"/>
        </w:rPr>
        <w:t xml:space="preserve">Mass Cytometry. </w:t>
      </w:r>
      <w:r>
        <w:rPr>
          <w:rFonts w:ascii="Arial" w:cs="Arial" w:eastAsia="Arial" w:hAnsi="Arial"/>
          <w:sz w:val="18"/>
          <w:szCs w:val="18"/>
          <w:color w:val="auto"/>
        </w:rPr>
        <w:t>Some of the intellectual property rights covering our mass cytometry products were subject to a license agreement, referred to as the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License Agreement, between Fluidigm Canada Inc., referred to as Fluidigm Canada, and PerkinElmer Health Sciences, Inc., referred to as PerkinElmer. Under the Original License Agreement, Fluidigm Canada received an exclusive, royalty bearing, worldwide license to certain patents owned by PerkinElmer in the field of inductively coupled plasma, or ICP-based mass cytometry, including the analysis of elemental tagged materials in connection therewith, referred to as the Patents, and a non-exclusive license for reagents outside the field of ICP-based mass cytometry. On November 4, 2015, we entered into a patent purchase agreement with PerkinElmer pursuant to which we purchased the Patents for a purchase price of $6.5 million and a patent assignment agreement pursuant to which</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368" w:right="299" w:bottom="1440" w:gutter="0" w:footer="0" w:header="0"/>
        </w:sectPr>
      </w:pPr>
    </w:p>
    <w:bookmarkStart w:id="13" w:name="page14"/>
    <w:bookmarkEnd w:id="13"/>
    <w:p>
      <w:pPr>
        <w:ind w:right="20"/>
        <w:spacing w:after="0" w:line="272" w:lineRule="auto"/>
        <w:rPr>
          <w:sz w:val="20"/>
          <w:szCs w:val="20"/>
          <w:color w:val="auto"/>
        </w:rPr>
      </w:pPr>
      <w:r>
        <w:rPr>
          <w:rFonts w:ascii="Arial" w:cs="Arial" w:eastAsia="Arial" w:hAnsi="Arial"/>
          <w:sz w:val="17"/>
          <w:szCs w:val="17"/>
          <w:color w:val="auto"/>
        </w:rPr>
        <w:t>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will terminate on the last expiration date of the Patents, currently expected to be in December 2025, unless earlier terminated pursuant to the terms of the license agreement.</w:t>
      </w:r>
    </w:p>
    <w:p>
      <w:pPr>
        <w:spacing w:after="0" w:line="178"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color w:val="auto"/>
        </w:rPr>
        <w:t>Any loss, termination, or adverse modification of our licensed intellectual property rights could have a material adverse effect on our business, operating results, and financial condition. For additional information, please see the section entitled “Risk factors” in Part I, Item 1A of this Form 10-K.</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corporate partners, and, when needed, our advisors.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Our products are currently labeled and sold for research purposes only, and we sell them to academic institutions, life sciences and clinical research laboratories that conduct research, and biopharmaceutical and biotechnology companies for non-diagnostic and non-clinical purposes. Our products are not intended for use in clinical practice in the diagnosis of disease or other conditions, and they are labeled for research use only. Accordingly, they are subject only to limited, specific regulation with respect to labeling by the U.S. Food and Drug Administration, or FDA. In particular, while FDA regulations require that research use only products be labeled, “For Research Use Only. Not for use in diagnostic procedures,” or RUO products, the regulations do not subject such products to the FDA’s broader pre- and post-market controls for medical devices.</w:t>
      </w:r>
    </w:p>
    <w:p>
      <w:pPr>
        <w:spacing w:after="0" w:line="178"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In November 2013, the FDA issued a final guidance document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diagnostic uses or the manufacturer intends such a use. These circumstances may include, among other things, written or verbal marketing claims regarding a product’s performance in clinical applications and a manufacturer’s provision of technical support for such activities. In the future, certain of our products or related applications could become subject to regulation as medical devices by the FDA. If we wish to label and market our products for use in performing clinical diagnostics, thus subjecting them to regulation by the FDA under premarket and postmarket control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and legally marketed 510(k) device or a “pre-amendment” class III device for which pre-market approval applications, or PMAs, have not been required by the FDA. This FDA review process typically takes from four to twelve months, although it can take longer. Most class I devices are exempted from this 510(k) premarket submission requirement. 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88"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some cases, our customers may use our RUO products in their own laboratory-developed tests, or LDTs, or in other FDA-regulated products for clinical diagnostic use. The FDA has historically exercised enforcement discretion in not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8" w:right="259" w:bottom="1440" w:gutter="0" w:footer="0" w:header="0"/>
        </w:sectPr>
      </w:pPr>
    </w:p>
    <w:bookmarkStart w:id="14" w:name="page15"/>
    <w:bookmarkEnd w:id="14"/>
    <w:p>
      <w:pPr>
        <w:ind w:right="40"/>
        <w:spacing w:after="0" w:line="273" w:lineRule="auto"/>
        <w:rPr>
          <w:sz w:val="20"/>
          <w:szCs w:val="20"/>
          <w:color w:val="auto"/>
        </w:rPr>
      </w:pPr>
      <w:r>
        <w:rPr>
          <w:rFonts w:ascii="Arial" w:cs="Arial" w:eastAsia="Arial" w:hAnsi="Arial"/>
          <w:sz w:val="17"/>
          <w:szCs w:val="17"/>
          <w:color w:val="auto"/>
        </w:rPr>
        <w:t>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w:t>
      </w:r>
    </w:p>
    <w:p>
      <w:pPr>
        <w:spacing w:after="0" w:line="17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would become subject to additional FDA requirements if our products are determined to be medical devices or if we elect to seek 510(k) clearance or pre-market approval. We would need to continue to invest significant time and other resources to ensure ongoing compliance with FDA quality system regulations and other post-market regulatory requirements. For additional information, please see the section entitled “Risk factors” in Part I, Item 1A of this Form 10-K.</w:t>
      </w:r>
    </w:p>
    <w:p>
      <w:pPr>
        <w:spacing w:after="0" w:line="187" w:lineRule="exact"/>
        <w:rPr>
          <w:sz w:val="20"/>
          <w:szCs w:val="20"/>
          <w:color w:val="auto"/>
        </w:rPr>
      </w:pPr>
    </w:p>
    <w:p>
      <w:pPr>
        <w:ind w:right="220" w:firstLine="432"/>
        <w:spacing w:after="0" w:line="286" w:lineRule="auto"/>
        <w:rPr>
          <w:sz w:val="20"/>
          <w:szCs w:val="20"/>
          <w:color w:val="auto"/>
        </w:rPr>
      </w:pPr>
      <w:r>
        <w:rPr>
          <w:rFonts w:ascii="Arial" w:cs="Arial" w:eastAsia="Arial" w:hAnsi="Arial"/>
          <w:sz w:val="17"/>
          <w:szCs w:val="17"/>
          <w:color w:val="auto"/>
        </w:rPr>
        <w:t>International sales of medical devices are subject to foreign government regulations, which vary substantially from country to country.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are subject to many federal, state, local, and foreign environmental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RoHS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see the section entitled “Risk factors” in Part I, Item 1A of this Form 10-K.</w:t>
      </w:r>
    </w:p>
    <w:p>
      <w:pPr>
        <w:spacing w:after="0" w:line="182"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Additionally, 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 Information</w:t>
      </w:r>
    </w:p>
    <w:p>
      <w:pPr>
        <w:spacing w:after="0" w:line="229"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last three years, a majority of our revenue was generated within the United States and Europe and a majority of our long-lived assets were located within the United States, in Singapore and in Canada. Total revenue received from customers outside the United States totaled $56.1 million, or 55% of our total revenue, in 2017, compared to $51.8 million, or 50% of our total revenue, in 2016, and $59.3 million, or 52% of our total revenue, in 2015. Please see Note 11 to our audited consolidated financial statements for additional information regarding geographic areas.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2011, 2012, 2014 and 2015, our product revenue was higher in the fourth quarter of the year than in the first quarter of the next year reflecting numerous factors, including, among others, seasonal variations in customer operations and customer budget and capital spending cycles. However, this trend did not occur in 2013 and 2016 with an increase in revenue in the first quarters of 2014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368" w:right="259" w:bottom="1440" w:gutter="0" w:footer="0" w:header="0"/>
        </w:sectPr>
      </w:pPr>
    </w:p>
    <w:bookmarkStart w:id="15" w:name="page16"/>
    <w:bookmarkEnd w:id="15"/>
    <w:p>
      <w:pPr>
        <w:jc w:val="both"/>
        <w:ind w:right="220" w:firstLine="432"/>
        <w:spacing w:after="0" w:line="259" w:lineRule="auto"/>
        <w:rPr>
          <w:sz w:val="20"/>
          <w:szCs w:val="20"/>
          <w:color w:val="auto"/>
        </w:rPr>
      </w:pPr>
      <w:r>
        <w:rPr>
          <w:rFonts w:ascii="Arial" w:cs="Arial" w:eastAsia="Arial" w:hAnsi="Arial"/>
          <w:sz w:val="18"/>
          <w:szCs w:val="18"/>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We manufacture products based on forecasts of our customers’ demand and advance non-binding commitments from customers as to future purchases. Our customers generally do not place purchase orders far in advance. A substantial portion of our products are sold on the basis of standard purchase orders that are cancelable prior to shipment without penalty. Accordingly, backlog at any given time is not a meaningful indicator of future sales.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As of December 31, 2017, we had 505 employees, of which 100 work in research and development, 101 work in general and administrative, 141 work in manufacturing, and 163 work in sales, technical support, and marketing. None of our employees are represented by a labor union nor are they subject to a collective bargaining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or SEC. Our SEC reports can be accessed through the investor relations page of our website located at http://investors.fluidigm.com/sec.cfm. The SEC also maintains an Internet site at www.sec.gov that contains reports, proxy and information statements, and other information regarding issuers that electronically file with the SEC. Additionally, a copy of this Annual Report on Form 10-K is located at the SEC’s Public Reference Room at 100 F Street, NE, Washington, D.C. 20549. Information on the operation of the Public Reference Room can be obtained by calling the SEC at 1-800-SEC-0330.</w:t>
      </w:r>
    </w:p>
    <w:p>
      <w:pPr>
        <w:spacing w:after="0" w:line="182"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We webcast our earnings calls and certain events we participate in or host with members of the investment community on our investor relations page of our website. Corporate governance information, including our board committee charters, code of ethics, and corporate governance principles, is also available on our investor relations page of our website located at http://investors.fluidigm.com/corporate-governance.cfm.</w:t>
      </w:r>
    </w:p>
    <w:p>
      <w:pPr>
        <w:spacing w:after="0" w:line="166"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In addition to SEC filings, press releases, public conference calls, and webcasts, we use our website (www.fluidigm.com), corporate Twitter account (@Fluidigm), Facebook page (https://www.facebook.com/Fluidigm), and LinkedIn page (https://www.linkedin.com/company/fluidigm-corporation) as channels of distribution of information about our company, our products, our planned financial and other announcements, our attendance at upcoming investor and industry conferences, and other matters. It is possible that the information we post on our website and through these social media accounts could be deemed material information.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6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contents of our website and the information we post through social media are not a part of, and are not incorporated by reference into, this Annual Report on Form 10-K or any other report or document we file with the SEC. Any references to our websites are intended to be inactive textual references only.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8" w:right="259" w:bottom="1440" w:gutter="0" w:footer="0" w:header="0"/>
        </w:sectPr>
      </w:pPr>
    </w:p>
    <w:bookmarkStart w:id="16" w:name="page17"/>
    <w:bookmarkEnd w:id="16"/>
    <w:p>
      <w:pPr>
        <w:ind w:left="440"/>
        <w:spacing w:after="0"/>
        <w:rPr>
          <w:sz w:val="20"/>
          <w:szCs w:val="20"/>
          <w:color w:val="auto"/>
        </w:rPr>
      </w:pPr>
      <w:r>
        <w:rPr>
          <w:rFonts w:ascii="Arial" w:cs="Arial" w:eastAsia="Arial" w:hAnsi="Arial"/>
          <w:sz w:val="18"/>
          <w:szCs w:val="18"/>
          <w:color w:val="auto"/>
        </w:rPr>
        <w:t>The following table sets forth the names, ages (as of March 1, 2018) and positions of our executive officers: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center"/>
              <w:ind w:left="473"/>
              <w:spacing w:after="0"/>
              <w:rPr>
                <w:sz w:val="20"/>
                <w:szCs w:val="20"/>
                <w:color w:val="auto"/>
              </w:rPr>
            </w:pPr>
            <w:r>
              <w:rPr>
                <w:rFonts w:ascii="Arial" w:cs="Arial" w:eastAsia="Arial" w:hAnsi="Arial"/>
                <w:sz w:val="14"/>
                <w:szCs w:val="14"/>
                <w:b w:val="1"/>
                <w:bCs w:val="1"/>
                <w:color w:val="auto"/>
                <w:w w:val="90"/>
              </w:rPr>
              <w:t>Age</w:t>
            </w:r>
          </w:p>
        </w:tc>
        <w:tc>
          <w:tcPr>
            <w:tcW w:w="4900" w:type="dxa"/>
            <w:vAlign w:val="bottom"/>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255"/>
        </w:trPr>
        <w:tc>
          <w:tcPr>
            <w:tcW w:w="3040" w:type="dxa"/>
            <w:vAlign w:val="bottom"/>
          </w:tcPr>
          <w:p>
            <w:pPr>
              <w:spacing w:after="0"/>
              <w:rPr>
                <w:sz w:val="20"/>
                <w:szCs w:val="20"/>
                <w:color w:val="auto"/>
              </w:rPr>
            </w:pPr>
            <w:r>
              <w:rPr>
                <w:rFonts w:ascii="Arial" w:cs="Arial" w:eastAsia="Arial" w:hAnsi="Arial"/>
                <w:sz w:val="18"/>
                <w:szCs w:val="18"/>
                <w:color w:val="auto"/>
              </w:rPr>
              <w:t>Stephen Christopher Linthwaite</w:t>
            </w:r>
          </w:p>
        </w:tc>
        <w:tc>
          <w:tcPr>
            <w:tcW w:w="1200" w:type="dxa"/>
            <w:vAlign w:val="bottom"/>
          </w:tcPr>
          <w:p>
            <w:pPr>
              <w:jc w:val="center"/>
              <w:ind w:left="453"/>
              <w:spacing w:after="0"/>
              <w:rPr>
                <w:sz w:val="20"/>
                <w:szCs w:val="20"/>
                <w:color w:val="auto"/>
              </w:rPr>
            </w:pPr>
            <w:r>
              <w:rPr>
                <w:rFonts w:ascii="Arial" w:cs="Arial" w:eastAsia="Arial" w:hAnsi="Arial"/>
                <w:sz w:val="18"/>
                <w:szCs w:val="18"/>
                <w:color w:val="auto"/>
                <w:w w:val="89"/>
              </w:rPr>
              <w:t>46</w:t>
            </w:r>
          </w:p>
        </w:tc>
        <w:tc>
          <w:tcPr>
            <w:tcW w:w="4900" w:type="dxa"/>
            <w:vAlign w:val="bottom"/>
          </w:tcPr>
          <w:p>
            <w:pPr>
              <w:ind w:left="220"/>
              <w:spacing w:after="0"/>
              <w:rPr>
                <w:sz w:val="20"/>
                <w:szCs w:val="20"/>
                <w:color w:val="auto"/>
              </w:rPr>
            </w:pPr>
            <w:r>
              <w:rPr>
                <w:rFonts w:ascii="Arial" w:cs="Arial" w:eastAsia="Arial" w:hAnsi="Arial"/>
                <w:sz w:val="18"/>
                <w:szCs w:val="18"/>
                <w:color w:val="auto"/>
              </w:rPr>
              <w:t>President, Chief Executive Officer, and Director</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Vikram Jog</w:t>
            </w:r>
          </w:p>
        </w:tc>
        <w:tc>
          <w:tcPr>
            <w:tcW w:w="1200" w:type="dxa"/>
            <w:vAlign w:val="bottom"/>
          </w:tcPr>
          <w:p>
            <w:pPr>
              <w:jc w:val="center"/>
              <w:ind w:left="453"/>
              <w:spacing w:after="0"/>
              <w:rPr>
                <w:sz w:val="20"/>
                <w:szCs w:val="20"/>
                <w:color w:val="auto"/>
              </w:rPr>
            </w:pPr>
            <w:r>
              <w:rPr>
                <w:rFonts w:ascii="Arial" w:cs="Arial" w:eastAsia="Arial" w:hAnsi="Arial"/>
                <w:sz w:val="18"/>
                <w:szCs w:val="18"/>
                <w:color w:val="auto"/>
                <w:w w:val="89"/>
              </w:rPr>
              <w:t>61</w:t>
            </w:r>
          </w:p>
        </w:tc>
        <w:tc>
          <w:tcPr>
            <w:tcW w:w="490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Steven C. McPhail</w:t>
            </w:r>
          </w:p>
        </w:tc>
        <w:tc>
          <w:tcPr>
            <w:tcW w:w="1200" w:type="dxa"/>
            <w:vAlign w:val="bottom"/>
          </w:tcPr>
          <w:p>
            <w:pPr>
              <w:jc w:val="center"/>
              <w:ind w:left="453"/>
              <w:spacing w:after="0"/>
              <w:rPr>
                <w:sz w:val="20"/>
                <w:szCs w:val="20"/>
                <w:color w:val="auto"/>
              </w:rPr>
            </w:pPr>
            <w:r>
              <w:rPr>
                <w:rFonts w:ascii="Arial" w:cs="Arial" w:eastAsia="Arial" w:hAnsi="Arial"/>
                <w:sz w:val="18"/>
                <w:szCs w:val="18"/>
                <w:color w:val="auto"/>
                <w:w w:val="89"/>
              </w:rPr>
              <w:t>64</w:t>
            </w:r>
          </w:p>
        </w:tc>
        <w:tc>
          <w:tcPr>
            <w:tcW w:w="4900" w:type="dxa"/>
            <w:vAlign w:val="bottom"/>
          </w:tcPr>
          <w:p>
            <w:pPr>
              <w:ind w:left="220"/>
              <w:spacing w:after="0"/>
              <w:rPr>
                <w:sz w:val="20"/>
                <w:szCs w:val="20"/>
                <w:color w:val="auto"/>
              </w:rPr>
            </w:pPr>
            <w:r>
              <w:rPr>
                <w:rFonts w:ascii="Arial" w:cs="Arial" w:eastAsia="Arial" w:hAnsi="Arial"/>
                <w:sz w:val="18"/>
                <w:szCs w:val="18"/>
                <w:color w:val="auto"/>
              </w:rPr>
              <w:t>Chief Commercial Officer</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Nicholas Khadder</w:t>
            </w:r>
          </w:p>
        </w:tc>
        <w:tc>
          <w:tcPr>
            <w:tcW w:w="1200" w:type="dxa"/>
            <w:vAlign w:val="bottom"/>
          </w:tcPr>
          <w:p>
            <w:pPr>
              <w:jc w:val="center"/>
              <w:ind w:left="453"/>
              <w:spacing w:after="0"/>
              <w:rPr>
                <w:sz w:val="20"/>
                <w:szCs w:val="20"/>
                <w:color w:val="auto"/>
              </w:rPr>
            </w:pPr>
            <w:r>
              <w:rPr>
                <w:rFonts w:ascii="Arial" w:cs="Arial" w:eastAsia="Arial" w:hAnsi="Arial"/>
                <w:sz w:val="18"/>
                <w:szCs w:val="18"/>
                <w:color w:val="auto"/>
                <w:w w:val="89"/>
              </w:rPr>
              <w:t>44</w:t>
            </w:r>
          </w:p>
        </w:tc>
        <w:tc>
          <w:tcPr>
            <w:tcW w:w="4900" w:type="dxa"/>
            <w:vAlign w:val="bottom"/>
          </w:tcPr>
          <w:p>
            <w:pPr>
              <w:ind w:left="220"/>
              <w:spacing w:after="0"/>
              <w:rPr>
                <w:sz w:val="20"/>
                <w:szCs w:val="20"/>
                <w:color w:val="auto"/>
              </w:rPr>
            </w:pPr>
            <w:r>
              <w:rPr>
                <w:rFonts w:ascii="Arial" w:cs="Arial" w:eastAsia="Arial" w:hAnsi="Arial"/>
                <w:sz w:val="18"/>
                <w:szCs w:val="18"/>
                <w:color w:val="auto"/>
                <w:w w:val="88"/>
              </w:rPr>
              <w:t>Senior Vice President, General Counsel, and Corporate Secretary</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Jennifer Lee</w:t>
            </w:r>
          </w:p>
        </w:tc>
        <w:tc>
          <w:tcPr>
            <w:tcW w:w="1200" w:type="dxa"/>
            <w:vAlign w:val="bottom"/>
          </w:tcPr>
          <w:p>
            <w:pPr>
              <w:jc w:val="center"/>
              <w:ind w:left="453"/>
              <w:spacing w:after="0"/>
              <w:rPr>
                <w:sz w:val="20"/>
                <w:szCs w:val="20"/>
                <w:color w:val="auto"/>
              </w:rPr>
            </w:pPr>
            <w:r>
              <w:rPr>
                <w:rFonts w:ascii="Arial" w:cs="Arial" w:eastAsia="Arial" w:hAnsi="Arial"/>
                <w:sz w:val="18"/>
                <w:szCs w:val="18"/>
                <w:color w:val="auto"/>
                <w:w w:val="89"/>
              </w:rPr>
              <w:t>54</w:t>
            </w:r>
          </w:p>
        </w:tc>
        <w:tc>
          <w:tcPr>
            <w:tcW w:w="4900" w:type="dxa"/>
            <w:vAlign w:val="bottom"/>
          </w:tcPr>
          <w:p>
            <w:pPr>
              <w:ind w:left="220"/>
              <w:spacing w:after="0"/>
              <w:rPr>
                <w:sz w:val="20"/>
                <w:szCs w:val="20"/>
                <w:color w:val="auto"/>
              </w:rPr>
            </w:pPr>
            <w:r>
              <w:rPr>
                <w:rFonts w:ascii="Arial" w:cs="Arial" w:eastAsia="Arial" w:hAnsi="Arial"/>
                <w:sz w:val="18"/>
                <w:szCs w:val="18"/>
                <w:color w:val="auto"/>
                <w:w w:val="99"/>
              </w:rPr>
              <w:t>Vice President, Controller, and Principal Accounting Officer</w:t>
            </w:r>
          </w:p>
        </w:tc>
      </w:tr>
    </w:tbl>
    <w:p>
      <w:pPr>
        <w:spacing w:after="0" w:line="229"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i w:val="1"/>
          <w:iCs w:val="1"/>
          <w:color w:val="auto"/>
        </w:rPr>
        <w:t xml:space="preserve">Stephen Christopher Linthwaite </w:t>
      </w:r>
      <w:r>
        <w:rPr>
          <w:rFonts w:ascii="Arial" w:cs="Arial" w:eastAsia="Arial" w:hAnsi="Arial"/>
          <w:sz w:val="16"/>
          <w:szCs w:val="16"/>
          <w:color w:val="auto"/>
        </w:rPr>
        <w:t>joined Fluidigm as President and Chief Operating Officer in August 2016 and has served as our President,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Director since October 2016. From August 2003 to April 2016, Mr. Linthwaite held various managerial positions at Thermo Fisher Scientific Inc., a life sciences company, and prior to its acquisition by Thermo Fisher, at Life Technologies Corporation, a life sciences company, including President, Genetic Sciences Division, from December 2014 to April 2016, President, Genetic Analysis Platform, from September 2011 to December 2014, and various other managerial positions at Invitrogen prior to the creation of Life Technologies through a merger of Invitrogen and Applied Biosystems. Prior to joining Invitrogen, Mr. Linthwaite held various strategic consulting roles. Mr. Linthwaite served on the board of directors of Claritas Genomics, Inc. from December 2014 to April 2016. Mr. Linthwaite received a M.B.A. from the University of Virginia (Darden) School of Business, and a B.A. in Foreign Affairs from the University of Virginia. Prior to business school, Mr. Linthwaite served on active duty in the U.S. Army as an armor officer.</w:t>
      </w:r>
    </w:p>
    <w:p>
      <w:pPr>
        <w:spacing w:after="0" w:line="166"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i w:val="1"/>
          <w:iCs w:val="1"/>
          <w:color w:val="auto"/>
        </w:rPr>
        <w:t xml:space="preserve">Vikram Jog </w:t>
      </w:r>
      <w:r>
        <w:rPr>
          <w:rFonts w:ascii="Arial" w:cs="Arial" w:eastAsia="Arial" w:hAnsi="Arial"/>
          <w:sz w:val="18"/>
          <w:szCs w:val="18"/>
          <w:color w:val="auto"/>
        </w:rPr>
        <w:t>has served as our Chief Financial Officer since February 2008. From April 2005 to February 2008, Mr. Jog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for XDx, Inc. (now CareDx, 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93"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Steven C. McPhail </w:t>
      </w:r>
      <w:r>
        <w:rPr>
          <w:rFonts w:ascii="Arial" w:cs="Arial" w:eastAsia="Arial" w:hAnsi="Arial"/>
          <w:sz w:val="16"/>
          <w:szCs w:val="16"/>
          <w:color w:val="auto"/>
        </w:rPr>
        <w:t>joined Fluidigm as General Manager, Production Genomics in May 2015 and became our Chief Commercial Officer in August 2016.</w:t>
      </w:r>
      <w:r>
        <w:rPr>
          <w:rFonts w:ascii="Arial" w:cs="Arial" w:eastAsia="Arial" w:hAnsi="Arial"/>
          <w:sz w:val="16"/>
          <w:szCs w:val="16"/>
          <w:i w:val="1"/>
          <w:iCs w:val="1"/>
          <w:color w:val="auto"/>
        </w:rPr>
        <w:t xml:space="preserve"> </w:t>
      </w:r>
      <w:r>
        <w:rPr>
          <w:rFonts w:ascii="Arial" w:cs="Arial" w:eastAsia="Arial" w:hAnsi="Arial"/>
          <w:sz w:val="16"/>
          <w:szCs w:val="16"/>
          <w:color w:val="auto"/>
        </w:rPr>
        <w:t>From December 2014 to March 2015, Mr. McPhail was vice president, special projects at Quintiles Transnational Corporation, a biopharmaceutical development and commercial outsourcing services firm. From February 2003 to August 2012, Mr. McPhail was President and Chief Executive Officer of Expression Analysis, Inc., a genomic services company that was acquired by Quintiles Transnational Corporation in August 2012, where Mr. McPhail was President of the post-acquisition operation until December 2014. Prior to Expression Analysis, Inc., Mr. McPhail held various staff and management positions at companies in the diagnostic, biotechnology, and medical device markets, including ArgoMed Inc., Xanthon, Inc., TriPath Imaging Inc., Dynex Technologies, Inc., and Abbott Laboratories. Mr. McPhail serves on the Board of Visitors of NC Children's Hospital and on the Board of Trustees of the Carolinas chapter of the Crohn's and Colitis Foundation of America as well as ImproveCareNow, a quality improvement network designed to improve the care and outcomes of children with inflammatory bowel disease. Mr. McPhail received a B.S. in Biology from San Diego State University.</w:t>
      </w:r>
    </w:p>
    <w:p>
      <w:pPr>
        <w:spacing w:after="0" w:line="167"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i w:val="1"/>
          <w:iCs w:val="1"/>
          <w:color w:val="auto"/>
        </w:rPr>
        <w:t xml:space="preserve">Nicholas Khadder </w:t>
      </w:r>
      <w:r>
        <w:rPr>
          <w:rFonts w:ascii="Arial" w:cs="Arial" w:eastAsia="Arial" w:hAnsi="Arial"/>
          <w:sz w:val="16"/>
          <w:szCs w:val="16"/>
          <w:color w:val="auto"/>
        </w:rPr>
        <w:t>has served as our Senior Vice President, General Counsel, and Corporate Secretary since June 2016. From 2010 to June 2016, Mr.</w:t>
      </w:r>
      <w:r>
        <w:rPr>
          <w:rFonts w:ascii="Arial" w:cs="Arial" w:eastAsia="Arial" w:hAnsi="Arial"/>
          <w:sz w:val="16"/>
          <w:szCs w:val="16"/>
          <w:i w:val="1"/>
          <w:iCs w:val="1"/>
          <w:color w:val="auto"/>
        </w:rPr>
        <w:t xml:space="preserve"> </w:t>
      </w:r>
      <w:r>
        <w:rPr>
          <w:rFonts w:ascii="Arial" w:cs="Arial" w:eastAsia="Arial" w:hAnsi="Arial"/>
          <w:sz w:val="16"/>
          <w:szCs w:val="16"/>
          <w:color w:val="auto"/>
        </w:rPr>
        <w:t>Khadder held various positions at Amyris, Inc., an industrial biotechnology company, including senior vice president, general counsel and corporate secretary from 2013 to June 2016, interim general counsel from July 2013 to December 2013 and assistant general counsel from October 2010 to July 2013. Prior to joining Amyris, Mr. Khadder served in senior corporate counsel roles at LeapFrog Enterprises, Inc., an educational entertainment company, from August 2008 to September 2010, and at Protiviti, Inc., an internal audit and risk consulting firm, from June 2005 to July 2008. Before commencing his in-house legal career, Mr. Khadder was a corporate law associate at Fenwick &amp; West LLP from 1998 to 2005. Mr. Khadder received a J.D. from Berkeley Law (the University of California, Berkeley, School of Law) and a B.A. in English from the University of California, Berkeley.</w:t>
      </w:r>
    </w:p>
    <w:p>
      <w:pPr>
        <w:spacing w:after="0" w:line="16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 xml:space="preserve">Jennifer Lee </w:t>
      </w:r>
      <w:r>
        <w:rPr>
          <w:rFonts w:ascii="Arial" w:cs="Arial" w:eastAsia="Arial" w:hAnsi="Arial"/>
          <w:sz w:val="18"/>
          <w:szCs w:val="18"/>
          <w:color w:val="auto"/>
        </w:rPr>
        <w:t>has served as Vice President, Controller, and Principal Accounting Officer since May 2016. From 1996 to May 2016, Ms. Lee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leadership roles at Genentech, Inc., a biotechnology company that was acquired by Roche Holdings, Inc., in March 2009, including Director of Commercial Finance from 2010 to May 2016, Director of General Audit from 2008 to 2009, Director of Collaborations Finance and Royalties from 2006 to 2008 and Associate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49" w:right="239" w:bottom="1440" w:gutter="0" w:footer="0" w:header="0"/>
        </w:sectPr>
      </w:pPr>
    </w:p>
    <w:bookmarkStart w:id="17" w:name="page18"/>
    <w:bookmarkEnd w:id="17"/>
    <w:p>
      <w:pPr>
        <w:jc w:val="both"/>
        <w:ind w:right="120"/>
        <w:spacing w:after="0" w:line="264" w:lineRule="auto"/>
        <w:rPr>
          <w:sz w:val="20"/>
          <w:szCs w:val="20"/>
          <w:color w:val="auto"/>
        </w:rPr>
      </w:pPr>
      <w:r>
        <w:rPr>
          <w:rFonts w:ascii="Arial" w:cs="Arial" w:eastAsia="Arial" w:hAnsi="Arial"/>
          <w:sz w:val="18"/>
          <w:szCs w:val="18"/>
          <w:color w:val="auto"/>
        </w:rPr>
        <w:t>Director of External Reporting from 2000 to 2006. Prior to joining Genentech, Ms. Lee held staff and managerial roles at Pacific Gas and Electric Company and Arthur Andersen &amp; Co. Ms. Lee received her B.S. in accounting from San Francisco State University and her M.B.A. from Golden Gate University. Ms. Lee is also a certified public accountant.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10-K. If any of the risks or uncertainties we face were to occur, the trading price of our securities could decline, and you may lose all or part of your investment.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60"/>
        <w:spacing w:after="0" w:line="313" w:lineRule="auto"/>
        <w:rPr>
          <w:sz w:val="20"/>
          <w:szCs w:val="20"/>
          <w:color w:val="auto"/>
        </w:rPr>
      </w:pPr>
      <w:r>
        <w:rPr>
          <w:rFonts w:ascii="Arial" w:cs="Arial" w:eastAsia="Arial" w:hAnsi="Arial"/>
          <w:sz w:val="17"/>
          <w:szCs w:val="17"/>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42"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Our total revenue was $101.9 million in 2017, $104.4 million in 2016, and $114.7 million in 2015. The decrease in overall revenue over this period was due in significant part to decreasing sales of single-cell genomics instruments, driven by a combination of factors including changes in customer demand, increased competition, and performance issues in certain IFCs used in our C1 systems.</w:t>
      </w:r>
    </w:p>
    <w:p>
      <w:pPr>
        <w:spacing w:after="0" w:line="181"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Our revenue, results of operations, and revenue growth rates have varied in the past and may continue to vary significantly from quarter-to-quarter or year-to-year. For example, in 2011, 2012, 2014 and 2015, we experienced higher sales in the fourth quarter than in the first quarter of the next fiscal year. Although this was not the case in the fourth quarter of 2013 compared to the first quarter of 2014, this seasonal historical trend continued in 2014 and 2015 with a decrease in revenue in the first quarters of 2015 and 2016, respectively. However, sales increased slightly in the first quarter of 2017 compared to the fourth quarter of 2016. Additionally, for the quarters ended March 31, 2015 and September 30, 2015, we experienced year-over-year revenue growth rates that were substantially lower than revenue growth rates experienced in other periods since our initial public offering, and we experienced a year-over-year decline in revenue for the quarters ended September 30, 2017, June 30, 2017, March 31, 2017, September 30, 2016, June 30, 2016 and September 30, 2015, and for the years ended December 31, 2017, 2016 and 2015. We may experience substantial variability in our product mix from period-to-period as revenue from sales of our instruments relative to sales of our consumables may fluctuate or deviate significantly from expectations.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8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return to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8" w:name="page19"/>
    <w:bookmarkEnd w:id="18"/>
    <w:p>
      <w:pPr>
        <w:ind w:right="340"/>
        <w:spacing w:after="0" w:line="342" w:lineRule="auto"/>
        <w:rPr>
          <w:sz w:val="20"/>
          <w:szCs w:val="20"/>
          <w:color w:val="auto"/>
        </w:rPr>
      </w:pPr>
      <w:r>
        <w:rPr>
          <w:rFonts w:ascii="Arial" w:cs="Arial" w:eastAsia="Arial" w:hAnsi="Arial"/>
          <w:sz w:val="16"/>
          <w:szCs w:val="16"/>
          <w:color w:val="auto"/>
        </w:rPr>
        <w:t>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have incurred significant losses in each fiscal year since our inception, including net losses of $60.5 million, $76.0 million, and $53.3 million during the years 2017, 2016, and 2015, respectively. As of December 31, 2017, we had an accumulated deficit of $500.2 million. These losses have resulted principally from costs incurred in our research and development programs, and from our manufacturing costs and selling, general, and administrative expenses. We believe that our continued investment in research and development, sales, and marketing is essential to our long-term competitive position and future revenue growth.</w:t>
      </w:r>
    </w:p>
    <w:p>
      <w:pPr>
        <w:spacing w:after="0" w:line="18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 expense reduction measures. Such measures may impair our ability to invest in developing, marketing and selling new and existing products. Furthermore, if our efficiency and cost reduction efforts are unsuccessful, our cash position could be negatively impacted and we may, among other things, be required to seek additional sources of financing. Until we are able to generate additional revenue to support our level of operating expenses, we will continue to incur operating and net losses and negative cash flow from operations.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6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If we require additional funds in the future, we may not be able to obtain such funds on acceptable terms, or at all. If we raise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may also have to reduce marketing, customer support, research and development or other resources devoted to our products.</w:t>
      </w:r>
    </w:p>
    <w:p>
      <w:pPr>
        <w:spacing w:after="0" w:line="193"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We have significant outstanding convertible debt, and may be required to repay, refinance or restructure such debt before 2021. In February 2014, we closed an underwritten public offering of $201.3 million aggregate principal amount of our 2.75% Senior Convertible Notes due 2034, which we refer to as our Original Notes. In March 2018, we entered into privately negotiated transactions with certain holders of our Original Notes to exchange approximately $125.0 million in aggregate principal amount of the Original Notes for approximately $125.0 million in aggregate principal amount of our new 2.75% Exchange Convertible Senior Notes due 2034, which we refer to as our Exchange Notes, and together with the Original Notes, the Notes. Immediately following the note exchange transaction, approximately $76.3 million in aggregate principal amount of Original Notes remained outstanding. The Notes accrue interest at a rate of 2.75% per year, payable semi-annually in arrears on February 1 and August 1 of each year. The Notes will mature on February 1, 2034, unless earlier converted, redeemed, or repurchased in accordance with the terms of the Notes. Holders of the Original Notes may require us to repurchase all or a portion of their Original Notes on each of February 6, 2021, February 6, 2024, and February 6, 2029 at a repurchase price in cash equal to 100% of the principal amount of the Notes plus accrued and unpaid interest. Holders of the Exchange Notes may require us to repurchase all or a portion of their Exchange Notes on each of February 6, 2023, February 6, 2026, and February 6, 2029 at a repurchase price in cash equal to 100% of the accreted principal amount (i.e., up to 120% of the outstanding principal amount) of the Exchange Notes plus accrued and unpaid interest. If we undergo a fundamental change, as defined in the terms of each of the applicable series of Notes, (i) holders of the Original Notes may require us to repurchase the Original Notes in whole or in part for cash at a repurchase price equal to 100% of the principal amount of the Notes plus accrued and unpaid interest and (ii) holders of the Exchange Notes may require us to repurchase the Exchange Notes in whole or in part for cash at a repurchase price equal to 100% of the accreted principal amount (i.e., up to 120% of the outstanding principal amount) of the Exchange Notes plus accrued and unpaid interest. If we refinance the debt owed under the Notes, we may issue additional convertible notes or other debt, which could include additional company obligations and represent more dilution to existing stockholders and noteholders.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68" w:right="2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The life science markets are highly competitive and subject to rapid technological change, and we may not be able to successfully compete.</w:t>
      </w:r>
    </w:p>
    <w:p>
      <w:pPr>
        <w:spacing w:after="0" w:line="241"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expression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10X Genomics, Inc., Affymetrix, Inc. (now part of Thermo Fisher Scientific Inc.), Agena Bioscience, Inc., Agilent Technologies, Inc., Becton, Dickinson and Company, Bio-Rad Laboratories, Inc., Cellular Research, Inc. (now a part of Becton, Dickinson and Company), Danaher Corporation, Illumina, Inc., Life Technologies Corporation (now part of Thermo Fisher Scientific Inc.), LGC Limited, Luminex Corporation, Millipore Corporation, NanoString Technologies, Inc., PerkinElmer, Inc. (through its acquisition of Caliper Life Sciences, Inc.), RainDance Technologies, Inc. (acquisition by Bio-Rad Laboratories, Inc. pending), Roche Diagnostics Corporation, Sony Corporation, Thermo Fisher Scientific Inc., WaferGen Bio-systems, Inc., Cytek Biosciences, Inc., Akoya Biosciences, Inc., Innova Biosciences Ltd., QIAGEN N.V., 1CellBio, Inc., Berkeley Lights, Inc., and Mission Bio, Inc. have products that compete in certain segments of the market in which we sell our products. In addition, we have in recent quarters experienced increased competition in the single-cell genomics market, including new product releases from 10X Genomics, Inc. and WaferGen Bio-systems, Inc., as well as the acquisition of Cellular Research by Becton Dickinson and Company and an announced exclusive partnership between Illumina, Inc. and Bio-Rad Laboratories, Inc. In addition, due to the release of our Hyperion imaging mass cytometry system, we now are exposed to competition from companies offering imaging-based systems, specialized reagents and/or services including Carl Zeiss Inc., Leica Biosystems, Nikon Corporation, Olympus America Inc., Roche Diagnostics Corporation, PerkinElmer, Inc., Agilent Technologies, Inc., IonPath Inc., Zellwerk GmbH, Bruker Corporation, Shimadzu Corporation, NanoString Technologies, Inc., and Neogenomics (Multiomyx).</w:t>
      </w:r>
    </w:p>
    <w:p>
      <w:pPr>
        <w:spacing w:after="0" w:line="182"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66"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Our commercial organization has undergone significant changes in 2016 and 2017, and we are in the early stages of establishing sales of our products for many key applications.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36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67"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 losses.</w:t>
      </w:r>
    </w:p>
    <w:p>
      <w:pPr>
        <w:spacing w:after="0" w:line="252"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58"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58"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21" w:name="page22"/>
    <w:bookmarkEnd w:id="21"/>
    <w:p>
      <w:pPr>
        <w:spacing w:after="0" w:line="279" w:lineRule="auto"/>
        <w:rPr>
          <w:sz w:val="20"/>
          <w:szCs w:val="20"/>
          <w:color w:val="auto"/>
        </w:rPr>
      </w:pPr>
      <w:r>
        <w:rPr>
          <w:rFonts w:ascii="Arial" w:cs="Arial" w:eastAsia="Arial" w:hAnsi="Arial"/>
          <w:sz w:val="17"/>
          <w:szCs w:val="17"/>
          <w:color w:val="auto"/>
        </w:rPr>
        <w:t>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24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368" w:right="299" w:bottom="1440" w:gutter="0" w:footer="0" w:header="0"/>
        </w:sectPr>
      </w:pPr>
    </w:p>
    <w:bookmarkStart w:id="22" w:name="page23"/>
    <w:bookmarkEnd w:id="22"/>
    <w:p>
      <w:pPr>
        <w:ind w:right="6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research, and governmental research institutions, biopharmaceutical, biotechnology, and Ag-Bio companies, and CROs, a reduction in which could limit our ability to sell our products and adversely affect our business.</w:t>
      </w:r>
    </w:p>
    <w:p>
      <w:pPr>
        <w:spacing w:after="0" w:line="18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expect that our revenue in the foreseeable future will be derived primarily from sales of our systems, IFCs, assays, and reagents to academic institutions, clinical research laboratories that use our technology to develop tests, and biopharmaceutical, biotechnology, Ag-Bio companies and CROs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183" w:lineRule="exact"/>
        <w:rPr>
          <w:sz w:val="20"/>
          <w:szCs w:val="20"/>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66"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2"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We manufacture our genomics analytical and preparatory instruments and IFCs for commercial sale at our facility in Singapore, our mass cytometry instruments for commercial sale at our facility in Canada, and our assays and reagents for commercial sale at our headquarters in the United States.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364" w:right="259" w:bottom="1440" w:gutter="0" w:footer="0" w:header="0"/>
        </w:sectPr>
      </w:pPr>
    </w:p>
    <w:bookmarkStart w:id="23" w:name="page24"/>
    <w:bookmarkEnd w:id="23"/>
    <w:p>
      <w:pPr>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6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During the years 2017, 2016, and 2015, approximately 55%, 49%, and 52%, respectively, of our product and service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820" w:right="240" w:hanging="326"/>
        <w:spacing w:after="0" w:line="26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RoHS and WEEE directives, which regulate the use of certain hazardous substances in, and require the collection, reuse, and recycling of waste from, products we manufacture;</w:t>
      </w:r>
    </w:p>
    <w:p>
      <w:pPr>
        <w:spacing w:after="0" w:line="18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7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During June 2016, the referendum by British voters to exit the European Union ("Brexit") adversely impacted global markets and resulted in a sharp decline of the British pound sterling against the US dollar. In February 2017, the British Parliament voted in favor of allowing the British government to begin the formal process of Brexit, and the United Kingdom submitted its required notice under the applicable treaties that it intended to leave the European Union in March 2017, which initiated a negotiation process between the United Kingdom and the European Union that could last up to two years. In the short-term, volatility in the British pound sterling could continue as the United Kingdom negotiates its anticipated exit from the European Union. In the longer term, any impact from Brexit on our United Kingdom operations will depend, in part, on the outcome of tariff, trade, regulatory, and other negotiations.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64" w:right="259" w:bottom="1440" w:gutter="0" w:footer="0" w:header="0"/>
        </w:sectPr>
      </w:pPr>
    </w:p>
    <w:bookmarkStart w:id="24" w:name="page25"/>
    <w:bookmarkEnd w:id="24"/>
    <w:p>
      <w:pPr>
        <w:ind w:right="60" w:firstLine="486"/>
        <w:spacing w:after="0" w:line="287" w:lineRule="auto"/>
        <w:rPr>
          <w:sz w:val="20"/>
          <w:szCs w:val="20"/>
          <w:color w:val="auto"/>
        </w:rPr>
      </w:pPr>
      <w:r>
        <w:rPr>
          <w:rFonts w:ascii="Arial" w:cs="Arial" w:eastAsia="Arial" w:hAnsi="Arial"/>
          <w:sz w:val="16"/>
          <w:szCs w:val="16"/>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example, for the years ended December 31, 2017, 2016, and 2015, we experienced foreign currency losses of $0.1 million, $1.5 million, and $1.6 million, respectively. Fluctuations in currency exchange rates could have an adverse impact on our financial results in the future.</w:t>
      </w:r>
    </w:p>
    <w:p>
      <w:pPr>
        <w:spacing w:after="0" w:line="16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760" w:right="320" w:hanging="320"/>
        <w:spacing w:after="0" w:line="264"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C1, Callisto, Juno, and Polaris systems are available from a limited number of sources.</w:t>
      </w:r>
    </w:p>
    <w:p>
      <w:pPr>
        <w:spacing w:after="0" w:line="248" w:lineRule="exact"/>
        <w:rPr>
          <w:rFonts w:ascii="Arial" w:cs="Arial" w:eastAsia="Arial" w:hAnsi="Arial"/>
          <w:sz w:val="16"/>
          <w:szCs w:val="16"/>
          <w:color w:val="auto"/>
        </w:rPr>
      </w:pPr>
    </w:p>
    <w:p>
      <w:pPr>
        <w:ind w:left="760" w:right="30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movement stage included in the Hyperion imaging mass cytometer system is purchased from a sole source supplier.</w:t>
      </w:r>
    </w:p>
    <w:p>
      <w:pPr>
        <w:spacing w:after="0" w:line="225" w:lineRule="exact"/>
        <w:rPr>
          <w:rFonts w:ascii="Arial" w:cs="Arial" w:eastAsia="Arial" w:hAnsi="Arial"/>
          <w:sz w:val="18"/>
          <w:szCs w:val="18"/>
          <w:color w:val="auto"/>
        </w:rPr>
      </w:pPr>
    </w:p>
    <w:p>
      <w:pPr>
        <w:ind w:left="760" w:right="14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nickel sampler cone used with the Hyperion/Helios systems is purchased from single source suppliers and is available from a limited number of sources.</w:t>
      </w:r>
    </w:p>
    <w:p>
      <w:pPr>
        <w:spacing w:after="0" w:line="170" w:lineRule="exact"/>
        <w:rPr>
          <w:rFonts w:ascii="Arial" w:cs="Arial" w:eastAsia="Arial" w:hAnsi="Arial"/>
          <w:sz w:val="18"/>
          <w:szCs w:val="18"/>
          <w:color w:val="auto"/>
        </w:rPr>
      </w:pPr>
    </w:p>
    <w:p>
      <w:pPr>
        <w:ind w:left="760" w:right="520" w:hanging="320"/>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rFonts w:ascii="Arial" w:cs="Arial" w:eastAsia="Arial" w:hAnsi="Arial"/>
          <w:sz w:val="18"/>
          <w:szCs w:val="18"/>
          <w:color w:val="auto"/>
        </w:rPr>
      </w:pPr>
    </w:p>
    <w:p>
      <w:pPr>
        <w:ind w:left="760" w:right="280" w:hanging="320"/>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368" w:right="279" w:bottom="1440" w:gutter="0" w:footer="0" w:header="0"/>
        </w:sectPr>
      </w:pPr>
    </w:p>
    <w:bookmarkStart w:id="25" w:name="page26"/>
    <w:bookmarkEnd w:id="25"/>
    <w:p>
      <w:pPr>
        <w:ind w:left="760" w:right="180" w:hanging="320"/>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research laboratories that use our technology to develop tests, and biopharmaceutical, biotechnology, and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61"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20"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584" w:right="279" w:bottom="1440" w:gutter="0" w:footer="0" w:header="0"/>
        </w:sectPr>
      </w:pPr>
    </w:p>
    <w:bookmarkStart w:id="26" w:name="page27"/>
    <w:bookmarkEnd w:id="26"/>
    <w:p>
      <w:pPr>
        <w:ind w:right="80"/>
        <w:spacing w:after="0" w:line="293" w:lineRule="auto"/>
        <w:rPr>
          <w:sz w:val="20"/>
          <w:szCs w:val="20"/>
          <w:color w:val="auto"/>
        </w:rPr>
      </w:pPr>
      <w:r>
        <w:rPr>
          <w:rFonts w:ascii="Arial" w:cs="Arial" w:eastAsia="Arial" w:hAnsi="Arial"/>
          <w:sz w:val="16"/>
          <w:szCs w:val="16"/>
          <w:color w:val="auto"/>
        </w:rPr>
        <w:t>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our goodwill or other intangible assets could materially and adversely affect our business, operating results, and financial condition.</w:t>
      </w:r>
    </w:p>
    <w:p>
      <w:pPr>
        <w:spacing w:after="0" w:line="252"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As of December 31, 2017, we had approximately $178.3 million of goodwill and net intangible assets, including approximately $104.1 million of goodwill and $74.2 million of net intangible assets. These assets represent a significant portion of the assets recorded on our consolidated balance sheet and relate primarily to our acquisition of DVS Sciences, Inc., or DVS, in February 2014. In addition, if in the future we acquire additional businesses, technologies, or other intangible assets, a substantial portion of the value of such assets may be recorded as goodwill or intangible assets.</w:t>
      </w:r>
    </w:p>
    <w:p>
      <w:pPr>
        <w:spacing w:after="0" w:line="15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We have recently experienced substantial declines in our stock price, and continued weakness or further declines in our stock price increase the likelihood that we may be required to recognize impairment charges.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operations are dependent upon our new senior management team and the ability of our other new employees to learn their new roles.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w:t>
      </w:r>
    </w:p>
    <w:p>
      <w:pPr>
        <w:spacing w:after="0" w:line="22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Our performance is substantially dependent on the performance of our senior management, which has substantially changed over the last few years, including, for example, a change in our chief executive officer in October 2016. In addition to our chief executive officer, several other members of our senior management team have started at Fluidigm since mid-2016. As new employees gain experience in their roles, we could experience inefficiencies or a lack of business continuity due to loss of historical knowledge and a lack of familiarity of new employees with business processes, operating requirements, policies and procedures, and we may experience additional costs as new employees learn their roles and gain necessary experience. It is important to our success that these key employees quickly adapt to and excel in their new roles. If they are unable to do so, our business and financial results could be materially adversely affected. In addition, 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7" w:name="page28"/>
    <w:bookmarkEnd w:id="27"/>
    <w:p>
      <w:pPr>
        <w:ind w:right="60" w:firstLine="432"/>
        <w:spacing w:after="0" w:line="272" w:lineRule="auto"/>
        <w:rPr>
          <w:sz w:val="20"/>
          <w:szCs w:val="20"/>
          <w:color w:val="auto"/>
        </w:rPr>
      </w:pPr>
      <w:r>
        <w:rPr>
          <w:rFonts w:ascii="Arial" w:cs="Arial" w:eastAsia="Arial" w:hAnsi="Arial"/>
          <w:sz w:val="17"/>
          <w:szCs w:val="17"/>
          <w:color w:val="auto"/>
        </w:rPr>
        <w:t>Additionally, to expand our research and product development efforts, we need to retain and recruit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74"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4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Beginning in the first quarter of 2017, we implemented efficiency and cost-savings initiatives intended to stabilize our business operations and return to growth. We identified areas for cost efficiencies including targeted workforce reductions and optimizing our facilities, and reducing excess space. Other initiatives may also include decreasing or deferring capital expenditures and development activities. The implementation of these efficiency and cost-savings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stabilize our business and return to growth may not be successful.</w:t>
      </w:r>
    </w:p>
    <w:p>
      <w:pPr>
        <w:spacing w:after="0" w:line="163" w:lineRule="exact"/>
        <w:rPr>
          <w:sz w:val="20"/>
          <w:szCs w:val="20"/>
          <w:color w:val="auto"/>
        </w:rPr>
      </w:pPr>
    </w:p>
    <w:p>
      <w:pPr>
        <w:ind w:right="960"/>
        <w:spacing w:after="0" w:line="347" w:lineRule="auto"/>
        <w:rPr>
          <w:sz w:val="20"/>
          <w:szCs w:val="20"/>
          <w:color w:val="auto"/>
        </w:rPr>
      </w:pPr>
      <w:r>
        <w:rPr>
          <w:rFonts w:ascii="Arial" w:cs="Arial" w:eastAsia="Arial" w:hAnsi="Arial"/>
          <w:sz w:val="16"/>
          <w:szCs w:val="16"/>
          <w:b w:val="1"/>
          <w:bCs w:val="1"/>
          <w:color w:val="auto"/>
        </w:rPr>
        <w:t>To use our products, our Biomark, EP1, and Helios systems in particular, customers typically need to purchase specialized reagents. Any interruption in the availability of these reagents for use in our products could limit our ability to market our products.</w:t>
      </w:r>
    </w:p>
    <w:p>
      <w:pPr>
        <w:spacing w:after="0" w:line="120"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products, our Biomark, EP1, and Helios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8"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8" w:name="page29"/>
    <w:bookmarkEnd w:id="28"/>
    <w:p>
      <w:pPr>
        <w:ind w:right="60"/>
        <w:spacing w:after="0" w:line="256" w:lineRule="auto"/>
        <w:rPr>
          <w:sz w:val="20"/>
          <w:szCs w:val="20"/>
          <w:color w:val="auto"/>
        </w:rPr>
      </w:pPr>
      <w:r>
        <w:rPr>
          <w:rFonts w:ascii="Arial" w:cs="Arial" w:eastAsia="Arial" w:hAnsi="Arial"/>
          <w:sz w:val="18"/>
          <w:szCs w:val="18"/>
          <w:b w:val="1"/>
          <w:bCs w:val="1"/>
          <w:color w:val="auto"/>
        </w:rPr>
        <w:t>If we seek to be regulated as a medical device manufacturer by the U.S. Food and Drug Administration, or FDA, and foreign regulatory authorities, and seek approval and/or clearance for our products, the regulatory approval process would take significant time and expense and could fail to result in FDA clearance or approval for the intended uses we believe are commercially attractive. If our products were successfully approved and/or cleared, we would be subject to ongoing and extensive regulatory requirements, which would increase our costs and divert resources away from other projects. If we obtained FDA clearance or approval and we failed to comply with these requirements, our business and financial condition could be adversely impacted.</w:t>
      </w:r>
    </w:p>
    <w:p>
      <w:pPr>
        <w:spacing w:after="0" w:line="192"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products are currently labeled, promoted and sold to academic institutions, life sciences laboratories, biopharmaceutical, biotechnology, Ag-Bio companies and CRO's for research use only, or RUO, and are not designed for, or intended to be used for, diagnostic tests or as medical devices as currently marketed. Before we can begin to label and market our products for use as, or in the performance of, clinical diagnostics in the United States, thereby subjecting them to FDA regulation as medical devices, we would be required to obtain premarket 510(k) clearance or premarket approval (PMA) from the FDA, unless an exception applies.</w:t>
      </w:r>
    </w:p>
    <w:p>
      <w:pPr>
        <w:spacing w:after="0" w:line="188"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We may in the future register with the FDA as a medical device manufacturer and list some of our products with the FDA pursuant to an FDA Class I listing for general purpose laboratory equipment. We are currently assessing whether and when to make an initial registration. While this regulatory classification is exempt from certain FDA requirements, such as the need to submit a premarket notification commonly known as a 510(k), and some of the requirements of the FDA’s Quality System Regulations, or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78"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79"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9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addition, we could decide to seek similar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Clearance or approval by the FDA does not ensure approval by regulatory authorities in other countries, and approval by one foreign regulatory authority does not ensure approval by regulatory authorities in other countries or by the FDA. In Europe, we would need to comply with the Medical Device Directive 93/42 EEC and/or the In Vitro Diagnostics Directive 98/79/EC, which are required to market medical devices in the European Union.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364" w:right="259" w:bottom="1440" w:gutter="0" w:footer="0" w:header="0"/>
        </w:sectPr>
      </w:pPr>
    </w:p>
    <w:bookmarkStart w:id="29" w:name="page30"/>
    <w:bookmarkEnd w:id="29"/>
    <w:p>
      <w:pPr>
        <w:jc w:val="both"/>
        <w:ind w:right="320"/>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before we have obtained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As products that are currently labeled, promoted and intended for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marketing and promotional efforts as being inconsistent with research use only products. For example, our customers may independently elect to use our research use only labeled products in their own laboratory developed tests, or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8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used for clinical diagnostic purposes. These circumstances may include written or verbal marketing claims or links to articles regarding a product’s performance in clinical applications and a manufacturer’s provision of technical support for clinical applications.</w:t>
      </w:r>
    </w:p>
    <w:p>
      <w:pPr>
        <w:spacing w:after="0" w:line="18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If the FDA modifies its approach to our products labeled and intended for RUO, or otherwise determines our products or related applications should be subject to additional regulation as in vitro diagnostic devices based upon customers’ use of our products for clinical diagnostic or therapeutic purposes, before we have obtained regulatory clearance or approval to market our products for diagnostic purposes, our ability to market and sell our products could be impeded and our business, prospects, results of operations and financial condition may be adversely affected. In addition, if the FDA determines that our products labeled for RUO were intended, based on a review of the totality of circumstances, for use in clinical investigation or diagnosis, those products could be considered misbranded or adulterated under the Federal Food, Drug, and Cosmetic Act and subject to recall and/or other enforcement action.</w:t>
      </w:r>
    </w:p>
    <w:p>
      <w:pPr>
        <w:spacing w:after="0" w:line="161" w:lineRule="exact"/>
        <w:rPr>
          <w:sz w:val="20"/>
          <w:szCs w:val="20"/>
          <w:color w:val="auto"/>
        </w:rPr>
      </w:pPr>
    </w:p>
    <w:p>
      <w:pPr>
        <w:ind w:right="740"/>
        <w:spacing w:after="0" w:line="347" w:lineRule="auto"/>
        <w:rPr>
          <w:sz w:val="20"/>
          <w:szCs w:val="20"/>
          <w:color w:val="auto"/>
        </w:rPr>
      </w:pPr>
      <w:r>
        <w:rPr>
          <w:rFonts w:ascii="Arial" w:cs="Arial" w:eastAsia="Arial" w:hAnsi="Arial"/>
          <w:sz w:val="16"/>
          <w:szCs w:val="16"/>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20" w:lineRule="exact"/>
        <w:rPr>
          <w:sz w:val="20"/>
          <w:szCs w:val="20"/>
          <w:color w:val="auto"/>
        </w:rPr>
      </w:pPr>
    </w:p>
    <w:p>
      <w:pPr>
        <w:ind w:right="120" w:firstLine="432"/>
        <w:spacing w:after="0" w:line="287"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 the use of certain hazardous substances in, and require the collection, reuse, and recycling of waste from, products we manufacture. Certain of our products sold in these countries are subject to WEEE requirements may become subject to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4" w:right="239" w:bottom="1440" w:gutter="0" w:footer="0" w:header="0"/>
        </w:sectPr>
      </w:pPr>
    </w:p>
    <w:bookmarkStart w:id="30" w:name="page31"/>
    <w:bookmarkEnd w:id="30"/>
    <w:p>
      <w:pPr>
        <w:ind w:firstLine="432"/>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7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Select Market, or NASDAQ, the SEC or other regulatory authorities, which would require additional financial and management resources.</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We believe that our existing cash and cash equivalents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760" w:hanging="320"/>
        <w:spacing w:after="0"/>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25" w:lineRule="exact"/>
        <w:rPr>
          <w:rFonts w:ascii="Arial" w:cs="Arial" w:eastAsia="Arial" w:hAnsi="Arial"/>
          <w:sz w:val="18"/>
          <w:szCs w:val="18"/>
          <w:color w:val="auto"/>
        </w:rPr>
      </w:pPr>
    </w:p>
    <w:p>
      <w:pPr>
        <w:jc w:val="center"/>
        <w:ind w:left="400" w:right="5740" w:firstLine="40"/>
        <w:spacing w:after="0" w:line="563" w:lineRule="auto"/>
        <w:tabs>
          <w:tab w:leader="none" w:pos="76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31" w:name="page32"/>
    <w:bookmarkEnd w:id="31"/>
    <w:p>
      <w:pPr>
        <w:ind w:left="720" w:hanging="32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right="460" w:hanging="320"/>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66"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We recently completed a review of our European corporate structure and tax positions and, based upon our existing business operations, we restructured our European intercompany transactions, which increased our income tax liability. From time to time, we may review our corporate structure and tax positions in other international jurisdictions and such review may result in additional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Legislation commonly referred to as the 2017 Tax Cuts and Jobs Act was enacted in the United States on December 22, 2017 and introduced a number of changes to U.S. federal income tax, the consequences to us of which have not yet been fully determined and which could have material impact on the value of our deferred tax assets, could result in significant one-time charges in the current or future taxable years, and could increase our future U.S. tax expense. Payment of additional amounts as a result of changes in applicable tax law or upon final adjudication of any disputes could have a material impact on our results of operations and financial position.</w:t>
      </w:r>
    </w:p>
    <w:p>
      <w:pPr>
        <w:spacing w:after="0" w:line="17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addition to our acquisition of DVS, we may make additional acquisitions to improve our product offerings or expand into new markets. Our future acquisition strategy will depend on our ability to identify, negotiate, complete, and integrate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32" w:name="page33"/>
    <w:bookmarkEnd w:id="32"/>
    <w:p>
      <w:pPr>
        <w:ind w:right="80"/>
        <w:spacing w:after="0" w:line="264" w:lineRule="auto"/>
        <w:rPr>
          <w:sz w:val="20"/>
          <w:szCs w:val="20"/>
          <w:color w:val="auto"/>
        </w:rPr>
      </w:pPr>
      <w:r>
        <w:rPr>
          <w:rFonts w:ascii="Arial" w:cs="Arial" w:eastAsia="Arial" w:hAnsi="Arial"/>
          <w:sz w:val="18"/>
          <w:szCs w:val="18"/>
          <w:color w:val="auto"/>
        </w:rPr>
        <w:t>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181" w:lineRule="exact"/>
        <w:rPr>
          <w:sz w:val="20"/>
          <w:szCs w:val="20"/>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uncertainty of entry into markets in which we have limited or no prior experience and in which competitors have stronger market positions;</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6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8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we seek to implement a company-wide implementation of an enterprise resource planning, or ERP, system, such implementation could adversely affect our business and results of operations or the effectiveness of internal control over financial reporting.</w:t>
      </w:r>
    </w:p>
    <w:p>
      <w:pPr>
        <w:spacing w:after="0" w:line="16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33" w:name="page34"/>
    <w:bookmarkEnd w:id="33"/>
    <w:p>
      <w:pPr>
        <w:ind w:right="520"/>
        <w:spacing w:after="0" w:line="308" w:lineRule="auto"/>
        <w:rPr>
          <w:sz w:val="20"/>
          <w:szCs w:val="20"/>
          <w:color w:val="auto"/>
        </w:rPr>
      </w:pPr>
      <w:r>
        <w:rPr>
          <w:rFonts w:ascii="Arial" w:cs="Arial" w:eastAsia="Arial" w:hAnsi="Arial"/>
          <w:sz w:val="17"/>
          <w:szCs w:val="17"/>
          <w:color w:val="auto"/>
        </w:rPr>
        <w:t>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accounting principles, or interpretations thereof, could have a significant impact on our financial position and results of operations.</w:t>
      </w:r>
    </w:p>
    <w:p>
      <w:pPr>
        <w:spacing w:after="0" w:line="252"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referred to as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88"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For example, the U.S.-based Financial Accounting Standards Board, referred to as FASB, is currently working together with the International Accounting Standards Board, referred to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relating to Revenue from Contracts with Customers which supersedes nearly all existing U.S. GAAP revenue recognition guidance. The new guidance is effective for our fiscal year 2018. We adopted ASU 2014-09 in the first quarter of 2018 using the modified retrospective method. The adoption is not expected to have a material impact on our consolidated financial statements. Under the modified retrospective method, periods prior to the adoption of ASU 2014-09 are not restated and the cumulative effect of initially applying the new standard is reflected in the opening balance of retained earnings as of January 1, 2018. Additional disclosures are required for significant differences between the reported results under the new standard and those that would have been reported under the legacy standard. While we continue to evaluate the effect of the new standard on our ongoing financial reporting, we currently do not expect the cumulative effect of the new standard to be material. We continue to identify the appropriate changes to our business processes, systems, and controls to support revenue recognition and disclosure under the new standard.</w:t>
      </w:r>
    </w:p>
    <w:p>
      <w:pPr>
        <w:spacing w:after="0" w:line="183"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color w:val="auto"/>
        </w:rPr>
        <w:t>It is not clear if or when these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2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66"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 xml:space="preserve">Section </w:t>
      </w:r>
      <w:r>
        <w:rPr>
          <w:rFonts w:ascii="Arial" w:cs="Arial" w:eastAsia="Arial" w:hAnsi="Arial"/>
          <w:sz w:val="18"/>
          <w:szCs w:val="18"/>
          <w:color w:val="212121"/>
        </w:rPr>
        <w:t>382 of the Internal Revenue Code of 1986, as amended, referred to as the “Code,” imposes an annual limitation on the amount of taxable</w:t>
      </w:r>
      <w:r>
        <w:rPr>
          <w:rFonts w:ascii="Arial" w:cs="Arial" w:eastAsia="Arial" w:hAnsi="Arial"/>
          <w:sz w:val="18"/>
          <w:szCs w:val="18"/>
          <w:color w:val="auto"/>
        </w:rPr>
        <w:t xml:space="preserve"> </w:t>
      </w:r>
      <w:r>
        <w:rPr>
          <w:rFonts w:ascii="Arial" w:cs="Arial" w:eastAsia="Arial" w:hAnsi="Arial"/>
          <w:sz w:val="18"/>
          <w:szCs w:val="18"/>
          <w:color w:val="212121"/>
        </w:rPr>
        <w:t>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referred to as our NOL's, following an ownership change</w:t>
      </w:r>
      <w:r>
        <w:rPr>
          <w:rFonts w:ascii="Arial" w:cs="Arial" w:eastAsia="Arial" w:hAnsi="Arial"/>
          <w:sz w:val="18"/>
          <w:szCs w:val="18"/>
          <w:color w:val="000000"/>
        </w:rPr>
        <w:t>.</w:t>
      </w:r>
    </w:p>
    <w:p>
      <w:pPr>
        <w:spacing w:after="0" w:line="188"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color w:val="212121"/>
        </w:rPr>
        <w:t>we experience an ownership change, our ability to use our NOLs, any loss or deduction attributable to a “net unrealized built-in loss” and other tax</w:t>
      </w:r>
      <w:r>
        <w:rPr>
          <w:rFonts w:ascii="Arial" w:cs="Arial" w:eastAsia="Arial" w:hAnsi="Arial"/>
          <w:sz w:val="18"/>
          <w:szCs w:val="18"/>
          <w:color w:val="auto"/>
        </w:rPr>
        <w:t xml:space="preserve"> </w:t>
      </w:r>
      <w:r>
        <w:rPr>
          <w:rFonts w:ascii="Arial" w:cs="Arial" w:eastAsia="Arial" w:hAnsi="Arial"/>
          <w:sz w:val="18"/>
          <w:szCs w:val="18"/>
          <w:color w:val="212121"/>
        </w:rPr>
        <w:t>attributes, which we refer to as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18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12121"/>
        </w:rPr>
        <w:t>believe that these tax benefits are a valuable asset for us. However, legislation commonly known as the 2017 Tax Cuts and Jobs Act includes a</w:t>
      </w:r>
      <w:r>
        <w:rPr>
          <w:rFonts w:ascii="Arial" w:cs="Arial" w:eastAsia="Arial" w:hAnsi="Arial"/>
          <w:sz w:val="17"/>
          <w:szCs w:val="17"/>
          <w:color w:val="auto"/>
        </w:rPr>
        <w:t xml:space="preserve"> </w:t>
      </w:r>
      <w:r>
        <w:rPr>
          <w:rFonts w:ascii="Arial" w:cs="Arial" w:eastAsia="Arial" w:hAnsi="Arial"/>
          <w:sz w:val="17"/>
          <w:szCs w:val="17"/>
          <w:color w:val="212121"/>
        </w:rPr>
        <w:t>decrease in the U.S. federal corporate income tax rate from 35% to 21%, and our tax benefits will be revalued at the newly enacted rate. We do not expect this to have a material impact on our financial statements because we currently maintain a full valuation allowance on our U.S. deferred tax assets; however, this reduction in the U.S. federal corporate income tax rate results in a corresponding reduction in the value of our tax benefits. On November 21, 2016, our board of directors approved a tax benefit preservation plan, or Tax Benefit Preservation Plan, in an effort to protect our tax</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368" w:right="259" w:bottom="1440" w:gutter="0" w:footer="0" w:header="0"/>
        </w:sectPr>
      </w:pPr>
    </w:p>
    <w:bookmarkStart w:id="34" w:name="page35"/>
    <w:bookmarkEnd w:id="34"/>
    <w:p>
      <w:pPr>
        <w:spacing w:after="0" w:line="276" w:lineRule="auto"/>
        <w:rPr>
          <w:sz w:val="20"/>
          <w:szCs w:val="20"/>
          <w:color w:val="auto"/>
        </w:rPr>
      </w:pPr>
      <w:r>
        <w:rPr>
          <w:rFonts w:ascii="Arial" w:cs="Arial" w:eastAsia="Arial" w:hAnsi="Arial"/>
          <w:sz w:val="17"/>
          <w:szCs w:val="17"/>
          <w:color w:val="212121"/>
        </w:rPr>
        <w:t xml:space="preserve">benefits during the effective period of the tax benefit preservation plan. Our board of directors elected to let the Tax Benefit Preservation Plan expire in August 2017 based on its determination, in consultation with our management and tax advisors, that our NOLs were not at material risk of limitation based on an ownership change pursuant to Section 382. Our board of directors will continue to monitor our NOLs, however, and could elect to adopt a similar plan if it believes a potential risk exists that our NOLs could be limited. </w:t>
      </w:r>
      <w:r>
        <w:rPr>
          <w:rFonts w:ascii="Arial" w:cs="Arial" w:eastAsia="Arial" w:hAnsi="Arial"/>
          <w:sz w:val="17"/>
          <w:szCs w:val="17"/>
          <w:color w:val="000000"/>
        </w:rPr>
        <w:t>Any future</w:t>
      </w:r>
      <w:r>
        <w:rPr>
          <w:rFonts w:ascii="Arial" w:cs="Arial" w:eastAsia="Arial" w:hAnsi="Arial"/>
          <w:sz w:val="17"/>
          <w:szCs w:val="17"/>
          <w:color w:val="212121"/>
        </w:rPr>
        <w:t xml:space="preserve"> tax benefit preservation plan could make it more difficult for a third party to acquire, or could discourage a third party from acquiring, us or a large block of our common stock.</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products and technologies or duplicate any of our products and technologies.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6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68" w:right="259" w:bottom="1440" w:gutter="0" w:footer="0" w:header="0"/>
        </w:sectPr>
      </w:pPr>
    </w:p>
    <w:bookmarkStart w:id="35" w:name="page36"/>
    <w:bookmarkEnd w:id="35"/>
    <w:p>
      <w:pPr>
        <w:ind w:right="20" w:firstLine="432"/>
        <w:spacing w:after="0" w:line="253" w:lineRule="auto"/>
        <w:rPr>
          <w:sz w:val="20"/>
          <w:szCs w:val="20"/>
          <w:color w:val="auto"/>
        </w:rPr>
      </w:pPr>
      <w:r>
        <w:rPr>
          <w:rFonts w:ascii="Arial" w:cs="Arial" w:eastAsia="Arial" w:hAnsi="Arial"/>
          <w:sz w:val="18"/>
          <w:szCs w:val="18"/>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9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5" w:lineRule="exact"/>
        <w:rPr>
          <w:sz w:val="20"/>
          <w:szCs w:val="20"/>
          <w:color w:val="auto"/>
        </w:rPr>
      </w:pPr>
    </w:p>
    <w:p>
      <w:pPr>
        <w:ind w:right="660"/>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Fisher Scientific Inc.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17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or Fluidigm Canada, an Ontario corporation and wholly-owned subsidiary of Fluidigm Sciences, was party to an interim license agreement, now expired, with Nodality, Inc., or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6" w:name="page37"/>
    <w:bookmarkEnd w:id="36"/>
    <w:p>
      <w:pPr>
        <w:ind w:right="80" w:firstLine="432"/>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21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7" w:name="page38"/>
    <w:bookmarkEnd w:id="37"/>
    <w:p>
      <w:pPr>
        <w:ind w:right="460"/>
        <w:spacing w:after="0" w:line="282" w:lineRule="auto"/>
        <w:rPr>
          <w:sz w:val="20"/>
          <w:szCs w:val="20"/>
          <w:color w:val="auto"/>
        </w:rPr>
      </w:pPr>
      <w:r>
        <w:rPr>
          <w:rFonts w:ascii="Arial" w:cs="Arial" w:eastAsia="Arial" w:hAnsi="Arial"/>
          <w:sz w:val="18"/>
          <w:szCs w:val="18"/>
          <w:b w:val="1"/>
          <w:bCs w:val="1"/>
          <w:color w:val="auto"/>
        </w:rPr>
        <w:t>We may be subject to information technology failures, including data protection breaches and cyber-attacks, that could disrupt our operations, damage our reputation and adversely affect our business, operations, and financial results.</w:t>
      </w:r>
    </w:p>
    <w:p>
      <w:pPr>
        <w:spacing w:after="0" w:line="166"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We rely on our information technology systems for the effective operation of our business and for the secure maintenance and storage of confidential data relating to our business and third party businesses. Although we have implemented security controls to protect our information technology systems, experienced programmers or hackers may be able to penetrate our security controls, and develop and deploy viruses, worms, and other malicious software programs that compromise our confidential information or that of third parties and cause a disruption or failure of our information technology systems. Any such compromise of our information technology systems could result in the unauthorized publication of our confidential business or proprietary information, result in the unauthorized release of customer, supplier or employee data, result in a violation of privacy or other laws, expose us to a risk of litigation, or damage our reputation.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78"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color w:val="auto"/>
        </w:rPr>
        <w:t>Third parties with which we conduct business have access to certain portions of our sensitive data. In the event that these third parties do not properly safeguard our data that they hold, security breaches could result and negatively impact our business, operations, and financial results.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certain obligations and restrictions relating to technologies developed in cooperation with Canadian government agencies.</w:t>
      </w:r>
    </w:p>
    <w:p>
      <w:pPr>
        <w:spacing w:after="0" w:line="241"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2017, we had 38,787,251 shares of common stock outstanding, and stockholders holding at least 5% of our stock, individually or with affiliated persons or entities, collectively beneficially owned or controlled approximately 63.3% of such shares and one stockholder beneficially owned 30.6%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63.3% held by our top four stockholders) means that a relatively small number of stockholders have significant control over the outcomes of stockholder voting.</w:t>
      </w:r>
    </w:p>
    <w:p>
      <w:pPr>
        <w:spacing w:after="0" w:line="16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760" w:hanging="320"/>
        <w:spacing w:after="0" w:line="264"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the life science, Ag-Bio, and CRO sectors;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manufacturing disruptions that could occur if we were unable to successfully expand our production in our current or an alternative facility;</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9" w:name="page40"/>
    <w:bookmarkEnd w:id="39"/>
    <w:p>
      <w:pPr>
        <w:ind w:right="42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760" w:hanging="320"/>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up to 10,000,000 shares of undesignated preferred stock;</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760" w:right="4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760" w:right="240" w:hanging="32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248" w:lineRule="exact"/>
        <w:rPr>
          <w:rFonts w:ascii="Arial" w:cs="Arial" w:eastAsia="Arial" w:hAnsi="Arial"/>
          <w:sz w:val="16"/>
          <w:szCs w:val="16"/>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36" w:lineRule="exact"/>
        <w:rPr>
          <w:rFonts w:ascii="Arial" w:cs="Arial" w:eastAsia="Arial" w:hAnsi="Arial"/>
          <w:sz w:val="17"/>
          <w:szCs w:val="17"/>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never paid cash dividends on our capital stock, and we do not anticipate paying any cash dividends in the foreseeable future.</w:t>
      </w:r>
    </w:p>
    <w:p>
      <w:pPr>
        <w:spacing w:after="0" w:line="241"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have paid no cash dividends on any of our classes of capital stock to date and currently intend to retain our future earnings to fund the development and growth of our business. In addition, we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64"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Risks Related to Our Outstanding Convertible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outstanding convertible notes are effectively subordinated to our secured debt and any liabilities of our subsidiaries.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Original Notes and Exchange Notes, which, collectively, we refer to as our “Notes”, rank:</w:t>
      </w:r>
    </w:p>
    <w:p>
      <w:pPr>
        <w:spacing w:after="0" w:line="225" w:lineRule="exact"/>
        <w:rPr>
          <w:sz w:val="20"/>
          <w:szCs w:val="20"/>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effectively junior in right of payment to any of our secured indebtedness to the extent of the value of the assets securing such indebtedness; and</w:t>
      </w:r>
    </w:p>
    <w:p>
      <w:pPr>
        <w:spacing w:after="0" w:line="248" w:lineRule="exact"/>
        <w:rPr>
          <w:rFonts w:ascii="Arial" w:cs="Arial" w:eastAsia="Arial" w:hAnsi="Arial"/>
          <w:sz w:val="16"/>
          <w:szCs w:val="16"/>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2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February 2014, we completed our offering of our Original Notes with an aggregate outstanding principal amount of $201.3 million. In March 2018, we completed an exchange of approximately $125.0 million in aggregate principal amount of our Original Notes for approximately $125.0 million in aggregate principal amount of our Exchange Notes, leaving approximately $76.3 million in aggregate principal amount of Original Notes outstanding.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indentures governing the Notes do not prohibit us from incurring additional senior debt or secured debt, nor do they prohibit our subsidiaries from incurring additional liabilities.</w:t>
      </w:r>
    </w:p>
    <w:p>
      <w:pPr>
        <w:spacing w:after="0" w:line="17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166"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229"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16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this report, past regulatory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64" w:right="259" w:bottom="1440" w:gutter="0" w:footer="0" w:header="0"/>
        </w:sectPr>
      </w:pPr>
    </w:p>
    <w:bookmarkStart w:id="41" w:name="page42"/>
    <w:bookmarkEnd w:id="41"/>
    <w:p>
      <w:pPr>
        <w:ind w:right="220"/>
        <w:spacing w:after="0" w:line="302" w:lineRule="auto"/>
        <w:rPr>
          <w:sz w:val="20"/>
          <w:szCs w:val="20"/>
          <w:color w:val="auto"/>
        </w:rPr>
      </w:pPr>
      <w:r>
        <w:rPr>
          <w:rFonts w:ascii="Arial" w:cs="Arial" w:eastAsia="Arial" w:hAnsi="Arial"/>
          <w:sz w:val="16"/>
          <w:szCs w:val="16"/>
          <w:color w:val="auto"/>
        </w:rPr>
        <w:t>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229"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not restricted under the terms of the indentures governing the Notes from incurring additional debt, securing existing or future debt, recapitalizing our debt, or taking a number of other actions that are not limited by the terms of the indentures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applicable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166"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Holders of the Notes have the right to require us to repurchase all or a portion of their Notes on certain dates or upon the occurrence of a fundamental change at a repurchase price equal to, for the Original Notes, 100% of the principal amount of the Original Notes to be repurchased or, for Exchange Notes, 100% of the accreted principal amount (i.e., up to 120% of the outstanding principal amount) of the Exchange Notes to be repurchased, plus, in each case, accrued and unpaid interest, if any. We may not have enough available cash or be able to obtain financing at the time we are required to make repurchases of Notes surrendered therefor.</w:t>
      </w:r>
    </w:p>
    <w:p>
      <w:pPr>
        <w:spacing w:after="0" w:line="18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applicable indenture would constitute a default under the applicable indenture. A default under the applicable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40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26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8" w:right="239" w:bottom="1440" w:gutter="0" w:footer="0" w:header="0"/>
        </w:sectPr>
      </w:pPr>
    </w:p>
    <w:bookmarkStart w:id="42" w:name="page43"/>
    <w:bookmarkEnd w:id="42"/>
    <w:p>
      <w:pPr>
        <w:ind w:right="200"/>
        <w:spacing w:after="0" w:line="264" w:lineRule="auto"/>
        <w:rPr>
          <w:sz w:val="20"/>
          <w:szCs w:val="20"/>
          <w:color w:val="auto"/>
        </w:rPr>
      </w:pPr>
      <w:r>
        <w:rPr>
          <w:rFonts w:ascii="Arial" w:cs="Arial" w:eastAsia="Arial" w:hAnsi="Arial"/>
          <w:sz w:val="18"/>
          <w:szCs w:val="18"/>
          <w:color w:val="auto"/>
        </w:rPr>
        <w:t>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indentures governing the Notes, and these limited covenants may not protect a noteholder's investment.</w:t>
      </w:r>
    </w:p>
    <w:p>
      <w:pPr>
        <w:spacing w:after="0" w:line="3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indentures governing the Notes do not:</w:t>
      </w:r>
    </w:p>
    <w:p>
      <w:pPr>
        <w:spacing w:after="0" w:line="320" w:lineRule="exact"/>
        <w:rPr>
          <w:sz w:val="20"/>
          <w:szCs w:val="20"/>
          <w:color w:val="auto"/>
        </w:rPr>
      </w:pPr>
    </w:p>
    <w:p>
      <w:pPr>
        <w:ind w:left="760" w:right="420" w:hanging="320"/>
        <w:spacing w:after="0" w:line="342"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23" w:lineRule="exact"/>
        <w:rPr>
          <w:rFonts w:ascii="Arial" w:cs="Arial" w:eastAsia="Arial" w:hAnsi="Arial"/>
          <w:sz w:val="16"/>
          <w:szCs w:val="16"/>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restrict our ability to make investments or pay dividends or make other payments in respect of our common stock or our other indebtedness.</w:t>
      </w:r>
    </w:p>
    <w:p>
      <w:pPr>
        <w:spacing w:after="0" w:line="23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Furthermore, the indentures governing the Notes contain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indentures governing the Notes may not protect a noteholder's investment in the Notes.</w:t>
      </w:r>
    </w:p>
    <w:p>
      <w:pPr>
        <w:spacing w:after="0" w:line="279"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23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the case of the Original Notes, if (i) a make-whole fundamental change occurs prior to February 6, 2021, or (ii) upon our issuance of a notice of provisional redemption, under certain circumstances, we will increase the conversion rate by a number of additional shares of our common stock for the Original Notes converted in connection with such events. In the case of the Exchange Notes, if (i) a make-whole fundamental change occurs prior to February 6, 2023, or (ii) upon voluntary conversion of the Exchange Notes prior to the issuance of a notice of provisional redemption, under certain circumstances, we will increase the conversion rate by a number of additional shares of our common stock for the Exchange Notes converted in connection with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(i) $180.00 per share (in the case of the Original Notes) or (ii) $100 per share (in the case of the Exchange Notes) or (i) less than $39.96 per share (in the case of the Original Notes) or (ii) less than $2.00 per share (in the case of the Exchange Notes) (in each case, subject to adjustment), no additional shares will be added to the conversion rate for the applicable series of notes. Moreover, in no event will the conversion rate per $1,000 principal amount of Notes as a result of this adjustment exceed (i) 25.0250 shares of common stock (in the case of the Original Notes) and (ii) 134.9730 shares of common stock (in the case of the Exchange Notes), in each case, subject to adjustment.</w:t>
      </w:r>
    </w:p>
    <w:p>
      <w:pPr>
        <w:spacing w:after="0" w:line="18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68"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22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26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26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288"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32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do not intend to apply to list our outstanding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324"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75" w:right="259" w:bottom="1440" w:gutter="0" w:footer="0" w:header="0"/>
        </w:sectPr>
      </w:pPr>
    </w:p>
    <w:bookmarkStart w:id="44" w:name="page45"/>
    <w:bookmarkEnd w:id="44"/>
    <w:p>
      <w:pPr>
        <w:ind w:right="28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260"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(i) a make-whole fundamental change occurs prior to February 6, 2021 (in the case of the Original Notes) or (ii) prior to February 6, 2023 (in the case of the Exchange Notes) or (x) upon our issuance of a notice of provisional redemption (in the case of the Original Notes) or (y) upon voluntary conversion of the Exchange Notes prior to the issuance of a notice of provisional redemption (in the case of the Exchange Notes),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26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26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Any conversion of some or all of the notes will dilute the ownership interests of our existing stockholders. The initial conversion price under the Exchange Notes is approximately $7.8775 as compared to approximately $55.94 under the Original Notes. As a result, each of the outstanding Exchange Notes is initially convertible into 126.9438 shares of our common stock per $1,000 principal amount while our outstanding Original Notes are initially convertible into 17.8750 shares of our common stock per $1,000 principal amount. Issuances of shares of common stock upon conversion of our Notes could depress the market price of our common stock and impair our ability to raise capital through the sale of additional equity securities. In addition, the existence of the Notes may encourage short selling by market participants because the conversion of the Notes could depress the price of our common stock.</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We lease approximately 81,500 square feet of office and laboratory space at our headquarters in South San Francisco, California under a lease that expires in April 2020. Additionally, we lease office, laboratory and manufacturing space in Singapore of approximately 52,000 square feet and in Ontario, Canada of approximately 44,000 square feet under leases that expire in June 2022 and March 2026, respectively. As of December 31, 2017, we also leased office space in Japan, China, United Kingdom and France, with various expiration dates through February 2026. We believe that our existing office, laboratory, and manufacturing space, together with additional space and facilities available on commercially reasonable terms, will be sufficient to meet our current needs through 2018. In addition, we believe that our properties are in good condition and are adequate and suitable for their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On December 21, 2015, Thermo Fisher Scientific, Inc. (Thermo) filed a complaint in the Circuit Court for the County of Kalamazoo of Michigan against one of its former employees who had recently been hired by us alleging, among other claims, misappropriation of proprietary information and breach of contractual and fiduciary obligations to Thermo while still an employee of Thermo. On November 23, 2016, Thermo amended its complaint to add us as a party to the litigation, making various commercial and employment-related claims and seeking damages and injunctive relief. In July 2017, we entered into a settlement agreement with Thermo. Pursuant to the terms of the settlement agreement, we agreed to pay Thermo a one-time payment of $3.0 million in exchange for a release and dismissal of all claims with prejudice upon payment of the settlement. In August 2017, we paid the settlement of $3.0 million and received an insurance recovery payment of $1.0 million related to this matter.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64" w:right="259" w:bottom="1440" w:gutter="0" w:footer="0" w:header="0"/>
        </w:sectPr>
      </w:pPr>
    </w:p>
    <w:bookmarkStart w:id="45" w:name="page46"/>
    <w:bookmarkEnd w:id="45"/>
    <w:p>
      <w:pPr>
        <w:ind w:firstLine="432"/>
        <w:spacing w:after="0" w:line="257" w:lineRule="auto"/>
        <w:rPr>
          <w:sz w:val="20"/>
          <w:szCs w:val="20"/>
          <w:color w:val="auto"/>
        </w:rPr>
      </w:pPr>
      <w:r>
        <w:rPr>
          <w:rFonts w:ascii="Arial" w:cs="Arial" w:eastAsia="Arial" w:hAnsi="Arial"/>
          <w:sz w:val="18"/>
          <w:szCs w:val="18"/>
          <w:color w:val="auto"/>
        </w:rPr>
        <w:t>Additionally, 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746"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49" w:lineRule="exact"/>
        <w:rPr>
          <w:sz w:val="20"/>
          <w:szCs w:val="20"/>
          <w:color w:val="auto"/>
        </w:rPr>
      </w:pPr>
    </w:p>
    <w:p>
      <w:pPr>
        <w:ind w:left="740" w:right="540" w:hanging="728"/>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Our Common Stock; Dividends</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Our common stock began trading on the NASDAQ Global Select Market under the symbol “FLDM” on February 10, 2011. The following table sets forth the range of high and low closing sales prices of our common stock for the periods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580" w:type="dxa"/>
            <w:vAlign w:val="bottom"/>
            <w:gridSpan w:val="2"/>
          </w:tcPr>
          <w:p>
            <w:pPr>
              <w:ind w:left="580"/>
              <w:spacing w:after="0"/>
              <w:rPr>
                <w:sz w:val="20"/>
                <w:szCs w:val="20"/>
                <w:color w:val="auto"/>
              </w:rPr>
            </w:pPr>
            <w:r>
              <w:rPr>
                <w:rFonts w:ascii="Arial" w:cs="Arial" w:eastAsia="Arial" w:hAnsi="Arial"/>
                <w:sz w:val="14"/>
                <w:szCs w:val="14"/>
                <w:b w:val="1"/>
                <w:bCs w:val="1"/>
                <w:color w:val="auto"/>
              </w:rPr>
              <w:t>High</w:t>
            </w: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3"/>
              </w:rPr>
              <w:t>$4.90</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1480" w:type="dxa"/>
            <w:vAlign w:val="bottom"/>
          </w:tcPr>
          <w:p>
            <w:pPr>
              <w:ind w:left="2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1480" w:type="dxa"/>
            <w:vAlign w:val="bottom"/>
          </w:tcPr>
          <w:p>
            <w:pPr>
              <w:jc w:val="right"/>
              <w:ind w:right="954"/>
              <w:spacing w:after="0"/>
              <w:rPr>
                <w:sz w:val="20"/>
                <w:szCs w:val="20"/>
                <w:color w:val="auto"/>
              </w:rPr>
            </w:pPr>
            <w:r>
              <w:rPr>
                <w:rFonts w:ascii="Arial" w:cs="Arial" w:eastAsia="Arial" w:hAnsi="Arial"/>
                <w:sz w:val="18"/>
                <w:szCs w:val="18"/>
                <w:color w:val="auto"/>
                <w:w w:val="93"/>
              </w:rPr>
              <w:t>$3.66</w:t>
            </w: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3"/>
              </w:rPr>
              <w:t>$2.71</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1480" w:type="dxa"/>
            <w:vAlign w:val="bottom"/>
          </w:tcPr>
          <w:p>
            <w:pPr>
              <w:ind w:left="2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1480" w:type="dxa"/>
            <w:vAlign w:val="bottom"/>
          </w:tcPr>
          <w:p>
            <w:pPr>
              <w:jc w:val="right"/>
              <w:ind w:right="954"/>
              <w:spacing w:after="0"/>
              <w:rPr>
                <w:sz w:val="20"/>
                <w:szCs w:val="20"/>
                <w:color w:val="auto"/>
              </w:rPr>
            </w:pPr>
            <w:r>
              <w:rPr>
                <w:rFonts w:ascii="Arial" w:cs="Arial" w:eastAsia="Arial" w:hAnsi="Arial"/>
                <w:sz w:val="18"/>
                <w:szCs w:val="18"/>
                <w:color w:val="auto"/>
                <w:w w:val="93"/>
              </w:rPr>
              <w:t>$4.46</w:t>
            </w:r>
          </w:p>
        </w:tc>
      </w:tr>
      <w:tr>
        <w:trPr>
          <w:trHeight w:val="392"/>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1580" w:type="dxa"/>
            <w:vAlign w:val="bottom"/>
            <w:gridSpan w:val="2"/>
          </w:tcPr>
          <w:p>
            <w:pPr>
              <w:ind w:left="580"/>
              <w:spacing w:after="0"/>
              <w:rPr>
                <w:sz w:val="20"/>
                <w:szCs w:val="20"/>
                <w:color w:val="auto"/>
              </w:rPr>
            </w:pPr>
            <w:r>
              <w:rPr>
                <w:rFonts w:ascii="Arial" w:cs="Arial" w:eastAsia="Arial" w:hAnsi="Arial"/>
                <w:sz w:val="14"/>
                <w:szCs w:val="14"/>
                <w:b w:val="1"/>
                <w:bCs w:val="1"/>
                <w:color w:val="auto"/>
              </w:rPr>
              <w:t>High</w:t>
            </w: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3"/>
              </w:rPr>
              <w:t>$5.47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Second Quarter</w:t>
            </w:r>
          </w:p>
        </w:tc>
        <w:tc>
          <w:tcPr>
            <w:tcW w:w="1480" w:type="dxa"/>
            <w:vAlign w:val="bottom"/>
          </w:tcPr>
          <w:p>
            <w:pPr>
              <w:ind w:left="2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480" w:type="dxa"/>
            <w:vAlign w:val="bottom"/>
          </w:tcPr>
          <w:p>
            <w:pPr>
              <w:jc w:val="right"/>
              <w:ind w:right="954"/>
              <w:spacing w:after="0"/>
              <w:rPr>
                <w:sz w:val="20"/>
                <w:szCs w:val="20"/>
                <w:color w:val="auto"/>
              </w:rPr>
            </w:pPr>
            <w:r>
              <w:rPr>
                <w:rFonts w:ascii="Arial" w:cs="Arial" w:eastAsia="Arial" w:hAnsi="Arial"/>
                <w:sz w:val="18"/>
                <w:szCs w:val="18"/>
                <w:color w:val="auto"/>
                <w:w w:val="93"/>
              </w:rPr>
              <w:t>$8.20</w:t>
            </w: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4"/>
              <w:spacing w:after="0"/>
              <w:rPr>
                <w:sz w:val="20"/>
                <w:szCs w:val="20"/>
                <w:color w:val="auto"/>
              </w:rPr>
            </w:pPr>
            <w:r>
              <w:rPr>
                <w:rFonts w:ascii="Arial" w:cs="Arial" w:eastAsia="Arial" w:hAnsi="Arial"/>
                <w:sz w:val="18"/>
                <w:szCs w:val="18"/>
                <w:color w:val="auto"/>
                <w:w w:val="93"/>
              </w:rPr>
              <w:t>$7.88</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Fourth Quarter</w:t>
            </w:r>
          </w:p>
        </w:tc>
        <w:tc>
          <w:tcPr>
            <w:tcW w:w="1480" w:type="dxa"/>
            <w:vAlign w:val="bottom"/>
          </w:tcPr>
          <w:p>
            <w:pPr>
              <w:ind w:left="2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480" w:type="dxa"/>
            <w:vAlign w:val="bottom"/>
          </w:tcPr>
          <w:p>
            <w:pPr>
              <w:jc w:val="right"/>
              <w:ind w:right="954"/>
              <w:spacing w:after="0"/>
              <w:rPr>
                <w:sz w:val="20"/>
                <w:szCs w:val="20"/>
                <w:color w:val="auto"/>
              </w:rPr>
            </w:pPr>
            <w:r>
              <w:rPr>
                <w:rFonts w:ascii="Arial" w:cs="Arial" w:eastAsia="Arial" w:hAnsi="Arial"/>
                <w:sz w:val="18"/>
                <w:szCs w:val="18"/>
                <w:color w:val="auto"/>
                <w:w w:val="93"/>
              </w:rPr>
              <w:t>$4.34</w:t>
            </w:r>
          </w:p>
        </w:tc>
      </w:tr>
    </w:tbl>
    <w:p>
      <w:pPr>
        <w:spacing w:after="0" w:line="17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had approximately 90 stockholders of record as of February 9, 2018; however, because many of our outstanding shares are held in accounts with brokers and other institutions, we believe we have more beneficial owners. 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performance graph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filing of Fluidigm Corporation under the Securities Act or the Exchange Act.</w:t>
      </w:r>
    </w:p>
    <w:p>
      <w:pPr>
        <w:spacing w:after="0" w:line="166"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following graph shows a comparison from December 31, 2012 through December 31, 2017 of the cumulative total return for our common stock, the NASDAQ Composite Total Return Index and the NASDAQ US Benchmark Medical Equipment Index, each of which assumes an initial investment of $100 and reinvestment of all dividends.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114300</wp:posOffset>
            </wp:positionV>
            <wp:extent cx="5848985" cy="4347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434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repurchase any shares of our common stock during the year ended December 31, 2017.</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thereto appearing elsewhere in this Form 10-K. We have derived the consolidated statement of operations data for the years ended December 31, 2017, 2016, and 2015 and consolidated balance sheet data as of December 31, 2017 and December 31, 2016 from audited consolidated financial statements included elsewhere in this Form 10-K. The consolidated statement of operations data for the years ended December 31, 2014 and 2013 and the consolidated balance sheet data as of December 31, 2015, December 31, 2014, and December 31, 2013 were derived from audited consolidated financial statements that are not included in this Form 10-K.</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20" w:type="dxa"/>
            <w:vAlign w:val="bottom"/>
            <w:gridSpan w:val="5"/>
          </w:tcPr>
          <w:p>
            <w:pPr>
              <w:jc w:val="center"/>
              <w:ind w:right="233"/>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101,937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104,446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114,712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116,456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71,183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(58,360)</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(50,155)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(51,836)</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(60,535)</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(75,985)</w:t>
            </w:r>
          </w:p>
        </w:tc>
        <w:tc>
          <w:tcPr>
            <w:tcW w:w="3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(53,315)</w:t>
            </w: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(52,830)</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(16,526)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588"/>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5"/>
              </w:rPr>
              <w:t>Cash, cash equivalents, and short and long-term investments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63,136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59,430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101,465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142,800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86,286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(1)</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71,565</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76,334</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123,433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133,440</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89,354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assets (2)</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287,351</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306,395</w:t>
            </w:r>
          </w:p>
        </w:tc>
        <w:tc>
          <w:tcPr>
            <w:tcW w:w="3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370,050</w:t>
            </w:r>
          </w:p>
        </w:tc>
        <w:tc>
          <w:tcPr>
            <w:tcW w:w="36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406,506</w:t>
            </w:r>
          </w:p>
        </w:tc>
        <w:tc>
          <w:tcPr>
            <w:tcW w:w="3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116,915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(2)</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195,238</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194,951</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194,673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194,402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30,935</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53,233</w:t>
            </w:r>
          </w:p>
        </w:tc>
        <w:tc>
          <w:tcPr>
            <w:tcW w:w="32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114,901</w:t>
            </w:r>
          </w:p>
        </w:tc>
        <w:tc>
          <w:tcPr>
            <w:tcW w:w="36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150,419</w:t>
            </w:r>
          </w:p>
        </w:tc>
        <w:tc>
          <w:tcPr>
            <w:tcW w:w="36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96,414</w:t>
            </w:r>
          </w:p>
        </w:tc>
      </w:tr>
    </w:tbl>
    <w:p>
      <w:pPr>
        <w:spacing w:after="0" w:line="229"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excludes deferred revenue.</w:t>
      </w:r>
    </w:p>
    <w:p>
      <w:pPr>
        <w:spacing w:after="0" w:line="23" w:lineRule="exact"/>
        <w:rPr>
          <w:rFonts w:ascii="Arial" w:cs="Arial" w:eastAsia="Arial" w:hAnsi="Arial"/>
          <w:sz w:val="18"/>
          <w:szCs w:val="18"/>
          <w:color w:val="auto"/>
        </w:rPr>
      </w:pPr>
    </w:p>
    <w:p>
      <w:pPr>
        <w:ind w:right="100" w:firstLine="8"/>
        <w:spacing w:after="0" w:line="261"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 million and $1.1 million of debt issuance costs of Convertible notes were previously included in Total assets reclassified to Total long-term debt as a deduction in December 31, 2015 and December 31, 2014,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i w:val="1"/>
          <w:iCs w:val="1"/>
          <w:color w:val="auto"/>
        </w:rPr>
        <w:t>The following discussion and analysis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Except as may be required by law, we undertake no obligation to update publicly any forward-looking statements for any reason, even if new information becomes available or other events occur in the future.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15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were a pioneer in the application of microfluidics to enable high-throughput and highly-multiplexed polymerase chain reactions, or PCR, for genetic analysis, as well as a field known as single-cell genomics, in which the genetic composition of individual cells is assayed. In February 2014, we purchased DVS Sciences, Inc., whose mass cytometry system enables the highly-multiplexed analysis of cellular surface and intracellular proteins in both blood and tissue.</w:t>
      </w:r>
    </w:p>
    <w:p>
      <w:pPr>
        <w:spacing w:after="0" w:line="18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Researchers have successfully employed our products to help achieve breakthroughs in a variety of fields, including single-cell gene and protein expression, gene regulation, genetic variation, cellular function and applied genetics. These breakthroughs include using our systems to help detect life-threatening mutations in cancer cells, discover cancer associated biomarkers, analyze the genetic composition of individual stem cells and assess the quality of agricultural products, such as seeds or livestock.</w:t>
      </w:r>
    </w:p>
    <w:p>
      <w:pPr>
        <w:spacing w:after="0" w:line="18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Canada and South San Francisco, California. Our facility in Singapore manufactures our genomics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mass cytometry instruments for commercial sale, as well as for internal research and development purposes, are manufactured at our facility in Canada. We also manufacture assays and reagents at our facilities in the United States.</w:t>
      </w:r>
    </w:p>
    <w:p>
      <w:pPr>
        <w:spacing w:after="0" w:line="17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Our total revenue was $101.9 million in 2017, $104.4 million in 2016, and $114.7 million in 2015. We have incurred significant net losses since our inception in 1999 and, as of December 31, 2017, our accumulated deficit was $500.2 million.</w:t>
      </w:r>
    </w:p>
    <w:p>
      <w:pPr>
        <w:spacing w:after="0" w:line="170"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At the end of 2016, we began reallocating our resources based on revenue contribution and growth expectations across our target markets, including a reorganization of our sales team and commercial leadership. As part of this shift and due to our negative revenue growth in 2016 and 2015, we implemented certain operational efficiency and cost-savings initiatives beginning in the first quarter of 2017 intended to align our resources with our product strategy, reduce our operating expenses, and manage our cash flows. In 2017, we focused on right-sizing our workforce, facilities consolidation, vendor negotiation, and other operating expense reductions. Our operating expenses decreased by $21.3 million, or 16%, to $110.3 million for 2017 compared to $131.6 million for 2016. On August 10, 2017, we sold 9.1 million shares of our common stock through an “at-the-market” equity offering program, for aggregate net proceeds of approximately $28.8 million, which provides us with additional financial flexibility and enables us to reinvest in growth.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February 2014, we closed an underwritten public offering of $201.3 million in aggregate principal amount of our 2.75% Senior Convertible Notes due 2034, which we refer to as our “Original Notes.” In March 2018, we entered into privately negotiated transactions with certain holders of our Original Notes to exchange approximately $125.0 million in aggregate principal amount of the Original Notes for approximately $125.0 million in aggregate principal amount of our new 2.75%</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50" w:name="page51"/>
    <w:bookmarkEnd w:id="50"/>
    <w:p>
      <w:pPr>
        <w:spacing w:after="0" w:line="272" w:lineRule="auto"/>
        <w:rPr>
          <w:sz w:val="20"/>
          <w:szCs w:val="20"/>
          <w:color w:val="auto"/>
        </w:rPr>
      </w:pPr>
      <w:r>
        <w:rPr>
          <w:rFonts w:ascii="Arial" w:cs="Arial" w:eastAsia="Arial" w:hAnsi="Arial"/>
          <w:sz w:val="17"/>
          <w:szCs w:val="17"/>
          <w:color w:val="auto"/>
        </w:rPr>
        <w:t>Exchange Convertible Senior Notes due 2034, which we refer to as our "Exchange Notes," and collectively with the Original Notes, the "Notes". Following the exchange transaction, approximately $76.3 million in aggregate principal amount of Original Notes remained outstanding. Our board of directors determined that the private exchange transaction was in the best interest of the company and our stockholders following substantial review with management and our financial advisors concerning the amount of our outstanding indebtedness relative to the market capitalization of our common stock and, in particular, obligations under the indenture for the Original Notes that could require us to repurchase the Original Notes over three years beginning in 2021 at a repurchase price equal to the aggregate principal amount of the Original Notes (approximately $201.3 million prior to the exchange). The principal differences between the Original Notes and the Exchange Notes are the following:</w:t>
      </w:r>
    </w:p>
    <w:p>
      <w:pPr>
        <w:spacing w:after="0" w:line="178" w:lineRule="exact"/>
        <w:rPr>
          <w:sz w:val="20"/>
          <w:szCs w:val="20"/>
          <w:color w:val="auto"/>
        </w:rPr>
      </w:pPr>
    </w:p>
    <w:p>
      <w:pPr>
        <w:ind w:left="660" w:hanging="328"/>
        <w:spacing w:after="0" w:line="269"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date on which we may be first required to repurchase the Exchange Notes has been extended to February 2023, compared to February 2021 under the Original Notes. In addition, while the applicable cash repurchase price for the Original Notes is 100% of the outstanding principal amount, the cash repurchase price for the Exchange Notes is based on a formula that would result in the Exchange Notes being redeemed for up to an amount equal to 120% of the outstanding principal amount, plus, in each case, accrued and unpaid interest.</w:t>
      </w:r>
    </w:p>
    <w:p>
      <w:pPr>
        <w:spacing w:after="0" w:line="2" w:lineRule="exact"/>
        <w:rPr>
          <w:rFonts w:ascii="Arial" w:cs="Arial" w:eastAsia="Arial" w:hAnsi="Arial"/>
          <w:sz w:val="17"/>
          <w:szCs w:val="17"/>
          <w:color w:val="auto"/>
        </w:rPr>
      </w:pPr>
    </w:p>
    <w:p>
      <w:pPr>
        <w:ind w:left="660" w:hanging="328"/>
        <w:spacing w:after="0" w:line="265"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initial conversion price under the Exchange Notes is approximately $7.8775, as compared to approximately $55.94 under the Original Notes. As a result, each of the outstanding Exchange Notes is initially convertible into 126.9438 shares of our common stock per $1,000 principal amount, while the Original Notes are initially convertible into 17.8750 shares of our common stock per $1,000 principal amount.</w:t>
      </w:r>
    </w:p>
    <w:p>
      <w:pPr>
        <w:ind w:left="660" w:right="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supplement indenture for the Exchange Notes, we may at any time cause the then-outstanding Exchange Notes to be converted into shares of our common stock at the then-applicable Exchange Note conversion price if the volume weighted average price of our common stock is at least 110% of the applicable Exchange Note conversion price on each applicable trading day over a period specified in the supplement indenture for the Exchange Notes. Under the indenture for the Original Notes, we may only redeem the Original Notes for cash under certain circumstances during the period from February 6, 2018 through February 6, 2021.</w:t>
      </w:r>
    </w:p>
    <w:p>
      <w:pPr>
        <w:spacing w:after="0" w:line="2" w:lineRule="exact"/>
        <w:rPr>
          <w:rFonts w:ascii="Arial" w:cs="Arial" w:eastAsia="Arial" w:hAnsi="Arial"/>
          <w:sz w:val="18"/>
          <w:szCs w:val="18"/>
          <w:color w:val="auto"/>
        </w:rPr>
      </w:pPr>
    </w:p>
    <w:p>
      <w:pPr>
        <w:ind w:left="660" w:right="20" w:hanging="328"/>
        <w:spacing w:after="0" w:line="29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 certain circumstances such as a “fundamental change” (as defined in the applicable indenture) that occurs prior to (i) February 6, 2021 in the case of the Original Notes and (ii) February 6, 2023 in the case of the Exchange Notes, holders of the Notes are entitled to a “make-whole” premium that will result in an increase in the applicable conversion rate. Under the terms of the Exchange Notes (but not the Original Notes), holders will be entitled to receive additional shares reflecting the economic equivalent of approximately two years of additional coupon payments, subject to certain limitations, in connection with a voluntary conversion by the noteholder prior to our exercise of our early conversion option.</w:t>
      </w:r>
    </w:p>
    <w:p>
      <w:pPr>
        <w:spacing w:after="0" w:line="163"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foregoing summaries of the Original Notes, the Exchange Notes, and the recently completed exchange transaction are not complete and are qualified in their entirety by the applicable indentures, forms of global notes, and other agreements and documents filed with the Securities and Exchange Commission with respect to the Exchange Notes and the exchange, and investors should refer to the text of the Second Supplemental Indenture, dated March 6, 2018, between the Company and U.S. Bank National Association and the Form of Global Note included in the Second Supplemental Indenture, which are filed or incorporated by reference as Exhibits 4.6 and 4.7, respectively, with this Annual Report on Form 10-K. With respect to the Original Notes, of which approximately $76.3 million in aggregate principal amount remains outstanding, investors should refer to the text of the Indenture, dated as of February 4, 2014, by and between Fluidigm Corporation and U.S. Bank National Association, the First Supplemental Indenture, dated as of February 4, 2014, by and between Fluidigm Corporation and U.S. Bank National Association, and the Form of Global Note included in the First Supplemental Indenture which are filed or incorporated by reference as Exhibits 4.2, 4.3 and 4.4, respectively, with this Annual Report on Form 10-K.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22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consolidated financial statements and the related notes included elsewhere in this Form 10-K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440" w:firstLine="432"/>
        <w:spacing w:after="0" w:line="286" w:lineRule="auto"/>
        <w:rPr>
          <w:sz w:val="20"/>
          <w:szCs w:val="20"/>
          <w:color w:val="auto"/>
        </w:rPr>
      </w:pPr>
      <w:r>
        <w:rPr>
          <w:rFonts w:ascii="Arial" w:cs="Arial" w:eastAsia="Arial" w:hAnsi="Arial"/>
          <w:sz w:val="17"/>
          <w:szCs w:val="17"/>
          <w:color w:val="auto"/>
        </w:rPr>
        <w:t>We believe that the following critical accounting policies involve a greater degree of judgment and complexity than our other accounting policies. Accordingly, these are the policies we believe are the most critical to understanding and evaluating our consolidated financial condition and results of operations. Our accounting policies are more fully described in Note 2 of the notes to our audited consolidated financial statements.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746" w:right="279" w:bottom="1440" w:gutter="0" w:footer="0" w:header="0"/>
        </w:sectPr>
      </w:pPr>
    </w:p>
    <w:bookmarkStart w:id="51" w:name="page52"/>
    <w:bookmarkEnd w:id="51"/>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We generate revenue primarily from sales of our products and services. Our product revenue consists of sales of our mass cytometry, high-throughput genomics and single-cell genomics instruments and consumables, including IFCs, assays, and other reagents. Our service revenue consists of post-warranty service contracts, preventive maintenance plans, instrument parts, training, and installation. We also receive revenue from our license agreements with third parties.</w:t>
      </w:r>
    </w:p>
    <w:p>
      <w:pPr>
        <w:spacing w:after="0" w:line="187"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recognize revenue when persuasive evidence of an arrangement exists, delivery has occurred or services have been rendered, the price to the customer is fixed or determinable, and collectability is reasonably assured. Revenue from the sales of our products that are not part of multiple element arrangements are recognized when no significant obligation remains undelivered and collection is reasonably assured, which is generally when delivery has occurred. Delivery occurs when there is a transfer of title and risk of loss passes to the customer. Payments received in advance of revenue recognition are classified as deferred revenue in the consolidated balance sheet.</w:t>
      </w:r>
    </w:p>
    <w:p>
      <w:pPr>
        <w:spacing w:after="0" w:line="188"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evaluation of these revenue recognition criteria requires significant management judgment. For instance, we use judgment to assess collectability based on factors such as the customer’s creditworthiness and past collection history, if applicable. If we determine that collection is not reasonably assured, revenue recognition is deferred until receipt of payment. We also use judgment to assess whether a price is fixed or determinable by, among other things, reviewing contractual terms and conditions related to payment.</w:t>
      </w:r>
    </w:p>
    <w:p>
      <w:pPr>
        <w:spacing w:after="0" w:line="1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Certain of our sales contracts involve the delivery of multiple products or services within contractually binding arrangements. Multiple-deliverable sales transactions typically consist of the sale and delivery of one or more instruments and consumables together with one or more of our installation, training and/or customer support services.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9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For sales contracts that include multiple deliverables, we allocate the contract consideration at the inception of the contract to each unit of accounting based upon their relative selling prices. We may use our best estimate of selling price for individual deliverables when vendor specific objective evidence or third-party evidence is unavailable. A delivered item is considered to be a separate unit of accounting when it has value to the customer on a stand-alone basis.</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products are typically delivered within a short time frame, generally within one to three months, of the contract date. Service contracts are entered into for terms of one to three years, following the expiration of the warranty period.</w:t>
      </w:r>
    </w:p>
    <w:p>
      <w:pPr>
        <w:spacing w:after="0" w:line="17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Our products are generally sold without the right of return. Accruals are provided for estimated warranty expenses at the time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6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License and royalty revenue from license agreements is recognized when received, which is generally in the quarter following the quarter in which the corresponding sales occur.</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recognize compensation costs for all stock-based awards, including stock options, restricted stock units and stock purchased under our Employee Stock Purchase Plan (ESPP), based on the grant date fair value of the award. Stock-based compensation cost for restricted stock units granted to employees is measured based on the closing fair market value of our common stock on the date of grant. The fair value of options and stock purchases under ESPP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 We determine the expected volatility based on our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62" w:right="239" w:bottom="1440" w:gutter="0" w:footer="0" w:header="0"/>
        </w:sectPr>
      </w:pPr>
    </w:p>
    <w:bookmarkStart w:id="52" w:name="page53"/>
    <w:bookmarkEnd w:id="52"/>
    <w:p>
      <w:pPr>
        <w:ind w:right="320"/>
        <w:spacing w:after="0" w:line="277" w:lineRule="auto"/>
        <w:rPr>
          <w:sz w:val="20"/>
          <w:szCs w:val="20"/>
          <w:color w:val="auto"/>
        </w:rPr>
      </w:pPr>
      <w:r>
        <w:rPr>
          <w:rFonts w:ascii="Arial" w:cs="Arial" w:eastAsia="Arial" w:hAnsi="Arial"/>
          <w:sz w:val="18"/>
          <w:szCs w:val="18"/>
          <w:color w:val="auto"/>
        </w:rPr>
        <w:t>yield in effect at the time of grant for zero coupon U.S. Treasury notes with maturities approximately equal to each grant’s expected term. We account for forfeitures as they occur.</w:t>
      </w:r>
    </w:p>
    <w:p>
      <w:pPr>
        <w:spacing w:after="0" w:line="17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Our board of directors sets the terms, conditions, and restrictions related to our ESPP and the grant of stock options and restricted stock units, including the number of shares underlying the grants and the vesting criteria. With respect to performance-based stock awards, depending on the extent to which the vesting criteria are met, our board of directors determines the number of shares that vest under the grants.</w:t>
      </w:r>
    </w:p>
    <w:p>
      <w:pPr>
        <w:spacing w:after="0" w:line="166"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The resulting compensation costs of our equity awards are recognized over the period during which an employee is required to provide service in exchange for the award, usually a time-based vesting period. We amortize the fair value of stock-based compensation on a straight-line basis over the requisite service periods. For performance-based stock awards, stock-based compensation expense is recognized over the requisite service period when the achievement of each individual performance milestone becomes probable. Historically, certain of our stock awards were granted to officers with vesting acceleration features based upon the achievement of certain performance milestones. The timing of the attainment of these milestones affected the timing of expense recognition since we recognize compensation expense only for the portion of stock options that are expected to vest.</w:t>
      </w:r>
    </w:p>
    <w:p>
      <w:pPr>
        <w:spacing w:after="0" w:line="16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calculated fair value of our stock options could change significantly if we determine that another method is more reasonable, or if another method for calculating these input assumptions is prescribed by authoritative guidance. Higher volatility and longer expected terms result in an increase in stock-based compensation expense determined at the date of grant. Stock-based compensation expense affects our cost of product revenue, research and development expense, and selling, general and administrative expense.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use the asset and liability method to account for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expense/benefit related to current period earnings/losses. As part of the process of preparing our consolidated financial statements, we continuously monitor the circumstances impacting the expected realization of our deferred tax assets for each 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These deferred tax assets primarily consist of net operating loss carryforwards, research and development tax credits, and stock-based compensation. We intend to maintain such valuation allowance until sufficient evidence exists to support its reduction. Our deferred tax liabilities primarily consist of book and tax basis differences in fixed assets and acquired identifiable intangible assets.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69"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will be reflected in the income tax provision.</w:t>
      </w:r>
    </w:p>
    <w:p>
      <w:pPr>
        <w:spacing w:after="0" w:line="36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2017 Tax Cuts and Jobs Act (the Tax Act) was enacted in December 2017. The Tax Act introduced a broad range of tax reform measures that significantly changed the U.S. federal income tax laws. The main provisions of the Tax Act that may have significant impacts on us include the permanent reduction of the corporate income tax rate from 34% to 21% effective for tax years including or commencing on January 1, 2018, a one-time transition tax on post-1986 foreign unremitted earnings, a provision for global intangible low-taxed income (GILTI), a deduction for foreign-derived intangible income (FDII), a repeal of the corporate alternative minimum tax, limitations of various business deductions, modifications of the maximum deduction of net operating loss with no carryback but indefinite carryforward provision, and limitations on the deductibility of executive compensation. Many provisions of the Tax Act are effective in tax years beginning after December 31, 2017.</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746" w:right="279" w:bottom="1440" w:gutter="0" w:footer="0" w:header="0"/>
        </w:sectPr>
      </w:pPr>
    </w:p>
    <w:bookmarkStart w:id="53" w:name="page54"/>
    <w:bookmarkEnd w:id="53"/>
    <w:p>
      <w:pPr>
        <w:ind w:firstLine="405"/>
        <w:spacing w:after="0" w:line="270" w:lineRule="auto"/>
        <w:rPr>
          <w:sz w:val="20"/>
          <w:szCs w:val="20"/>
          <w:color w:val="auto"/>
        </w:rPr>
      </w:pPr>
      <w:r>
        <w:rPr>
          <w:rFonts w:ascii="Arial" w:cs="Arial" w:eastAsia="Arial" w:hAnsi="Arial"/>
          <w:sz w:val="17"/>
          <w:szCs w:val="17"/>
          <w:color w:val="auto"/>
        </w:rPr>
        <w:t>We have remeasured our deferred taxes as of December 31, 2017, to reflect the reduced federal tax rate of 21% that will apply in future periods when these deferred taxes are settled or realized. Accordingly, our gross deferred tax assets, which primarily include our net operating loss carryforwards, decreased by $29.9 million with a corresponding decrease in our valuation allowance. There was no net impact on our income tax provision from the remeasurement of existing deferred taxes due to a full valuation allowance. In addition, the Tax Act requires companies to pay a one-time transition tax for accumulated foreign earnings not previously subject to U.S. income tax. We have reviewed the accumulated undistributed foreign earnings after previously taxed income and currently we do not anticipate a transition tax liability due to our estimated aggregate foreign deficit. We will examine the impact of the Tax Act that are applicable in 2018 related to base erosion anti-abuse tax (BEAT), GILTI and other provisions that could affect our effective tax rate in the future. We will continue to monitor changes in state and local tax laws to determine if state and local tax authorities intend to conform or deviate from changes to the U.S. federal tax legislation as a result of the Tax Act.</w:t>
      </w:r>
    </w:p>
    <w:p>
      <w:pPr>
        <w:spacing w:after="0" w:line="182"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Act and allows the registrant to record provisional amounts during a measurement period not to extend beyond one year of the enactment date. We have made reasonable estimates to reflect the impacts of the Tax Act and recorded provisional amounts, in accordance with SAB 118, for the remeasurement of deferred taxes and the one-time transition tax as of December 31, 2017.</w:t>
      </w:r>
    </w:p>
    <w:p>
      <w:pPr>
        <w:spacing w:after="0" w:line="173"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We continue to analyze additional information and new guidance issued by relevant authorities related to the Tax Act, which could impact the determination of the net deferred taxes subject to the remeasurement, the related impact to the assessment of our valuation allowance and the one-time transition tax. The prospects of supplemental legislation or regulatory processes to address questions that arise because of the Tax Act, or evolving technical interpretations of the tax law, may cause the final impact from the Tax Act to differ materially from the recorded amounts. We will finalize and record any adjustments related to the Tax Act within the one year measurement period provided under SAB 118.</w:t>
      </w:r>
    </w:p>
    <w:p>
      <w:pPr>
        <w:spacing w:after="0" w:line="17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As of December 31, 2017, we changed our permanent reinvestment assertion and will not permanently reinvest our foreign earnings outside the United States. The cash generated from some of our foreign subsidiaries may be used domestically to fund operations. Any domestic, foreign and state taxes that may be due upon future repatriation of earnings is not expected to be significant. In addition, we currently do not anticipate any significant impact from the one-time transition tax liability under the Tax Act due to our estimated aggregate foreign deficit.</w:t>
      </w:r>
    </w:p>
    <w:p>
      <w:pPr>
        <w:spacing w:after="0" w:line="171"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Our Development and Expansion Incentive, or DEI, in Singapore was terminated in 2017 and we did not benefit from the reduced tax rate of 5% for qualifying income in Singapore because certain milestones were not met. In addition, the capital allowance provision under the Singapore Productivity and Innovation Credit Scheme ended in 2017. Due to the termination of our DEI and capital allowance deduction, we released the valuation allowance and are subject to the statutory tax rate for Singapore.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of Goodwill, Intangible Assets and Long-lived Assets</w:t>
      </w:r>
    </w:p>
    <w:p>
      <w:pPr>
        <w:spacing w:after="0" w:line="225"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Goodwill and other indefinite-lived intangible assets are not subject to amortization, but are tested for impairment on an annual basis during the fourth quarter or whenever events or changes in circumstances indicate the carrying amount of these assets may not be recoverable. Screening for and assessing whether impairment indicators exist, or if events or changes in circumstances have occurred, including a decline in our stock price or market capitalization, declines in our market shares or revenue, operating fundamentals, rapid changes in technology, competition, general economic conditions or other matters, requires significant judgment. An impairment charge may occur as a result of future goodwill and intangible asset impairment tests. The decreases in revenue and stock price that have occurred in the past and may occur in the future could make such impairment more likely to result. If impairment is deemed to exist, we would write-down the recorded value of these intangible assets to their fair values. If and when these write-downs occur, they could harm our results of operations.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46" w:right="259" w:bottom="1440" w:gutter="0" w:footer="0" w:header="0"/>
        </w:sectPr>
      </w:pPr>
    </w:p>
    <w:bookmarkStart w:id="54" w:name="page55"/>
    <w:bookmarkEnd w:id="54"/>
    <w:p>
      <w:pPr>
        <w:ind w:right="20"/>
        <w:spacing w:after="0" w:line="257" w:lineRule="auto"/>
        <w:rPr>
          <w:sz w:val="20"/>
          <w:szCs w:val="20"/>
          <w:color w:val="auto"/>
        </w:rPr>
      </w:pPr>
      <w:r>
        <w:rPr>
          <w:rFonts w:ascii="Arial" w:cs="Arial" w:eastAsia="Arial" w:hAnsi="Arial"/>
          <w:sz w:val="18"/>
          <w:szCs w:val="18"/>
          <w:color w:val="auto"/>
        </w:rPr>
        <w:t>carrying amount, we then conduct a two-step test for impairment of goodwill. In the first step, we compare the fair value of our reporting unit to its carrying value. If the fair value of our reporting unit exceeds the carrying value of the net assets, goodwill is not considered impaired and no further analysis is required. If the carrying value of the net assets exceeds the fair value of the reporting unit, then the second step of the impairment test must be performed in order to determine the implied fair value of the goodwill. If the carrying value of the goodwill exceeds the implied fair value, then an impairment loss equal to the difference would be recorded.</w:t>
      </w:r>
    </w:p>
    <w:p>
      <w:pPr>
        <w:spacing w:after="0" w:line="18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evaluate our finite-lived intangible assets and other long-lived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table presents our historical consolidated statements of operations data for the years ended December 31, 2017, 2016, and 2015, and as a percentage of total revenue for the respective years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4"/>
                <w:szCs w:val="14"/>
                <w:b w:val="1"/>
                <w:bCs w:val="1"/>
                <w:color w:val="auto"/>
                <w:w w:val="83"/>
              </w:rPr>
              <w:t>2015</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101,937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104,446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114,712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45,039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41,110</w:t>
            </w:r>
          </w:p>
        </w:tc>
        <w:tc>
          <w:tcPr>
            <w:tcW w:w="1280" w:type="dxa"/>
            <w:vAlign w:val="bottom"/>
            <w:gridSpan w:val="3"/>
          </w:tcPr>
          <w:p>
            <w:pPr>
              <w:jc w:val="right"/>
              <w:ind w:right="1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43,001</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37</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2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30,826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38,415</w:t>
            </w:r>
          </w:p>
        </w:tc>
        <w:tc>
          <w:tcPr>
            <w:tcW w:w="1280" w:type="dxa"/>
            <w:vAlign w:val="bottom"/>
            <w:gridSpan w:val="3"/>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39,264</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34</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93,212</w:t>
            </w:r>
          </w:p>
        </w:tc>
        <w:tc>
          <w:tcPr>
            <w:tcW w:w="12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82,959</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r>
      <w:tr>
        <w:trPr>
          <w:trHeight w:val="243"/>
        </w:trPr>
        <w:tc>
          <w:tcPr>
            <w:tcW w:w="4460" w:type="dxa"/>
            <w:vAlign w:val="bottom"/>
          </w:tcPr>
          <w:p>
            <w:pPr>
              <w:ind w:left="380"/>
              <w:spacing w:after="0"/>
              <w:rPr>
                <w:sz w:val="20"/>
                <w:szCs w:val="20"/>
                <w:color w:val="auto"/>
              </w:rPr>
            </w:pPr>
            <w:r>
              <w:rPr>
                <w:rFonts w:ascii="Arial" w:cs="Arial" w:eastAsia="Arial" w:hAnsi="Arial"/>
                <w:sz w:val="18"/>
                <w:szCs w:val="18"/>
                <w:color w:val="auto"/>
              </w:rPr>
              <w:t>Gain on escrow settlement</w:t>
            </w:r>
          </w:p>
        </w:tc>
        <w:tc>
          <w:tcPr>
            <w:tcW w:w="220" w:type="dxa"/>
            <w:vAlign w:val="bottom"/>
          </w:tcPr>
          <w:p>
            <w:pPr>
              <w:spacing w:after="0"/>
              <w:rPr>
                <w:sz w:val="21"/>
                <w:szCs w:val="21"/>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(3,986)</w:t>
            </w: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160,297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177,636</w:t>
            </w:r>
          </w:p>
        </w:tc>
        <w:tc>
          <w:tcPr>
            <w:tcW w:w="12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164,867</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144</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(73,190)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(50,155)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(44)</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2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220" w:type="dxa"/>
            <w:vAlign w:val="bottom"/>
          </w:tcPr>
          <w:p>
            <w:pPr>
              <w:spacing w:after="0"/>
              <w:rPr>
                <w:sz w:val="21"/>
                <w:szCs w:val="21"/>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2,330</w:t>
            </w:r>
          </w:p>
        </w:tc>
        <w:tc>
          <w:tcPr>
            <w:tcW w:w="1260" w:type="dxa"/>
            <w:vAlign w:val="bottom"/>
            <w:gridSpan w:val="3"/>
          </w:tcPr>
          <w:p>
            <w:pPr>
              <w:jc w:val="right"/>
              <w:ind w:right="150"/>
              <w:spacing w:after="0"/>
              <w:rPr>
                <w:sz w:val="20"/>
                <w:szCs w:val="20"/>
                <w:color w:val="auto"/>
              </w:rPr>
            </w:pPr>
            <w:r>
              <w:rPr>
                <w:rFonts w:ascii="Arial" w:cs="Arial" w:eastAsia="Arial" w:hAnsi="Arial"/>
                <w:sz w:val="18"/>
                <w:szCs w:val="18"/>
                <w:color w:val="auto"/>
              </w:rPr>
              <w:t>2</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(63,799)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(80,177)</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(54,790)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(47)</w:t>
            </w:r>
          </w:p>
        </w:tc>
      </w:tr>
      <w:tr>
        <w:trPr>
          <w:trHeight w:val="27"/>
        </w:trPr>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2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26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(60,535)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(75,985)</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(53,315)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generate revenue primarily from sales of our products and services, and license agreements. Our product revenue consists of sales of instruments and consumables, including IFCs, assays and reagents. Our service revenue consists of post-warranty service contracts, preventive maintenance plans, instrument parts, installation and training.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6" w:right="23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6"/>
                <w:szCs w:val="16"/>
                <w:color w:val="auto"/>
              </w:rPr>
            </w:pPr>
          </w:p>
        </w:tc>
      </w:tr>
      <w:tr>
        <w:trPr>
          <w:trHeight w:val="264"/>
        </w:trPr>
        <w:tc>
          <w:tcPr>
            <w:tcW w:w="5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24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0"/>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42,505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46,834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58,455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43,685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64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84,399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89,003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5"/>
              </w:rPr>
              <w:t>102,140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License revenue</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257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257"/>
        </w:trPr>
        <w:tc>
          <w:tcPr>
            <w:tcW w:w="5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101,937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104,446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114,712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 presents our total revenue by geographic area and as a percentage of total revenue by geographic area of our customers for each year presented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r>
      <w:tr>
        <w:trPr>
          <w:trHeight w:val="264"/>
        </w:trPr>
        <w:tc>
          <w:tcPr>
            <w:tcW w:w="22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$52,637</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$55,404</w:t>
            </w: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Europe</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32,642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29,739</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36,772</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2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Asia-Pacific</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3,592</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5,569</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2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69"/>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$101,937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$104,446</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$114,712</w:t>
            </w: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license revenue is generated primarily in the United States.</w:t>
      </w:r>
    </w:p>
    <w:p>
      <w:pPr>
        <w:spacing w:after="0" w:line="225"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We sell our products and services to leading academic research institutions, clinical research laboratories, and biopharmaceutical, biotechnology and Ag-Bio companies. Revenue from our five largest customers was 14%, 15% and 13% of total revenue in 2017, 2016 and 2015, respectively.</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225" w:lineRule="exact"/>
        <w:rPr>
          <w:sz w:val="20"/>
          <w:szCs w:val="20"/>
          <w:color w:val="auto"/>
        </w:rPr>
      </w:pPr>
    </w:p>
    <w:p>
      <w:pPr>
        <w:ind w:right="240" w:firstLine="432"/>
        <w:spacing w:after="0" w:line="272" w:lineRule="auto"/>
        <w:rPr>
          <w:sz w:val="20"/>
          <w:szCs w:val="20"/>
          <w:color w:val="auto"/>
        </w:rPr>
      </w:pPr>
      <w:r>
        <w:rPr>
          <w:rFonts w:ascii="Arial" w:cs="Arial" w:eastAsia="Arial" w:hAnsi="Arial"/>
          <w:sz w:val="17"/>
          <w:szCs w:val="17"/>
          <w:color w:val="auto"/>
        </w:rPr>
        <w:t>Total revenue decreased by $2.5 million, or 2%, to $101.9 million for 2017 compared to $104.4 million for 2016, primarily due to a decrease of $4.6 million in product revenue, partially offset by a $2.1 million increase in service revenue. The revenue decrease was predominantly in the United States, partially offset by increases in Europe and Asia-Pacific. Revenue in the United States decreased by $6.8 million, or 13%, for 2017 compared to 2016. The decrease in the United States was mainly attributable to lower instrument sales and particularly our C1 systems, partially offset by an increase in service revenue. Revenues in Europe and Asia-Pacific increased by $2.9 million and $1.5 million, or 10% and 8%, respectively, for 2017 compared to 2016. The increases in Europe and Asia-Pacific were primarily driven by higher mass cytometry product sales, partially offset by a decrease in sales of our single-cell genomics products. Revenue in the Other area was relatively flat for 2017 compared to 2016.</w:t>
      </w:r>
    </w:p>
    <w:p>
      <w:pPr>
        <w:spacing w:after="0" w:line="17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Total revenue decreased by $10.3 million, or 9%, to $104.4 million for 2016 compared to $114.7 million for 2015 primarily due to a decrease of $13.1 million in product revenue, partially offset by a $2.9 million increase in service revenue. Total revenue decreased in all geographic areas, except Asia-Pacific for 2016 compared to 2015. The revenue decrease was predominantly in Europe due to lower instrument sales. The revenue increase in Asia-Pacific was largely attributable to a $5.5 million or 97% increase in our revenue in China, offset by a decrease of sales in the rest of the area in Asia-Pacific, primarily Japan, for 2016 compared to 2015.</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Due to the volatility in currency exchange rates, future fluctuations in currency exchange rates could have an adverse impact on our financial results.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6" w:name="page57"/>
    <w:bookmarkEnd w:id="56"/>
    <w:p>
      <w:pPr>
        <w:ind w:right="40" w:firstLine="432"/>
        <w:spacing w:after="0" w:line="257" w:lineRule="auto"/>
        <w:rPr>
          <w:sz w:val="20"/>
          <w:szCs w:val="20"/>
          <w:color w:val="auto"/>
        </w:rPr>
      </w:pPr>
      <w:r>
        <w:rPr>
          <w:rFonts w:ascii="Arial" w:cs="Arial" w:eastAsia="Arial" w:hAnsi="Arial"/>
          <w:sz w:val="18"/>
          <w:szCs w:val="18"/>
          <w:color w:val="auto"/>
        </w:rPr>
        <w:t>Product revenue decreased by $4.6 million, or 5%, to $84.4 million for 2017 compared to $89.0 million for 2016. Instrument revenue decreased by $4.3 million, or 9%, to $42.5 million for 2017 compared to 2016, predominately due to lower unit sales of our genomics instruments and particularly our C1 systems, partially offset by higher unit sales of our mass cytometry instruments. Consumables revenue decreased by $0.3 million, or 1%, to $41.9 million for 2017 compared to 2016, largely attributable to decreased unit sales of single-cell genomics IFCs and lower average selling prices for most IFCs, partially offset by increased unit sales of mass cytometry reagents.</w:t>
      </w:r>
    </w:p>
    <w:p>
      <w:pPr>
        <w:spacing w:after="0" w:line="188"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Product revenue decreased by $13.1 million, or 13%, to $89.0 million for 2016 compared to $102.1 million for 2015. Instrument revenue decreased by $11.6 million, or 20%, to $46.8 million for 2016 compared to 2015, primarily due to lower unit sales across most instrument systems, primarily our genomic instruments and particularly our C1 systems. Consumables revenue decreased by $1.5 million, or 3%, to $42.2 million for 2016 compared to 2015, largely attributable to decreased unit sales from IFCs and particularly Access Array IFCs, and to a lesser extent, lower average selling prices for most IFCs. The decrease was partially offset by increased sales from Helios consumables.</w:t>
      </w:r>
    </w:p>
    <w:p>
      <w:pPr>
        <w:spacing w:after="0" w:line="188"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We expect the average selling prices of our products to fluctuate over time based on market conditions, product mix, and currency fluctuations. In addition, our total revenue and product revenue decreased in 2017 compared to 2016 and decreased in 2016 compared to 2015, and we cannot provide assurance concerning future revenue growth,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Service Revenue</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Service revenue increased by $2.1 million, or 14%, to $17.3 million for 2017 compared to 2016. Service revenue increased by $2.9 million, or 23%, to $15.2 million for 2016 compared to 2015. The increases in both 2017 and 2016 were primarily due to an increase in instruments under post-warranty service contracts as a result of growth in our installed base, particularly mass cytometry instruments. Revenue from post-warranty service contracts generally lags changes our instrument revenue by one year. In addition, other fee-for-service offerings, including training, installation, parts, labor and preventive maintenance, increased during 2017 and 2016.</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License revenue remained consistently flat at $0.2 million for 2017, 2016 and 2015.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and Service Revenue</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Cost of service revenue includes direct labor hours, overhead and instrument parts.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 of product and service revenues and product and service margins for each period presented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7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45,039</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43,001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Cost of product revenue as % of product revenue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Acquisition-related amortization expense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11,200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11,200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11,200</w:t>
            </w:r>
          </w:p>
        </w:tc>
      </w:tr>
      <w:tr>
        <w:trPr>
          <w:trHeight w:val="27"/>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amortization expense as % of product revenue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724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4,916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4,899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3,629</w:t>
            </w:r>
          </w:p>
        </w:tc>
      </w:tr>
      <w:tr>
        <w:trPr>
          <w:trHeight w:val="27"/>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 as % of service revenue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Service margin</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2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Cost of product revenue increased by $3.9 million, or 10%, to $45.0 million for 2017 compared to $41.1 million for 2016. Cost of product revenue decreased by $1.9 million, or 4%, to $41.1 million for 2016 compared to $43.0 million for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7" w:name="page58"/>
    <w:bookmarkEnd w:id="57"/>
    <w:p>
      <w:pPr>
        <w:ind w:right="180"/>
        <w:spacing w:after="0" w:line="277" w:lineRule="auto"/>
        <w:rPr>
          <w:sz w:val="20"/>
          <w:szCs w:val="20"/>
          <w:color w:val="auto"/>
        </w:rPr>
      </w:pPr>
      <w:r>
        <w:rPr>
          <w:rFonts w:ascii="Arial" w:cs="Arial" w:eastAsia="Arial" w:hAnsi="Arial"/>
          <w:sz w:val="18"/>
          <w:szCs w:val="18"/>
          <w:color w:val="auto"/>
        </w:rPr>
        <w:t>Cost of product revenue includes the amortization of acquired intangibles assets resulting from our acquisition of DVS, which was $11.2 million for each of 2017, 2016 and 2015.</w:t>
      </w:r>
    </w:p>
    <w:p>
      <w:pPr>
        <w:spacing w:after="0" w:line="17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Product margin decreased 7 percentage points during 2017 compared to 2016, primarily driven by increased genomics unit product costs from lower production volumes, higher excess and obsolete inventory expense and, to a lesser extent, lower average selling prices across most of the products and higher acquisition-related intangible amortization costs as a percentage of product revenue, partially offset by a favorable product mix. Product margin decreased 4 percentage points during 2016 compared to 2015, primarily driven by higher acquisition-related intangible amortization costs as a percentage of product revenue and, to a lesser extent, lower average selling prices for certain genomics instruments and lower consumables capacity utilization.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Cost of service revenue was generally flat at $4.9 million for 2017 and 2016, and increased by $1.3 million, or 35%, from $3.6 million for 2015.</w:t>
      </w:r>
    </w:p>
    <w:p>
      <w:pPr>
        <w:spacing w:after="0" w:line="23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Service margin increased 4 percentage points during 2017 compared to 2016, mainly due to lower labor costs driven by greater efficiency. Service margin decreased 3 percentage points during 2016 compared to 2015, mainly due to higher material and labor costs due to unfavorable product support plan mix.</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2017 vs. 2016</w:t>
            </w:r>
          </w:p>
        </w:tc>
        <w:tc>
          <w:tcPr>
            <w:tcW w:w="11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71"/>
        </w:trPr>
        <w:tc>
          <w:tcPr>
            <w:tcW w:w="5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30,826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39,264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79,516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93,212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82,959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escrow settlement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56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110,342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131,627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5"/>
              </w:rPr>
              <w:t>118,237</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8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Research and development expense decreased by $7.6 million, or 20%, to $30.8 million for 2017 compared to $38.4 million for 2016. The decrease in research and development expense for 2017 was primarily attributable to our cost-savings initiatives in 2017, including headcount and compensation savings of $3.6 million. In addition, product materials and supplies costs decreased by $3.1 million mainly due to fewer projects in 2017 driven by our strategic realignment and focus.</w:t>
      </w:r>
    </w:p>
    <w:p>
      <w:pPr>
        <w:spacing w:after="0" w:line="1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Research and development expense decreased by $0.8 million, or 2%, to $38.4 million for 2016 compared to $39.3 million for 2015. The decrease in research and development expense for 2016 was primarily due to a decrease in product materials and supplies of $1.8 million resulting from higher-cost projects in the prior year, including investments in our Imaging Mass Cytometry system. The decrease was partially offset by an increase in headcount and compensation related costs of $1.0 million.</w:t>
      </w:r>
    </w:p>
    <w:p>
      <w:pPr>
        <w:spacing w:after="0" w:line="18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that these expenses may increase in future periods.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marketing and administrative employees, facilities, depreciation and professional services, such as legal and accounting services.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6" w:right="239" w:bottom="1440" w:gutter="0" w:footer="0" w:header="0"/>
        </w:sectPr>
      </w:pPr>
    </w:p>
    <w:bookmarkStart w:id="58" w:name="page59"/>
    <w:bookmarkEnd w:id="58"/>
    <w:p>
      <w:pPr>
        <w:ind w:right="100" w:firstLine="432"/>
        <w:spacing w:after="0" w:line="259" w:lineRule="auto"/>
        <w:rPr>
          <w:sz w:val="20"/>
          <w:szCs w:val="20"/>
          <w:color w:val="auto"/>
        </w:rPr>
      </w:pPr>
      <w:r>
        <w:rPr>
          <w:rFonts w:ascii="Arial" w:cs="Arial" w:eastAsia="Arial" w:hAnsi="Arial"/>
          <w:sz w:val="18"/>
          <w:szCs w:val="18"/>
          <w:color w:val="auto"/>
        </w:rPr>
        <w:t>Selling, general and administrative expense decreased by $13.7 million, or 15%, to $79.5 million for 2017 compared to $93.2 million for 2016. This decrease for 2017 was primarily due to our cost-savings initiatives in 2017, including infrastructure and facilities savings of $3.4 million. In addition, we had lower legal expenses of $6.2 million mainly attributable to the settlements of previously pending litigations in 2017, a decrease in outside services of $1.5 million, a decrease in travel expenses of $1.2 million and a decrease in recruiting costs of $1.1 million.</w:t>
      </w:r>
    </w:p>
    <w:p>
      <w:pPr>
        <w:spacing w:after="0" w:line="18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Selling, general and administrative expense increased by $10.3 million, or 12%, to $93.2 million for 2016 compared to $83.0 million for 2015. The increase for 2016 was primarily due to higher headcount and compensation-related costs of $9.7 million and an increase in legal and outside services costs of $1.7 million. The increase was partially offset by a decrease in trade shows and marketing costs of $1.1 million.</w:t>
      </w:r>
    </w:p>
    <w:p>
      <w:pPr>
        <w:spacing w:after="0" w:line="18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It may become necessary for us to reinvest a portion of these cost savings in business infrastructure and operations to build on our strategic development and long-term growth, and therefore, our operating expenses may increase in future periods.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Gain on Escrow Settlement</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Approximately 885,000 shares of Fluidigm common stock were deposited into escrow, or Escrowed Shares, in connection with our acquisition of DVS in February 2014. The Escrowed Shares comprised a portion of the merger consideration and were being held in escrow to secure indemnification obligations under the merger agreement. Under the terms of the merger agreement, fifty percent (50.0%) of the aggregate shares subject to the indemnification escrow were eligible for release on March 13, 2015, or the Initial Release Date, and the balance of the shares were eligible for release on August 13, 2015, provided that in each case shares would have continued to be held in escrow in amounts that we reasonably determined in good faith to be necessary to satisfy any claims for which we had delivered a notice of claim which had not been fully resolved between us and the representative of the former stockholders of DVS, or Stockholder Representative. Prior to the Initial Release Date, we submitted escrow claim notices under the terms of the merger agreement, which were objected to by the Stockholder Representative. In July 2015, we entered into a settlement agreement with the Stockholder Representative regarding the claims pursuant to which the parties agreed to release approximately 80% of the Escrowed Shares to the former stockholders of DVS, and the remaining approximately 20% of the Escrowed Shares, or 170,107 shares, to us, which were canceled and returned to the status of authorized and unissued shares. On the settlement date, the 170,107 shares had a value of approximately $4.0 million, which was recorded to gain on escrow settlement during the quarter ended September 30, 2015.</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these items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2017 vs. 2016</w:t>
            </w:r>
          </w:p>
        </w:tc>
        <w:tc>
          <w:tcPr>
            <w:tcW w:w="11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71"/>
        </w:trPr>
        <w:tc>
          <w:tcPr>
            <w:tcW w:w="5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6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 February 4, 2014, we closed an underwritten public offering of $201.3 million aggregate principal amount of our 2.75% Senior Convertible Notes due 2034, or the Original Notes. As discussed above under Recent Developments, in March 2018, we entered into privately negotiated transactions with certain holders of our Original Notes to exchange approximately $125.0 million in aggregate principal amount of the Original Notes for approximately $125.0 million in aggregate principal amount of our new 2.75% Exchange Convertible Senior Notes due 2034, leaving approximately $76.3 million in aggregate principal amount of Original Notes outstanding. The Notes accrue interest at a rate of 2.75% per year, payable semi-annually in arrears on February 1 and August 1 of each year, with such accrual commencing on August 1, 2014 for the Original Notes and February 1, 2018 for the Exchange Notes. The Notes will mature on February 1, 2034, unless earlier converted, redeemed, or repurchased in accordance with the terms of the Notes.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expense was $5.8 million for each of the years ended December 31, 2017, 2016 and 2015.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Gain from Sale of Investment in Verinata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6" w:right="239" w:bottom="1440" w:gutter="0" w:footer="0" w:header="0"/>
        </w:sectPr>
      </w:pPr>
    </w:p>
    <w:bookmarkStart w:id="59" w:name="page60"/>
    <w:bookmarkEnd w:id="59"/>
    <w:p>
      <w:pPr>
        <w:ind w:right="20" w:firstLine="432"/>
        <w:spacing w:after="0" w:line="272"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December 2015. In March 2013, we received cash proceeds of $3.1 million in exchange for our ownership interest in Verinata, resulting in a gain of $1.8 million. During 2014, we received cash proceeds of $0.3 million from the escrow account related to the acquisition. We recorded these amounts as "Gain from sale of investment in Verinata" in the accompanying consolidated statements of operations for the years ended December 31, 2013 and 2014. The final milestones related to the sale of Verinata to Illumina were met in December 2015 and, accordingly, we recorded our share of these milestone payment obligations in the amount of $2.3 million in Other Assets and Gain from sale of investment in Verinata in the accompanying consolidated statement of operations for the year ended December 31, 2015. In January 2016, we received payment of this amount.</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Other income, net of $0.4 million for 2017 was mainly due to the net favorable effects of foreign exchange rate changes during 2017. Other expenses, net of $1.2 million for both 2016 and 2015 were mainly associated with losses from revaluation of certain foreign currency denominated assets and liabilities.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25"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We recorded a tax benefit of $3.3 million, or an effective tax rate benefit of 5.1%, for the year ended December 31, 2017. This tax benefit was primarily attributable to amortization of our acquisition-related deferred tax liability and release of the valuation allowance in Singapore.</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recorded a tax benefit of $4.2 million, or an effective tax rate benefit of 5.2%, for the year ended December 31, 2016. This tax benefit was primarily attributable to amortization of our acquisition-related deferred tax liability, net income tax benefit from our foreign operations and release of unrecognized tax benefits.</w:t>
      </w:r>
    </w:p>
    <w:p>
      <w:pPr>
        <w:spacing w:after="0" w:line="18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recorded a tax benefit of $1.5 million, or an effective tax rate benefit of 2.6% for the year ended December 31, 2015. The tax benefit was principally due to the amortization of our acquisition-related deferred tax liability, partially offset by net income tax expense from our foreign operations and unrecognized tax benefits.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As of December 31, 2017, our principal sources of liquidity consisted of $58.1 million of cash and cash equivalents and $5.1 million of short-term investments.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(24,098)</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(39,138)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(34,733)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25,744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5,340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5,928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and services,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spacing w:after="0" w:line="18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Net cash used in operating activities in 2017 was $24.1 million and consisted of net loss of $60.5 million less non-cash adjustments of $27.2 million, plus net change in assets and liabilities of $9.2 million. Non-cash items primarily included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6" w:right="239" w:bottom="1440" w:gutter="0" w:footer="0" w:header="0"/>
        </w:sectPr>
      </w:pPr>
    </w:p>
    <w:bookmarkStart w:id="60" w:name="page61"/>
    <w:bookmarkEnd w:id="60"/>
    <w:p>
      <w:pPr>
        <w:ind w:right="20"/>
        <w:spacing w:after="0" w:line="264" w:lineRule="auto"/>
        <w:rPr>
          <w:sz w:val="20"/>
          <w:szCs w:val="20"/>
          <w:color w:val="auto"/>
        </w:rPr>
      </w:pPr>
      <w:r>
        <w:rPr>
          <w:rFonts w:ascii="Arial" w:cs="Arial" w:eastAsia="Arial" w:hAnsi="Arial"/>
          <w:sz w:val="18"/>
          <w:szCs w:val="18"/>
          <w:color w:val="auto"/>
        </w:rPr>
        <w:t>amortization of developed technology of $11.2 million, stock-based compensation expense of $9.1 million, and depreciation and amortization of $7.4 million. The net change in assets and liabilities was primarily driven by a decrease in inventory, an increase in deferred revenue, an increase in other liabilities and a decrease in prepaid expenses and other current assets.</w:t>
      </w:r>
    </w:p>
    <w:p>
      <w:pPr>
        <w:spacing w:after="0" w:line="18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Net cash used in operating activities in 2016 was $39.1 million and consisted of net loss of $76.0 million less non-cash adjustments of $32.1 million, plus net change in assets and liabilities of $4.7 million. Non-cash items primarily included stock-based compensation expense of $13.9 million, amortization of developed technology of $11.2 million, and depreciation and amortization of $6.7 million. The net change in assets and liabilities was primarily driven by a decrease in accounts receivable, offset by an increase in inventory and a decrease in accounts payable.</w:t>
      </w:r>
    </w:p>
    <w:p>
      <w:pPr>
        <w:spacing w:after="0" w:line="171"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Net cash used in operating activities in 2015 was $34.7 million and consisted of net loss of $53.3 million less non-cash adjustments of $26.9 million, plus net change in assets and liabilities of $8.3 million. Non-cash items primarily included stock-based compensation expense of $16.8 million, amortization of developed technology of $11.2 million, and depreciation and amortization of $4.9 million, partially offset by a $4.0 million gain on escrow settlement and $2.3 million gain from the sale of investment in Verinata. The net change in assets and liabilities was primarily driven by an increase in inventory and accounts receivable, offset by a net decrease in liabilities.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Our primary investing activities consist of purchases, sales, and maturities of our short-term investments and to a much lesser extent, capital expenditures for manufacturing, laboratory, computer equipment and software to support our infrastructure and work force. We expect to continue to incur costs for capital expenditures for demonstration units and loaner equipment to support our sales and service efforts, and computer equipment and software to support our business operations. However, we may choose to decrease or defer certain capital expenditures and development activities, while further optimizing our organization.</w:t>
      </w:r>
    </w:p>
    <w:p>
      <w:pPr>
        <w:spacing w:after="0" w:line="18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Net cash provided by investing activities in 2017 was $17.7 million, which included proceeds from sales and maturities of investments of $25.6 million, offset by purchases of investments of $6.3 million and capital expenditures of $1.6 million to support our commercial and manufacturing operations.</w:t>
      </w:r>
    </w:p>
    <w:p>
      <w:pPr>
        <w:spacing w:after="0" w:line="12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Net cash provided by investing activities in 2016 was $45.1 million, which included proceeds from sales and maturities of investments of $86.4 million and proceeds from the sale of investment in Verinata of $2.3 million, offset by purchases of investments of $38.6 million and capital expenditures of $5.1 million to support our commercial and manufacturing operations.</w:t>
      </w:r>
    </w:p>
    <w:p>
      <w:pPr>
        <w:spacing w:after="0" w:line="181"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Net cash provided by investing activities in 2015 was $25.7 million, which included proceeds from sales and maturities of investments of $103.3 million, offset by purchases of investments of $67.0 million, purchase of patents from PerkinElmer and other intangibles of $6.7 million; and capital expenditures of $4.0 million to support growth in our commercial and manufacturing operations.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generated cash from financing activities of $29.0 million during 2017 primarily from the sale of our common stock through an "at-the-market" equity offering program. We generated cash from financing activities of $0.1 million during 2016 and $5.3 million during 2015 from proceeds received in connection with the exercise of options for our common stock.</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At December 31, 2017 and December 31, 2016, our working capital, excluding deferred revenues, was $71.6 million and $76.3 million, respectively, including cash and cash equivalents of $58.1 million and $35.0 million, respectively, and short-term investments of $5.1 million and $24.4 million, respectively.</w:t>
      </w:r>
    </w:p>
    <w:p>
      <w:pPr>
        <w:spacing w:after="0" w:line="181"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On August 10, 2017, we sold 9.1 million shares of our common stock through an “at-the-market” equity offering program, for aggregate net proceeds of approximately $28.8 million. We plan to use the net proceeds from this offering for general corporate purposes and working capital.</w:t>
      </w:r>
    </w:p>
    <w:p>
      <w:pPr>
        <w:spacing w:after="0" w:line="14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December 31, 2017, we have an effective shelf registration statement on file with the Securities and Exchange Commission (SEC) that allows us to issue certain securities from time to time in one or more offerings up to an aggregate offering price of $95 million, after subtracting our $30 million "at-the-market" equity offering program completed in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746" w:right="25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Each issuance under the shelf registration will require us to file a prospectus supplement identifying the amount and terms of the securities to be issued.</w:t>
      </w:r>
    </w:p>
    <w:p>
      <w:pPr>
        <w:spacing w:after="0" w:line="237"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As discussed above under Recent Developments, on March 6, 2018, we exchanged approximately $125.0 million in aggregate principal amount of our Original Notes for approximately $125.0 million in aggregate principal amount of our new Exchange Notes in a series of privately negotiated transactions with certain holders of our Original Notes. Following the exchanges, $76.3 million in aggregate principal amount of our Original Notes remain outstanding. Our board of directors determined that the private exchange transaction was in the best interest of the company and our stockholders following substantial review with management and our financial advisors concerning the amount of our outstanding indebtedness relative to the market capitalization of our common stock and, in particular, obligations under the indenture for the Original Notes that could require us to repurchase the Original Notes over three years beginning in 2021 at a repurchase price equal to the aggregate principal amount of the Original Notes (approximately $201.3 million prior to the exchange).</w:t>
      </w:r>
    </w:p>
    <w:p>
      <w:pPr>
        <w:spacing w:after="0" w:line="16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w:t>
      </w:r>
    </w:p>
    <w:p>
      <w:pPr>
        <w:spacing w:after="0" w:line="16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could experience dilution. Debt financing, if available, may involve covenants restricting our operations or our ability to incur additional debt. Any additional debt or equity financing that we raise may contain terms that are not favorable to us or our stockholders.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w:t>
      </w:r>
    </w:p>
    <w:p>
      <w:pPr>
        <w:spacing w:after="0" w:line="17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Due to our negative revenue growth in 2016 and 2015, we implemented certain operational efficiency and cost-savings initiatives beginning in the first quarter of 2017 intended to align our resources with our product strategy, reduce our operating expenses, and manage our cash flows. These cost efficiency initiatives included targeted workforce reductions, optimizing our facilities, and reducing excess space. In 2017, we focused on right-sizing our workforce, facilities consolidation, vendor negotiation, and other operating expense reductions. Our operating expenses decreased by $21.3 million, or 16%, to $110.3 million for 2017 compared to $131.6 million for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our contractual obligations as of December 31, 2017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w w:val="91"/>
              </w:rPr>
              <w:t>Payments Due by Period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6"/>
              <w:spacing w:after="0" w:line="153" w:lineRule="exact"/>
              <w:rPr>
                <w:sz w:val="20"/>
                <w:szCs w:val="20"/>
                <w:color w:val="auto"/>
              </w:rPr>
            </w:pPr>
            <w:r>
              <w:rPr>
                <w:rFonts w:ascii="Arial" w:cs="Arial" w:eastAsia="Arial" w:hAnsi="Arial"/>
                <w:sz w:val="14"/>
                <w:szCs w:val="14"/>
                <w:b w:val="1"/>
                <w:bCs w:val="1"/>
                <w:color w:val="auto"/>
                <w:w w:val="96"/>
              </w:rPr>
              <w:t>Less than 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debt obligations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290,261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262,589</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12,127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303,732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15,914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13,215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264,524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7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62" w:name="page63"/>
    <w:bookmarkEnd w:id="62"/>
    <w:p>
      <w:pPr>
        <w:jc w:val="both"/>
        <w:ind w:firstLine="405"/>
        <w:spacing w:after="0" w:line="264" w:lineRule="auto"/>
        <w:rPr>
          <w:sz w:val="20"/>
          <w:szCs w:val="20"/>
          <w:color w:val="auto"/>
        </w:rPr>
      </w:pPr>
      <w:r>
        <w:rPr>
          <w:rFonts w:ascii="Arial" w:cs="Arial" w:eastAsia="Arial" w:hAnsi="Arial"/>
          <w:sz w:val="18"/>
          <w:szCs w:val="18"/>
          <w:color w:val="auto"/>
        </w:rPr>
        <w:t>Debt obligations include the principal amount of the Notes and interest payments to be made under the Notes. Although the Notes mature in 2034, they can be converted into cash and shares of our common stock prior to maturity if certain conditions are met. See Note 6 to our consolidated financial statements for additional information regarding the terms of the Notes.</w:t>
      </w:r>
    </w:p>
    <w:p>
      <w:pPr>
        <w:spacing w:after="0" w:line="181"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Our operating lease obligations, net of sublease income, relate to leases for our current headquarters and leases for manufacturing and office space for our foreign subsidiaries. Purchase obligations consist of contractual and legally binding commitments to purchase goods and services.</w:t>
      </w:r>
    </w:p>
    <w:p>
      <w:pPr>
        <w:spacing w:after="0" w:line="14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lease facilities and equipment under non-cancelable lease agreements expiring at various times through 2026. Our lease payments are expensed on a straight-line basis over the life of the leases. Rental expense under operating leases, net of amortization of lease incentive, totaled $4.7 million, $6.3 million and $5.2 million for 2017, 2016 and 2015, respectively.</w:t>
      </w:r>
    </w:p>
    <w:p>
      <w:pPr>
        <w:spacing w:after="0" w:line="181"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contractual obligations table above as the period of time over which the future license payments will be required to be made, and the amount of such payments, are indeterminable. We do not expect the license payments to be material in any particular year.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746"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For the years ended December 31, 2017 and 2016, we experienced foreign currency losses of $0.1 million and $1.5 million, respectively. To date, we have not entered into any foreign currency hedging contracts although we may do so in the future. As our international operations grow, we will continue to reassess our approach to manage our risk relating to fluctuations in currency rates. If foreign currency exchange rates had changed by 10% during the periods presented, it would not have had a material impact on our financial position or results of operations.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had cash and cash equivalents of $58.1 million at December 31, 2017. These amounts were held primarily in cash on deposit with banks and money market funds which are short-term. We had $5.1 million in investments at December 31, 2017 held primarily in U.S. government agency securities. The contractual maturity periods of $5.1 million of our investments are within one year from December 31, 2017.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We may adopt specific hedging strategies in the future.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742"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89"/>
        </w:trPr>
        <w:tc>
          <w:tcPr>
            <w:tcW w:w="6840" w:type="dxa"/>
            <w:vAlign w:val="bottom"/>
            <w:gridSpan w:val="4"/>
          </w:tcPr>
          <w:p>
            <w:pPr>
              <w:spacing w:after="0" w:line="170" w:lineRule="exact"/>
              <w:rPr>
                <w:rFonts w:ascii="Arial" w:cs="Arial" w:eastAsia="Arial" w:hAnsi="Arial"/>
                <w:sz w:val="18"/>
                <w:szCs w:val="18"/>
                <w:color w:val="0000EE"/>
              </w:rPr>
            </w:pPr>
            <w:hyperlink w:anchor="page66">
              <w:r>
                <w:rPr>
                  <w:rFonts w:ascii="Arial" w:cs="Arial" w:eastAsia="Arial" w:hAnsi="Arial"/>
                  <w:sz w:val="18"/>
                  <w:szCs w:val="18"/>
                  <w:color w:val="0000EE"/>
                </w:rPr>
                <w:t>Report of PricewaterhouseCoopers - Independent Registered Public Accounting Firm</w:t>
              </w:r>
            </w:hyperlink>
          </w:p>
        </w:tc>
        <w:tc>
          <w:tcPr>
            <w:tcW w:w="2940" w:type="dxa"/>
            <w:vAlign w:val="bottom"/>
            <w:gridSpan w:val="3"/>
          </w:tcPr>
          <w:p>
            <w:pPr>
              <w:spacing w:after="0"/>
              <w:rPr>
                <w:sz w:val="16"/>
                <w:szCs w:val="16"/>
                <w:color w:val="auto"/>
              </w:rPr>
            </w:pPr>
          </w:p>
        </w:tc>
        <w:tc>
          <w:tcPr>
            <w:tcW w:w="900" w:type="dxa"/>
            <w:vAlign w:val="bottom"/>
            <w:gridSpan w:val="2"/>
          </w:tcPr>
          <w:p>
            <w:pPr>
              <w:jc w:val="center"/>
              <w:ind w:left="632"/>
              <w:spacing w:after="0" w:line="170"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62</w:t>
              </w:r>
            </w:hyperlink>
          </w:p>
        </w:tc>
        <w:tc>
          <w:tcPr>
            <w:tcW w:w="700" w:type="dxa"/>
            <w:vAlign w:val="bottom"/>
          </w:tcPr>
          <w:p>
            <w:pPr>
              <w:spacing w:after="0"/>
              <w:rPr>
                <w:sz w:val="16"/>
                <w:szCs w:val="16"/>
                <w:color w:val="auto"/>
              </w:rPr>
            </w:pPr>
          </w:p>
        </w:tc>
      </w:tr>
      <w:tr>
        <w:trPr>
          <w:trHeight w:val="27"/>
        </w:trPr>
        <w:tc>
          <w:tcPr>
            <w:tcW w:w="3140" w:type="dxa"/>
            <w:vAlign w:val="bottom"/>
            <w:shd w:val="clear" w:color="auto" w:fill="0000EE"/>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2200" w:type="dxa"/>
            <w:vAlign w:val="bottom"/>
            <w:gridSpan w:val="2"/>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r>
      <w:tr>
        <w:trPr>
          <w:trHeight w:val="378"/>
        </w:trPr>
        <w:tc>
          <w:tcPr>
            <w:tcW w:w="684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Balance Sheets as of December 31, 2017 and 2016</w:t>
              </w:r>
            </w:hyperlink>
          </w:p>
        </w:tc>
        <w:tc>
          <w:tcPr>
            <w:tcW w:w="2940" w:type="dxa"/>
            <w:vAlign w:val="bottom"/>
            <w:gridSpan w:val="3"/>
          </w:tcPr>
          <w:p>
            <w:pPr>
              <w:spacing w:after="0"/>
              <w:rPr>
                <w:sz w:val="24"/>
                <w:szCs w:val="24"/>
                <w:color w:val="auto"/>
              </w:rPr>
            </w:pPr>
          </w:p>
        </w:tc>
        <w:tc>
          <w:tcPr>
            <w:tcW w:w="900" w:type="dxa"/>
            <w:vAlign w:val="bottom"/>
            <w:gridSpan w:val="2"/>
          </w:tcPr>
          <w:p>
            <w:pPr>
              <w:jc w:val="center"/>
              <w:ind w:left="632"/>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64</w:t>
              </w:r>
            </w:hyperlink>
          </w:p>
        </w:tc>
        <w:tc>
          <w:tcPr>
            <w:tcW w:w="70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9780" w:type="dxa"/>
            <w:vAlign w:val="bottom"/>
            <w:gridSpan w:val="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Operations for the years ended December 31, 2017, 2016 and 2015</w:t>
              </w:r>
            </w:hyperlink>
          </w:p>
        </w:tc>
        <w:tc>
          <w:tcPr>
            <w:tcW w:w="900" w:type="dxa"/>
            <w:vAlign w:val="bottom"/>
            <w:gridSpan w:val="2"/>
          </w:tcPr>
          <w:p>
            <w:pPr>
              <w:jc w:val="center"/>
              <w:ind w:left="632"/>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65</w:t>
              </w:r>
            </w:hyperlink>
          </w:p>
        </w:tc>
        <w:tc>
          <w:tcPr>
            <w:tcW w:w="70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7560" w:type="dxa"/>
            <w:vAlign w:val="bottom"/>
            <w:gridSpan w:val="6"/>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Statements of Comprehensive Loss for the years ended December 31, 2017, 2016 and 2015</w:t>
              </w:r>
            </w:hyperlink>
          </w:p>
        </w:tc>
        <w:tc>
          <w:tcPr>
            <w:tcW w:w="2220" w:type="dxa"/>
            <w:vAlign w:val="bottom"/>
          </w:tcPr>
          <w:p>
            <w:pPr>
              <w:spacing w:after="0"/>
              <w:rPr>
                <w:sz w:val="24"/>
                <w:szCs w:val="24"/>
                <w:color w:val="auto"/>
              </w:rPr>
            </w:pPr>
          </w:p>
        </w:tc>
        <w:tc>
          <w:tcPr>
            <w:tcW w:w="900" w:type="dxa"/>
            <w:vAlign w:val="bottom"/>
            <w:gridSpan w:val="2"/>
          </w:tcPr>
          <w:p>
            <w:pPr>
              <w:jc w:val="center"/>
              <w:ind w:left="632"/>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66</w:t>
              </w:r>
            </w:hyperlink>
          </w:p>
        </w:tc>
        <w:tc>
          <w:tcPr>
            <w:tcW w:w="70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7560" w:type="dxa"/>
            <w:vAlign w:val="bottom"/>
            <w:gridSpan w:val="6"/>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Stockholders' Equity for the years ended December 31, 2017, 2016 and 2015</w:t>
              </w:r>
            </w:hyperlink>
          </w:p>
        </w:tc>
        <w:tc>
          <w:tcPr>
            <w:tcW w:w="2220" w:type="dxa"/>
            <w:vAlign w:val="bottom"/>
          </w:tcPr>
          <w:p>
            <w:pPr>
              <w:spacing w:after="0"/>
              <w:rPr>
                <w:sz w:val="24"/>
                <w:szCs w:val="24"/>
                <w:color w:val="auto"/>
              </w:rPr>
            </w:pPr>
          </w:p>
        </w:tc>
        <w:tc>
          <w:tcPr>
            <w:tcW w:w="900" w:type="dxa"/>
            <w:vAlign w:val="bottom"/>
            <w:gridSpan w:val="2"/>
          </w:tcPr>
          <w:p>
            <w:pPr>
              <w:jc w:val="center"/>
              <w:ind w:left="632"/>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67</w:t>
              </w:r>
            </w:hyperlink>
          </w:p>
        </w:tc>
        <w:tc>
          <w:tcPr>
            <w:tcW w:w="70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7560" w:type="dxa"/>
            <w:vAlign w:val="bottom"/>
            <w:gridSpan w:val="6"/>
          </w:tcPr>
          <w:p>
            <w:pPr>
              <w:spacing w:after="0"/>
              <w:rPr>
                <w:rFonts w:ascii="Arial" w:cs="Arial" w:eastAsia="Arial" w:hAnsi="Arial"/>
                <w:sz w:val="18"/>
                <w:szCs w:val="18"/>
                <w:color w:val="0000EE"/>
                <w:w w:val="97"/>
              </w:rPr>
            </w:pPr>
            <w:hyperlink w:anchor="page72">
              <w:r>
                <w:rPr>
                  <w:rFonts w:ascii="Arial" w:cs="Arial" w:eastAsia="Arial" w:hAnsi="Arial"/>
                  <w:sz w:val="18"/>
                  <w:szCs w:val="18"/>
                  <w:color w:val="0000EE"/>
                  <w:w w:val="97"/>
                </w:rPr>
                <w:t>Consolidated Statements of Cash Flows for the years ended December 31, 2017, 2016 and 2015</w:t>
              </w:r>
            </w:hyperlink>
          </w:p>
        </w:tc>
        <w:tc>
          <w:tcPr>
            <w:tcW w:w="2220" w:type="dxa"/>
            <w:vAlign w:val="bottom"/>
          </w:tcPr>
          <w:p>
            <w:pPr>
              <w:spacing w:after="0"/>
              <w:rPr>
                <w:sz w:val="24"/>
                <w:szCs w:val="24"/>
                <w:color w:val="auto"/>
              </w:rPr>
            </w:pPr>
          </w:p>
        </w:tc>
        <w:tc>
          <w:tcPr>
            <w:tcW w:w="900" w:type="dxa"/>
            <w:vAlign w:val="bottom"/>
            <w:gridSpan w:val="2"/>
          </w:tcPr>
          <w:p>
            <w:pPr>
              <w:jc w:val="center"/>
              <w:ind w:left="632"/>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68</w:t>
              </w:r>
            </w:hyperlink>
          </w:p>
        </w:tc>
        <w:tc>
          <w:tcPr>
            <w:tcW w:w="700" w:type="dxa"/>
            <w:vAlign w:val="bottom"/>
          </w:tcPr>
          <w:p>
            <w:pPr>
              <w:spacing w:after="0"/>
              <w:rPr>
                <w:sz w:val="24"/>
                <w:szCs w:val="24"/>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2"/>
        </w:trPr>
        <w:tc>
          <w:tcPr>
            <w:tcW w:w="6900" w:type="dxa"/>
            <w:vAlign w:val="bottom"/>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2880" w:type="dxa"/>
            <w:vAlign w:val="bottom"/>
            <w:gridSpan w:val="2"/>
          </w:tcPr>
          <w:p>
            <w:pPr>
              <w:spacing w:after="0"/>
              <w:rPr>
                <w:sz w:val="24"/>
                <w:szCs w:val="24"/>
                <w:color w:val="auto"/>
              </w:rPr>
            </w:pPr>
          </w:p>
        </w:tc>
        <w:tc>
          <w:tcPr>
            <w:tcW w:w="900" w:type="dxa"/>
            <w:vAlign w:val="bottom"/>
            <w:gridSpan w:val="2"/>
          </w:tcPr>
          <w:p>
            <w:pPr>
              <w:jc w:val="center"/>
              <w:ind w:left="632"/>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69</w:t>
              </w:r>
            </w:hyperlink>
          </w:p>
        </w:tc>
        <w:tc>
          <w:tcPr>
            <w:tcW w:w="700" w:type="dxa"/>
            <w:vAlign w:val="bottom"/>
          </w:tcPr>
          <w:p>
            <w:pPr>
              <w:spacing w:after="0"/>
              <w:rPr>
                <w:sz w:val="24"/>
                <w:szCs w:val="24"/>
                <w:color w:val="auto"/>
              </w:rPr>
            </w:pPr>
          </w:p>
        </w:tc>
      </w:tr>
      <w:tr>
        <w:trPr>
          <w:trHeight w:val="412"/>
        </w:trPr>
        <w:tc>
          <w:tcPr>
            <w:tcW w:w="31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Financial Statement Schedule</w:t>
            </w:r>
          </w:p>
        </w:tc>
        <w:tc>
          <w:tcPr>
            <w:tcW w:w="664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9780" w:type="dxa"/>
            <w:vAlign w:val="bottom"/>
            <w:gridSpan w:val="7"/>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Schedule II - Valuation and Qualifying Accounts for the years ended December 31, 2017, 2016 and 2015</w:t>
              </w:r>
            </w:hyperlink>
          </w:p>
        </w:tc>
        <w:tc>
          <w:tcPr>
            <w:tcW w:w="900" w:type="dxa"/>
            <w:vAlign w:val="bottom"/>
            <w:gridSpan w:val="2"/>
          </w:tcPr>
          <w:p>
            <w:pPr>
              <w:jc w:val="center"/>
              <w:ind w:left="632"/>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97</w:t>
              </w:r>
            </w:hyperlink>
          </w:p>
        </w:tc>
        <w:tc>
          <w:tcPr>
            <w:tcW w:w="700" w:type="dxa"/>
            <w:vAlign w:val="bottom"/>
          </w:tcPr>
          <w:p>
            <w:pPr>
              <w:spacing w:after="0"/>
              <w:rPr>
                <w:sz w:val="24"/>
                <w:szCs w:val="24"/>
                <w:color w:val="auto"/>
              </w:rPr>
            </w:pPr>
          </w:p>
        </w:tc>
      </w:tr>
      <w:tr>
        <w:trPr>
          <w:trHeight w:val="507"/>
        </w:trPr>
        <w:tc>
          <w:tcPr>
            <w:tcW w:w="6160" w:type="dxa"/>
            <w:vAlign w:val="bottom"/>
            <w:tcBorders>
              <w:top w:val="single" w:sz="8" w:color="0000EE"/>
            </w:tcBorders>
            <w:gridSpan w:val="3"/>
          </w:tcPr>
          <w:p>
            <w:pPr>
              <w:ind w:left="5580"/>
              <w:spacing w:after="0"/>
              <w:rPr>
                <w:sz w:val="20"/>
                <w:szCs w:val="20"/>
                <w:color w:val="auto"/>
              </w:rPr>
            </w:pPr>
            <w:r>
              <w:rPr>
                <w:rFonts w:ascii="Arial" w:cs="Arial" w:eastAsia="Arial" w:hAnsi="Arial"/>
                <w:sz w:val="18"/>
                <w:szCs w:val="18"/>
                <w:color w:val="auto"/>
              </w:rPr>
              <w:t>61</w:t>
            </w:r>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Fluidigm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color w:val="auto"/>
        </w:rPr>
        <w:t xml:space="preserve">We have audited the accompanying consolidated balance sheets of Fluidigm Corporation and its subsidiaries as of December 31, 2017 and 2016, and the related consolidated statements of operations, of comprehensive loss, of stockholders’ equity, and of cash flows for each of the three years in the period ended December 31, 2017, including the related notes and financial statement schedule listed in the accompanying index (collectively referred to as the “consolidated financial statements”). We also have audited the Company's internal control over financial reporting as of December 31,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742" w:right="259" w:bottom="1440" w:gutter="0" w:footer="0" w:header="0"/>
        </w:sectPr>
      </w:pPr>
    </w:p>
    <w:bookmarkStart w:id="66" w:name="page67"/>
    <w:bookmarkEnd w:id="66"/>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746"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35,045</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Accounts receivable (net of allowances of $391 and $502 at December 31, 2017 and 2016,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14,610</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20,114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94,801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96,671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9,291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79,800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104,108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287,351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306,395</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12,374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 current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33,474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195,238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194,951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21,140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253,162</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w w:val="96"/>
              </w:rPr>
              <w:t>Preferred stock, $0.001 par value, 10,000 shares authorized, no shares issued and outstanding at either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380"/>
              <w:spacing w:after="0"/>
              <w:rPr>
                <w:sz w:val="20"/>
                <w:szCs w:val="20"/>
                <w:color w:val="auto"/>
              </w:rPr>
            </w:pPr>
            <w:r>
              <w:rPr>
                <w:rFonts w:ascii="Arial" w:cs="Arial" w:eastAsia="Arial" w:hAnsi="Arial"/>
                <w:sz w:val="18"/>
                <w:szCs w:val="18"/>
                <w:color w:val="auto"/>
              </w:rPr>
              <w:t>December 31, 2017 or 2016</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$0.001 par value, 200,000 shares authorized at December 31, 2017 and 2016; 38,787 and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29,208 shares issued and outstanding at December 31, 2017 and 2016,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531,666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493,441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(500,196)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(439,477)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30,935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53,233</w:t>
            </w:r>
          </w:p>
        </w:tc>
        <w:tc>
          <w:tcPr>
            <w:tcW w:w="0" w:type="dxa"/>
            <w:vAlign w:val="bottom"/>
          </w:tcPr>
          <w:p>
            <w:pPr>
              <w:spacing w:after="0"/>
              <w:rPr>
                <w:sz w:val="1"/>
                <w:szCs w:val="1"/>
                <w:color w:val="auto"/>
              </w:rPr>
            </w:pP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287,351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306,395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42" w:right="239" w:bottom="1440" w:gutter="0" w:footer="0" w:header="0"/>
        </w:sectPr>
      </w:pPr>
    </w:p>
    <w:bookmarkStart w:id="68" w:name="page69"/>
    <w:bookmarkEnd w:id="68"/>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84,399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89,003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102,140</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12,315</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License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114,712</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43,001</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3,629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39,264</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79,516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93,212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82,959</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escrow settlement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160,297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177,636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164,867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(5,808)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(54,790)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1,475</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(53,315)</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676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51"/>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28,711</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43" w:right="239" w:bottom="1440" w:gutter="0" w:footer="0" w:header="0"/>
        </w:sectPr>
      </w:pPr>
    </w:p>
    <w:bookmarkStart w:id="69" w:name="page70"/>
    <w:bookmarkEnd w:id="69"/>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57"/>
        </w:trPr>
        <w:tc>
          <w:tcPr>
            <w:tcW w:w="676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(53,665)</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42" w:right="239" w:bottom="1440" w:gutter="0" w:footer="0" w:header="0"/>
        </w:sectPr>
      </w:pPr>
    </w:p>
    <w:bookmarkStart w:id="70" w:name="page71"/>
    <w:bookmarkEnd w:id="70"/>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980" w:type="dxa"/>
            <w:vAlign w:val="bottom"/>
            <w:gridSpan w:val="4"/>
            <w:vMerge w:val="restart"/>
          </w:tcPr>
          <w:p>
            <w:pPr>
              <w:jc w:val="right"/>
              <w:ind w:right="411"/>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0"/>
                <w:szCs w:val="10"/>
                <w:color w:val="auto"/>
              </w:rPr>
            </w:pPr>
          </w:p>
        </w:tc>
        <w:tc>
          <w:tcPr>
            <w:tcW w:w="11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1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(Loss)/Income</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080" w:type="dxa"/>
            <w:vAlign w:val="bottom"/>
          </w:tcPr>
          <w:p>
            <w:pPr>
              <w:jc w:val="center"/>
              <w:ind w:right="5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28,341</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461,362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(310,177)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150,419</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Issuance of common stock through equity</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incentive plans, net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5,302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escrow settlement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16,830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16,830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(53,315)</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28,844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479,508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114,901</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Issuance of common stock through equity</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incentive plans, net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13,858</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(75,985)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29,208</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493,441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(439,477)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53,233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Issuance of common stock through equity</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incentive plans, net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3900" w:type="dxa"/>
            <w:vAlign w:val="bottom"/>
          </w:tcPr>
          <w:p>
            <w:pPr>
              <w:ind w:left="420"/>
              <w:spacing w:after="0"/>
              <w:rPr>
                <w:sz w:val="20"/>
                <w:szCs w:val="20"/>
                <w:color w:val="auto"/>
              </w:rPr>
            </w:pPr>
            <w:r>
              <w:rPr>
                <w:rFonts w:ascii="Arial" w:cs="Arial" w:eastAsia="Arial" w:hAnsi="Arial"/>
                <w:sz w:val="18"/>
                <w:szCs w:val="18"/>
                <w:color w:val="auto"/>
              </w:rPr>
              <w:t>At-the-market offering</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9,091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28,793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Cumulative-effect of new accounting standard</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9,092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(60,535)</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38,787</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531,666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(500,196)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30,935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742" w:right="259" w:bottom="1440" w:gutter="0" w:footer="0" w:header="0"/>
        </w:sectPr>
      </w:pPr>
    </w:p>
    <w:bookmarkStart w:id="71" w:name="page72"/>
    <w:bookmarkEnd w:id="71"/>
    <w:p>
      <w:pPr>
        <w:ind w:left="452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5"/>
              </w:rPr>
              <w:t>(60,535)</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(75,985)</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(53,315)</w:t>
            </w: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7,409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4,915</w:t>
            </w: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9,092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16,830</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Amortization of developed technology</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11,200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11,200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11,200</w:t>
            </w: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non-cash items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Loss on disposal of property and equipment</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87</w:t>
            </w: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from escrow settlement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(3,986)</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Gain from sale of investment in Verinata</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(2,330)</w:t>
            </w: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assets and liabilities: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672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10,521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(2,762)</w:t>
            </w:r>
          </w:p>
        </w:tc>
      </w:tr>
      <w:tr>
        <w:trPr>
          <w:trHeight w:val="27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(3,741)</w:t>
            </w:r>
          </w:p>
        </w:tc>
      </w:tr>
      <w:tr>
        <w:trPr>
          <w:trHeight w:val="264"/>
        </w:trPr>
        <w:tc>
          <w:tcPr>
            <w:tcW w:w="672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1,583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(1,127)</w:t>
            </w:r>
          </w:p>
        </w:tc>
      </w:tr>
      <w:tr>
        <w:trPr>
          <w:trHeight w:val="276"/>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w:t>
            </w:r>
          </w:p>
        </w:tc>
      </w:tr>
      <w:tr>
        <w:trPr>
          <w:trHeight w:val="264"/>
        </w:trPr>
        <w:tc>
          <w:tcPr>
            <w:tcW w:w="672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1,636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2,613</w:t>
            </w:r>
          </w:p>
        </w:tc>
      </w:tr>
      <w:tr>
        <w:trPr>
          <w:trHeight w:val="270"/>
        </w:trPr>
        <w:tc>
          <w:tcPr>
            <w:tcW w:w="67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(4,023)</w:t>
            </w:r>
          </w:p>
        </w:tc>
      </w:tr>
      <w:tr>
        <w:trPr>
          <w:trHeight w:val="25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(24,098)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(39,138)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(34,733)</w:t>
            </w: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Purchases of investments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(6,276)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(66,973)</w:t>
            </w: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sales and maturities of investments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86,431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103,369</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sale of investment in Verinata</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intangible assets</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(6,670)</w:t>
            </w:r>
          </w:p>
        </w:tc>
      </w:tr>
      <w:tr>
        <w:trPr>
          <w:trHeight w:val="264"/>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(3,982)</w:t>
            </w:r>
          </w:p>
        </w:tc>
      </w:tr>
      <w:tr>
        <w:trPr>
          <w:trHeight w:val="25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investing activities</w:t>
            </w: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17,658</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45,102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25,744</w:t>
            </w:r>
          </w:p>
        </w:tc>
      </w:tr>
      <w:tr>
        <w:trPr>
          <w:trHeight w:val="258"/>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29,015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5,491</w:t>
            </w: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25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28,997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5,340</w:t>
            </w:r>
          </w:p>
        </w:tc>
      </w:tr>
      <w:tr>
        <w:trPr>
          <w:trHeight w:val="25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w:t>
            </w:r>
          </w:p>
        </w:tc>
      </w:tr>
      <w:tr>
        <w:trPr>
          <w:trHeight w:val="250"/>
        </w:trPr>
        <w:tc>
          <w:tcPr>
            <w:tcW w:w="672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92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23,011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(4,596)</w:t>
            </w: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9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35,045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33,713</w:t>
            </w:r>
          </w:p>
        </w:tc>
      </w:tr>
      <w:tr>
        <w:trPr>
          <w:trHeight w:val="283"/>
        </w:trPr>
        <w:tc>
          <w:tcPr>
            <w:tcW w:w="672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58,056</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35,045</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29,117</w:t>
            </w:r>
          </w:p>
        </w:tc>
      </w:tr>
      <w:tr>
        <w:trPr>
          <w:trHeight w:val="251"/>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r>
      <w:tr>
        <w:trPr>
          <w:trHeight w:val="29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paid for interest</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5,534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5,534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5,538</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income taxes, net of refunds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w:t>
            </w: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60" w:top="742"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1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w:t>
      </w:r>
    </w:p>
    <w:p>
      <w:pPr>
        <w:spacing w:after="0" w:line="181" w:lineRule="exact"/>
        <w:rPr>
          <w:sz w:val="20"/>
          <w:szCs w:val="20"/>
          <w:color w:val="auto"/>
        </w:rPr>
      </w:pPr>
    </w:p>
    <w:p>
      <w:pPr>
        <w:ind w:right="320" w:firstLine="405"/>
        <w:spacing w:after="0" w:line="302" w:lineRule="auto"/>
        <w:rPr>
          <w:sz w:val="20"/>
          <w:szCs w:val="20"/>
          <w:color w:val="auto"/>
        </w:rPr>
      </w:pPr>
      <w:r>
        <w:rPr>
          <w:rFonts w:ascii="Arial" w:cs="Arial" w:eastAsia="Arial" w:hAnsi="Arial"/>
          <w:sz w:val="16"/>
          <w:szCs w:val="16"/>
          <w:color w:val="auto"/>
        </w:rPr>
        <w:t>We create, manufacture, and market innovative technologies and tools for life sciences research. We sell instruments and consumables, including integrated fluidic circuits, or IFCs, assays and reagents, to academic institutions, clinical research laboratories, and biopharmaceutical, biotechnology, and agricultural biotechnology, or Ag-Bio, companies and contract research organizations, or CROs. Our technologies and tools are directed at the analysis of deoxyribonucleic acid, or DNA, ribonucleic acid, or RNA, and proteins in a variety of different sample types, from individual cells to bulk tissue.</w:t>
      </w:r>
    </w:p>
    <w:p>
      <w:pPr>
        <w:spacing w:after="0" w:line="258" w:lineRule="exact"/>
        <w:rPr>
          <w:sz w:val="20"/>
          <w:szCs w:val="20"/>
          <w:color w:val="auto"/>
        </w:rPr>
      </w:pPr>
    </w:p>
    <w:p>
      <w:pPr>
        <w:ind w:right="7860" w:firstLine="8"/>
        <w:spacing w:after="0" w:line="566" w:lineRule="auto"/>
        <w:tabs>
          <w:tab w:leader="none" w:pos="18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Consolidation</w:t>
      </w:r>
    </w:p>
    <w:p>
      <w:pPr>
        <w:spacing w:after="0" w:line="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and include the accounts of our wholly-owned subsidiaries. As of December 31, 2017, we had wholly-owned subsidiaries in Singapore, Canada, the Netherlands, Japan, France, the United Kingdom, China, and Germany.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18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Certain prior period amounts in the consolidated statements of cash flows were reclassified to conform with the current period presentation. Payments for cash settled equity awards were reclassified from Proceeds from issuance of common stock under financing activities to Changes in other liabilities under operating activities in the consolidated statements of cash flows. Proceeds from exercise of stock options and Payments for taxes related to net share settlement of equity awards, which were previously included in the Proceeds from issuance of common stock are presented as separated line items under financing activities in the consolidated statements of cash flows. These reclassifications were immaterial and did not affect prior period total assets, total liabilities, stockholders' equity, total revenue, total costs and expenses, loss from operations or net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The adjustments resulting from the foreign currency translations are recorded in accumulated other comprehensive loss, a separate component of stockholders’ equity. Income and expense accounts are translated at monthly average exchange rates during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consider all highly liquid financial instruments with maturities at the time of purchase of three months or less to be cash equivalents. Cash and cash equivalents may consist of cash on deposit with banks, money market funds, and notes from government-sponsored agencies.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0" w:right="239" w:bottom="1440" w:gutter="0" w:footer="0" w:header="0"/>
        </w:sectPr>
      </w:pPr>
    </w:p>
    <w:bookmarkStart w:id="73" w:name="page74"/>
    <w:bookmarkEnd w:id="73"/>
    <w:p>
      <w:pPr>
        <w:ind w:right="60" w:firstLine="432"/>
        <w:spacing w:after="0" w:line="255" w:lineRule="auto"/>
        <w:rPr>
          <w:sz w:val="20"/>
          <w:szCs w:val="20"/>
          <w:color w:val="auto"/>
        </w:rPr>
      </w:pPr>
      <w:r>
        <w:rPr>
          <w:rFonts w:ascii="Arial" w:cs="Arial" w:eastAsia="Arial" w:hAnsi="Arial"/>
          <w:sz w:val="18"/>
          <w:szCs w:val="18"/>
          <w:color w:val="auto"/>
        </w:rPr>
        <w:t>Short and long-term investments are comprised of notes from government-sponsored agencies. All investments are recorded at estimated fair value. Any unrealized gains and losses from investments are reported in accumulated other comprehensive loss, a separate component of stockholders’ equity. We evaluate our investments to assess whether investments with unrealized loss positions are other-than-temporarily impaired. An investment is considered to be other-than-temporarily impaired if the impairment is related to deterioration in credit risk or if it is likely that we will sell the securities before the recovery of their cost basis. No investment has been assessed as other than temporarily impaired, and realized gains and losses were immaterial during the years presented. The cost of securities sold or the amount reclassified out of accumulated other comprehensive income into earnings is based on the specific-identification method.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financial instruments consist primarily of cash and cash equivalents, investments, accounts receivable, accounts payable, and convertible notes. Our cash equivalents, investments, accounts receivable, and accounts payable have short maturity or payment periods. Accordingly, their carrying values approximated their fair values at December 31, 2017 and 2016. The convertible notes are presented at their carrying value, with fair value disclosures made in Note 4. As a basis for considering fair value, we follow a three-tier value hierarchy, which prioritizes the inputs used in measuring fair value as follows: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for which there is little or no market data, which requires us to develop our own assumptions.</w:t>
      </w:r>
    </w:p>
    <w:p>
      <w:pPr>
        <w:spacing w:after="0" w:line="21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This hierarchy requires us to use observable market data, when available, and to minimize the use of unobservable inputs when determining fair value. Our cash equivalents, which include money market funds, are classified as Level I because they are valued using quoted market prices. Our investments and convertible notes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primarily in securities issued by the U.S. government. The goals of our investment policy, in order of priority, are as follows: preserve capital, meet liquidity needs, and optimize returns.</w:t>
      </w:r>
    </w:p>
    <w:p>
      <w:pPr>
        <w:spacing w:after="0" w:line="18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generally do not require collateral to support credit sales. To reduce credit risk, we perform credit evaluations of our customers. No single customer represented more than 10% of total revenue for 2017, 2016, or 2015, and no single customer represented more than 10% of total accounts receivable at December 31, 2017, 2016, or 2015.</w:t>
      </w:r>
    </w:p>
    <w:p>
      <w:pPr>
        <w:spacing w:after="0" w:line="18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Our products include components that are currently procured from a single source or a limited number of sources. We believe that other vendors would be able to provide similar components; however, the qualification of such vendors may require start-up time. In order to mitigate any adverse impacts from a disruption of supply, we attempt to maintain an adequate supply of critical limited-source components.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8" w:right="239" w:bottom="1440" w:gutter="0" w:footer="0" w:header="0"/>
        </w:sectPr>
      </w:pPr>
    </w:p>
    <w:bookmarkStart w:id="74" w:name="page75"/>
    <w:bookmarkEnd w:id="74"/>
    <w:p>
      <w:pPr>
        <w:ind w:right="80" w:firstLine="432"/>
        <w:spacing w:after="0" w:line="279" w:lineRule="auto"/>
        <w:rPr>
          <w:sz w:val="20"/>
          <w:szCs w:val="20"/>
          <w:color w:val="auto"/>
        </w:rPr>
      </w:pPr>
      <w:r>
        <w:rPr>
          <w:rFonts w:ascii="Arial" w:cs="Arial" w:eastAsia="Arial" w:hAnsi="Arial"/>
          <w:sz w:val="17"/>
          <w:szCs w:val="17"/>
          <w:color w:val="auto"/>
        </w:rPr>
        <w:t>Inventories are stated at the lower of cost (on a first-in, first-out basis) or net realizable value. Inventory costs include direct materials, direct labor, and normal manufacturing overhead. Finished goods that are used for research and development are expensed as consumed or depreciated over their period of use. Provisions for slow-moving, excess, and obsolete inventories are recorded when required to reduce inventory values to their estimated net realizable values based on product life cycle, development plans, product expiration, and quality issues.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and Long-Lived Assets</w:t>
      </w:r>
    </w:p>
    <w:p>
      <w:pPr>
        <w:spacing w:after="0" w:line="229"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Accumulated depreciation is calculated using the straight-line method over the estimated useful lives of the assets. Leasehold improvements are amortized using the straight-line method over the estimated useful lives of the assets or the remaining term of the lease, whichever is shorter. The estimated useful lives of our property and equipment are generally as follows: computer equipment and software, three to four years; laboratory and manufacturing equipment, two to five years; and office furniture and fixtures, five years.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expense for the years ended December 31, 2017, 2016 and 2015 was $5.9 million, $5.1 million and $3.6 million, respectively.</w:t>
      </w:r>
    </w:p>
    <w:p>
      <w:pPr>
        <w:spacing w:after="0" w:line="23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evaluate our long-lived assets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of long-lived assets for any of the periods presented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229"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In February 2013, Illumina, Inc. acquired Verinata Health, Inc. (Verinata), a privately-held company, for $350 million in cash and up to an additional $100 million in milestone payments through December 2015. In March 2013, we received cash proceeds of $3.1 million in exchange for our ownership interest in Verinata resulting in a gain of $1.8 million. During 2014, we received cash proceeds of $0.3 million from the escrow account related to the acquisition. We recorded these amounts as Gain from sale of investment in Verinata in the accompanying consolidated statements of operations for the years ended December 31, 2013 and 2014. The final milestones related to the sale of Verinata to Illumina were met in December 2015 and, accordingly, we recorded our share of these milestone payment obligations in the amount of $2.3 million in Other Assets and Gain from sale of investment in Verinata in the accompanying consolidated statement of operations for the year ended December 31, 2015. In January 2016, we received payment of $2.3 million and it was recorded in net cash provided by investing activities in the consolidated statement of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intangible assets include developed technology, patents and licenses. We evaluate our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 We did not recognize any impairment on intangible assets for any of the periods presented 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right="460" w:firstLine="432"/>
        <w:spacing w:after="0" w:line="312" w:lineRule="auto"/>
        <w:rPr>
          <w:sz w:val="20"/>
          <w:szCs w:val="20"/>
          <w:color w:val="auto"/>
        </w:rPr>
      </w:pPr>
      <w:r>
        <w:rPr>
          <w:rFonts w:ascii="Arial" w:cs="Arial" w:eastAsia="Arial" w:hAnsi="Arial"/>
          <w:sz w:val="16"/>
          <w:szCs w:val="16"/>
          <w:color w:val="auto"/>
        </w:rPr>
        <w:t>We generally provide a one-year warranty on our instruments. We accrue for estimated warranty obligations at the time of product shipment. We periodically review our warranty liability and record adjustments based on the terms of warranties provided to customers, and historical and anticipated warranty claim experience. This expense is recorded as a component of cost of product revenue in the consolidated statements of operations.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368" w:right="2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generate revenue from sales of our products, services and license agreements. Our products consist of instruments and consumables, including IFCs, assays, and reagents. Our service revenue consists of post-warranty service contracts, preventive maintenance plans, instrument parts, installation, and training.</w:t>
      </w:r>
    </w:p>
    <w:p>
      <w:pPr>
        <w:spacing w:after="0" w:line="18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to the customer is fixed or determinable, and collectability is reasonably assured. We assess collectability based on factors such as the customer’s creditworthiness and past collection history, if applicable. If collection is not reasonably assured, revenue recognition is deferred until receipt of payment. We also assess whether a price is fixed or determinable by, among other things, reviewing contractual terms and conditions related to payment. Delivery occurs when there is a transfer of title and risk of loss passes to the customer. Revenue excludes taxes collected from our customers.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and Service Revenue</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Certain of our sales contracts involve the delivery of multiple products and services within contractually binding arrangements. Multiple-deliverable sales transactions typically consist of the sale and delivery of one or more instruments and consumables together with one or more of our installation, training and/or customer support services.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w:t>
      </w:r>
    </w:p>
    <w:p>
      <w:pPr>
        <w:spacing w:after="0" w:line="193" w:lineRule="exact"/>
        <w:rPr>
          <w:sz w:val="20"/>
          <w:szCs w:val="20"/>
          <w:color w:val="auto"/>
        </w:rPr>
      </w:pPr>
    </w:p>
    <w:p>
      <w:pPr>
        <w:ind w:right="220" w:firstLine="432"/>
        <w:spacing w:after="0" w:line="258" w:lineRule="auto"/>
        <w:rPr>
          <w:sz w:val="20"/>
          <w:szCs w:val="20"/>
          <w:color w:val="auto"/>
        </w:rPr>
      </w:pPr>
      <w:r>
        <w:rPr>
          <w:rFonts w:ascii="Arial" w:cs="Arial" w:eastAsia="Arial" w:hAnsi="Arial"/>
          <w:sz w:val="18"/>
          <w:szCs w:val="18"/>
          <w:color w:val="auto"/>
        </w:rPr>
        <w:t>For sales contracts that include multiple deliverables, we allocate the contract consideration at the inception of the contract to each unit of accounting based upon its relative selling price. We may use our best estimate of selling price for</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individual deliverables when vendor specific objective evidence or third-party evidence is unavailable. A delivered item is considered to be a separate unit of accounting when it has value to the customer on a stand-alone basis.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products, other than service contracts, are typically delivered within a short time frame, generally within one to three months of the contract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Service contracts are entered into for terms of one to three years, following the expiration of the warranty period.</w:t>
      </w:r>
    </w:p>
    <w:p>
      <w:pPr>
        <w:spacing w:after="0" w:line="211"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Our products are generally sold without the right of return. Amounts received before revenue recognition criteria are met are classified in the consolidated balance sheets as deferred revenue or customer deposits, depending on the terms of the arrangement.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Revenue</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License and royalty revenue from license agreements is recognized when received, which is generally in the quarter following the quarter in which the corresponding sales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Shipping and handling costs incurred for product shipments are included within cost of product revenue in the consolidated statements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We recognize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0" w:right="239" w:bottom="1440" w:gutter="0" w:footer="0" w:header="0"/>
        </w:sectPr>
      </w:pPr>
    </w:p>
    <w:bookmarkStart w:id="76" w:name="page77"/>
    <w:bookmarkEnd w:id="76"/>
    <w:p>
      <w:pPr>
        <w:ind w:right="320" w:firstLine="432"/>
        <w:spacing w:after="0" w:line="277" w:lineRule="auto"/>
        <w:rPr>
          <w:sz w:val="20"/>
          <w:szCs w:val="20"/>
          <w:color w:val="auto"/>
        </w:rPr>
      </w:pPr>
      <w:r>
        <w:rPr>
          <w:rFonts w:ascii="Arial" w:cs="Arial" w:eastAsia="Arial" w:hAnsi="Arial"/>
          <w:sz w:val="18"/>
          <w:szCs w:val="18"/>
          <w:color w:val="auto"/>
        </w:rPr>
        <w:t>We expense advertising costs as incurred. We incurred advertising costs of $1.8 million, $2.3 million and $2.9 million during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use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192"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account for stock options and restricted stock units granted to employees and directors and stock purchases under ESPP based on the fair value of the awards. We recognize stock-based compensation expense on a straight-line basis over the requisite service periods. For performance-based stock awards, stock-based compensation expense is recognized over the requisite service period when the achievement of each individual performance goal becomes probable.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Comprehensive Loss</w:t>
      </w:r>
    </w:p>
    <w:p>
      <w:pPr>
        <w:spacing w:after="0" w:line="24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Comprehensive loss is comprised of net loss and other comprehensive income (loss). Other comprehensive income (loss) consists of unrealized gains and losses on our investments and foreign currency translation adjustments. Total comprehensive loss for all periods presented has been disclosed in the consolidated statements of comprehensive loss.</w:t>
      </w:r>
    </w:p>
    <w:p>
      <w:pPr>
        <w:spacing w:after="0" w:line="18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components of accumulated other comprehensive loss, net of tax, for the years ended December 31, 2017, 2016, and 2015 are as follows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 Currency Translation</w:t>
            </w:r>
          </w:p>
        </w:tc>
        <w:tc>
          <w:tcPr>
            <w:tcW w:w="180" w:type="dxa"/>
            <w:vAlign w:val="bottom"/>
          </w:tcPr>
          <w:p>
            <w:pPr>
              <w:spacing w:after="0"/>
              <w:rPr>
                <w:sz w:val="14"/>
                <w:szCs w:val="14"/>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 Gain (Loss) on</w:t>
            </w:r>
          </w:p>
        </w:tc>
        <w:tc>
          <w:tcPr>
            <w:tcW w:w="140" w:type="dxa"/>
            <w:vAlign w:val="bottom"/>
          </w:tcPr>
          <w:p>
            <w:pPr>
              <w:spacing w:after="0"/>
              <w:rPr>
                <w:sz w:val="14"/>
                <w:szCs w:val="14"/>
                <w:color w:val="auto"/>
              </w:rPr>
            </w:pPr>
          </w:p>
        </w:tc>
        <w:tc>
          <w:tcPr>
            <w:tcW w:w="2020" w:type="dxa"/>
            <w:vAlign w:val="bottom"/>
          </w:tcPr>
          <w:p>
            <w:pPr>
              <w:jc w:val="right"/>
              <w:ind w:right="395"/>
              <w:spacing w:after="0"/>
              <w:rPr>
                <w:sz w:val="20"/>
                <w:szCs w:val="20"/>
                <w:color w:val="auto"/>
              </w:rPr>
            </w:pPr>
            <w:r>
              <w:rPr>
                <w:rFonts w:ascii="Arial" w:cs="Arial" w:eastAsia="Arial" w:hAnsi="Arial"/>
                <w:sz w:val="14"/>
                <w:szCs w:val="14"/>
                <w:b w:val="1"/>
                <w:bCs w:val="1"/>
                <w:color w:val="auto"/>
              </w:rPr>
              <w:t>Accumulated Other</w:t>
            </w:r>
          </w:p>
        </w:tc>
      </w:tr>
      <w:tr>
        <w:trPr>
          <w:trHeight w:val="192"/>
        </w:trPr>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180" w:type="dxa"/>
            <w:vAlign w:val="bottom"/>
          </w:tcPr>
          <w:p>
            <w:pPr>
              <w:spacing w:after="0"/>
              <w:rPr>
                <w:sz w:val="16"/>
                <w:szCs w:val="16"/>
                <w:color w:val="auto"/>
              </w:rPr>
            </w:pPr>
          </w:p>
        </w:tc>
        <w:tc>
          <w:tcPr>
            <w:tcW w:w="2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6"/>
                <w:szCs w:val="16"/>
                <w:color w:val="auto"/>
              </w:rPr>
            </w:pPr>
          </w:p>
        </w:tc>
        <w:tc>
          <w:tcPr>
            <w:tcW w:w="2020" w:type="dxa"/>
            <w:vAlign w:val="bottom"/>
          </w:tcPr>
          <w:p>
            <w:pPr>
              <w:jc w:val="right"/>
              <w:ind w:right="75"/>
              <w:spacing w:after="0"/>
              <w:rPr>
                <w:sz w:val="20"/>
                <w:szCs w:val="20"/>
                <w:color w:val="auto"/>
              </w:rPr>
            </w:pPr>
            <w:r>
              <w:rPr>
                <w:rFonts w:ascii="Arial" w:cs="Arial" w:eastAsia="Arial" w:hAnsi="Arial"/>
                <w:sz w:val="14"/>
                <w:szCs w:val="14"/>
                <w:b w:val="1"/>
                <w:bCs w:val="1"/>
                <w:color w:val="auto"/>
                <w:w w:val="90"/>
              </w:rPr>
              <w:t>Comprehensive Income (Loss)</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4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5"/>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384</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2016</w:t>
            </w:r>
          </w:p>
        </w:tc>
        <w:tc>
          <w:tcPr>
            <w:tcW w:w="1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during the year</w:t>
            </w:r>
          </w:p>
        </w:tc>
        <w:tc>
          <w:tcPr>
            <w:tcW w:w="14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186</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at December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Immaterial amounts of unrealized gains and losses have been reclassified into the consolidated statement of operations for the years ended December 31, 2017,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22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Goodwill, which has an indefinite useful life, represents the excess of cost over fair value of net assets acquired. Our identifiable intangible assets are typically comprised of acquired core technologies, licensed technologies, license agreements and patents. The cost of identifiable intangible assets with finite lives is generally amortized on a straight-line basis over the assets’ respective estimated useful lives.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8" w:right="239" w:bottom="1440" w:gutter="0" w:footer="0" w:header="0"/>
        </w:sectPr>
      </w:pPr>
    </w:p>
    <w:bookmarkStart w:id="77" w:name="page78"/>
    <w:bookmarkEnd w:id="77"/>
    <w:p>
      <w:pPr>
        <w:ind w:right="80" w:firstLine="405"/>
        <w:spacing w:after="0" w:line="271"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 If the fair value of our reporting unit exceeds its carrying value, goodwill is not considered impaired and no further analysis is required. If the carrying value of the reporting unit exceed its fair value, then the second step of the impairment test must be performed in order to determine the implied fair value of the goodwill. If the carrying value of the goodwill exceeds its implied fair value, then an impairment loss equal to the difference would be recorded.</w:t>
      </w:r>
    </w:p>
    <w:p>
      <w:pPr>
        <w:spacing w:after="0" w:line="1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evaluate our finite-lived intangible assets and other long-lived assets for indicators of possible impairment when events or changes in circumstances indicate that the carrying amount of an asset may not be recoverable. If any indicator of impairment exists, we assess the recoverability of the affected intangible asset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our common stock are considered to be potentially dilutive common shares but have been excluded from the calculation of diluted net loss per share as their effect is anti-dilutive for all periods presented.</w:t>
      </w:r>
    </w:p>
    <w:p>
      <w:pPr>
        <w:spacing w:after="0" w:line="18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computations of diluted net loss per share for the periods presented because including them would have been anti-dilutive (in thousands):</w:t>
      </w:r>
    </w:p>
    <w:p>
      <w:pPr>
        <w:spacing w:after="0" w:line="392"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58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16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0"/>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units and performance awards</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3,501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4,622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3,905</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Convertible notes</w:t>
            </w:r>
          </w:p>
        </w:tc>
        <w:tc>
          <w:tcPr>
            <w:tcW w:w="560" w:type="dxa"/>
            <w:vAlign w:val="bottom"/>
          </w:tcPr>
          <w:p>
            <w:pPr>
              <w:jc w:val="right"/>
              <w:ind w:right="34"/>
              <w:spacing w:after="0"/>
              <w:rPr>
                <w:sz w:val="20"/>
                <w:szCs w:val="20"/>
                <w:color w:val="auto"/>
              </w:rPr>
            </w:pPr>
            <w:r>
              <w:rPr>
                <w:rFonts w:ascii="Arial" w:cs="Arial" w:eastAsia="Arial" w:hAnsi="Arial"/>
                <w:sz w:val="18"/>
                <w:szCs w:val="18"/>
                <w:color w:val="auto"/>
                <w:w w:val="93"/>
              </w:rPr>
              <w:t>3,598</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3,598</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3,598</w:t>
            </w:r>
          </w:p>
        </w:tc>
      </w:tr>
      <w:tr>
        <w:trPr>
          <w:trHeight w:val="27"/>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7,099</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8,220</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Changes and Accounting Pronouncements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Adoption of New Accounting Guidance</w:t>
      </w:r>
    </w:p>
    <w:p>
      <w:pPr>
        <w:spacing w:after="0" w:line="225"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In July 2015, the FASB issued ASU 2015-11 Inventory (Topic 330): Simplifying the Measurement of Inventory,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We adopted this standard in the first quarter of 2017. The adoption of this ASU did not have a material impact on our consolidated financial statements.</w:t>
      </w:r>
    </w:p>
    <w:p>
      <w:pPr>
        <w:spacing w:after="0" w:line="171"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This ASU simplified several aspects of the accounting for share-based payments, including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of employee taxes paid when an employer withholds shares for tax-withholding purposes. We adopted this standard in the first quarter of 2017 by recording the cumulative impact of applying this guidance to retained earnings. We also elected to account for forfeitures as they occur, as permitted by ASU 2016-09. The adoption of this ASU did not have a material impact on our consolidated financial statements. See Note 9 for the impact on deferred tax assets.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368" w:right="259" w:bottom="1440" w:gutter="0" w:footer="0" w:header="0"/>
        </w:sectPr>
      </w:pPr>
    </w:p>
    <w:bookmarkStart w:id="78" w:name="page79"/>
    <w:bookmarkEnd w:id="78"/>
    <w:p>
      <w:pPr>
        <w:ind w:left="26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In May 2014, the Financial Accounting Standards Board (FASB) issued Accounting Standard Update (ASU) 2014-09 regarding ASC (Topic 606) Revenue from Contracts with Customers. ASU 2014-09 and subsequent amendments provide principles for recognizing revenue to depict the transfer of promised goods or services to customers in an amount that reflects the consideration to which the entity expects to be entitled in exchange for those goods or services. This ASU permits two methods of adoption, the full retrospective method applying the standard to each prior reporting period presented, or the modified retrospective method with a cumulative effect of initially applying the new standard recognized at the date of initial application. This ASU also allows entities to apply certain practical expedients at their discretion. The new standard will be effective for our fiscal year beginning January 1, 2018.</w:t>
      </w:r>
    </w:p>
    <w:p>
      <w:pPr>
        <w:spacing w:after="0" w:line="165"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color w:val="auto"/>
        </w:rPr>
        <w:t>We adopted ASU 2014-09 in the first quarter of 2018 using the modified retrospective method. The adoption is not expected to have a material impact on our consolidated financial statements. The new standard’s broader definition of variable consideration requires us to estimate and record certain payments from customers. This ASU requires that the transaction price received from customers be allocated to each separate and distinct performance obligation. We have determined that our service plans do not contain separate and distinct performance obligations. Therefore, the fees we receive for our service plans will be recognized as revenue ratably over the term of the service plan, which is our current practice. The requirement in the new standard is to capitalize incremental costs to obtain contracts with our customers and amortize those costs over the term of the contract. This is a change from our current practice of expensing sales commissions as incurred. We are utilizing the practical expedient provision permitting expensing of costs to obtain a contract when the expected amortization period is one year or less. Under the modified retrospective method, periods prior to the adoption of ASU 2014-09 are not restated and the cumulative effect of initially applying the new standard is reflected in the opening balance of retained earnings as of January 1, 2018. Additional disclosures are required for significant differences between the reported results under the new standard and those that would have been reported under the legacy standard. While we continue to evaluate the effect of the new standard on our ongoing financial reporting, we currently do not expect the cumulative effect of the new standard to be material. We continue to identify the appropriate changes to our business processes, systems, and controls to support revenue recognition and disclosure under the new standard.</w:t>
      </w:r>
    </w:p>
    <w:p>
      <w:pPr>
        <w:spacing w:after="0" w:line="18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In February 2016, the FASB issued ASU 2016-02 Leases (Topic 842). This ASU requires lessees to recognize a right-of-use asset and a lease liability on the balance sheet for all leases with the exception of short-term leases. For lessees, leases will continue to be classified as either operating or finance leases in the income statement. Lessor accounting under this ASU is similar to the current model but updated to align with certain changes to the lessee model. Lessors will continue to classify leases as operating, direct financing or sales-type leases. ASU 2016-02 will be effective for our fiscal year beginning January 1, 2019 and early adoption is permitted. We are currently evaluating the accounting, transition, and disclosure requirements of the standard. We have not yet determined whether we will elect early adoption of the standard and cannot currently estimate the financial statement impact of adoption.</w:t>
      </w:r>
    </w:p>
    <w:p>
      <w:pPr>
        <w:spacing w:after="0" w:line="165" w:lineRule="exact"/>
        <w:rPr>
          <w:sz w:val="20"/>
          <w:szCs w:val="20"/>
          <w:color w:val="auto"/>
        </w:rPr>
      </w:pPr>
    </w:p>
    <w:p>
      <w:pPr>
        <w:jc w:val="both"/>
        <w:ind w:right="40" w:firstLine="405"/>
        <w:spacing w:after="0" w:line="279" w:lineRule="auto"/>
        <w:rPr>
          <w:sz w:val="20"/>
          <w:szCs w:val="20"/>
          <w:color w:val="auto"/>
        </w:rPr>
      </w:pPr>
      <w:r>
        <w:rPr>
          <w:rFonts w:ascii="Arial" w:cs="Arial" w:eastAsia="Arial" w:hAnsi="Arial"/>
          <w:sz w:val="17"/>
          <w:szCs w:val="17"/>
          <w:color w:val="auto"/>
        </w:rPr>
        <w:t>In November 2016, the FASB issued ASU 2016-18 Statement of Cash Flows (Topic 230): Restricted Cash, a consensus of the FASB’s Emerging Issues Task Force, amending the presentation of restricted cash within the statement of cash flows. The new guidance requires that restricted cash be included within cash and cash equivalents on the statement of cash flows. ASU 2016-18 will be effective for our fiscal year beginning January 1, 2018. We adopted this ASU in the first quarter of 2018. The adoption is not expected to have a material impact on our consolidated financial statements.</w:t>
      </w:r>
    </w:p>
    <w:p>
      <w:pPr>
        <w:spacing w:after="0" w:line="171"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The ASU eliminates the requirement for an entity to calculate the implied fair value of goodwill to measure a goodwill impairment charge. Instead, an entity performs its annual, or interim, goodwill impairment testing by comparing the fair value of a reporting unit with its carrying amount and recording an impairment charge for the amount by which the carrying amount exceeds the fair value. This ASU will be effective for annual and interim goodwill impairment testing performed for our fiscal year beginning January 1, 2020, with early adoption permitted. We are currently evaluating the adoption of this ASU and cannot estimate the financial statement impact of adoption.</w:t>
      </w:r>
    </w:p>
    <w:p>
      <w:pPr>
        <w:spacing w:after="0" w:line="351" w:lineRule="exact"/>
        <w:rPr>
          <w:sz w:val="20"/>
          <w:szCs w:val="20"/>
          <w:color w:val="auto"/>
        </w:rPr>
      </w:pPr>
    </w:p>
    <w:p>
      <w:pPr>
        <w:ind w:right="8500" w:firstLine="8"/>
        <w:spacing w:after="0" w:line="532" w:lineRule="auto"/>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 Goodwill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8" w:right="239" w:bottom="1440" w:gutter="0" w:footer="0" w:header="0"/>
        </w:sectPr>
      </w:pPr>
    </w:p>
    <w:bookmarkStart w:id="79" w:name="page80"/>
    <w:bookmarkEnd w:id="79"/>
    <w:p>
      <w:pPr>
        <w:ind w:right="60" w:firstLine="405"/>
        <w:spacing w:after="0" w:line="342" w:lineRule="auto"/>
        <w:rPr>
          <w:sz w:val="20"/>
          <w:szCs w:val="20"/>
          <w:color w:val="auto"/>
        </w:rPr>
      </w:pPr>
      <w:r>
        <w:rPr>
          <w:rFonts w:ascii="Arial" w:cs="Arial" w:eastAsia="Arial" w:hAnsi="Arial"/>
          <w:sz w:val="16"/>
          <w:szCs w:val="16"/>
          <w:color w:val="auto"/>
        </w:rPr>
        <w:t>In connection with our acquisition of DVS in February 2014, we recognized goodwill of $104.2 million. The only change to goodwill after the Acquisition Date was an adjustment of $0.1 million to the deferred taxes liability resulting from the final tax analysis during the measurement period in 2014.</w:t>
      </w:r>
    </w:p>
    <w:p>
      <w:pPr>
        <w:spacing w:after="0" w:line="124" w:lineRule="exact"/>
        <w:rPr>
          <w:sz w:val="20"/>
          <w:szCs w:val="20"/>
          <w:color w:val="auto"/>
        </w:rPr>
      </w:pPr>
    </w:p>
    <w:p>
      <w:pPr>
        <w:ind w:right="80" w:firstLine="405"/>
        <w:spacing w:after="0" w:line="308" w:lineRule="auto"/>
        <w:rPr>
          <w:sz w:val="20"/>
          <w:szCs w:val="20"/>
          <w:color w:val="auto"/>
        </w:rPr>
      </w:pPr>
      <w:r>
        <w:rPr>
          <w:rFonts w:ascii="Arial" w:cs="Arial" w:eastAsia="Arial" w:hAnsi="Arial"/>
          <w:sz w:val="17"/>
          <w:szCs w:val="17"/>
          <w:color w:val="auto"/>
        </w:rPr>
        <w:t>Goodwill is tested for impairment annually during the fourth quarter unless a triggering event requires an expedited analysis. During the fourth quarters of 2017 and 2016, we completed our annual impairment assessments and we concluded that goodwill was not impaired in any of these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Developed Technology</w:t>
      </w:r>
    </w:p>
    <w:p>
      <w:pPr>
        <w:spacing w:after="0" w:line="22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connection with our acquisition of DVS in February 2014, we acquired developed technology with a gross fair value of $112.0 million. These acquired intangible assets are being amortized to cost of product revenue over their useful life of ten years. Related amortization expense for each of the years ended December 31, 2017, 2016 and 2015 was $11.2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180" w:firstLine="405"/>
        <w:spacing w:after="0" w:line="293" w:lineRule="auto"/>
        <w:rPr>
          <w:sz w:val="20"/>
          <w:szCs w:val="20"/>
          <w:color w:val="auto"/>
        </w:rPr>
      </w:pPr>
      <w:r>
        <w:rPr>
          <w:rFonts w:ascii="Arial" w:cs="Arial" w:eastAsia="Arial" w:hAnsi="Arial"/>
          <w:sz w:val="16"/>
          <w:szCs w:val="16"/>
          <w:color w:val="auto"/>
        </w:rPr>
        <w:t>On June 28, 2013, we acquired certain patents, patent applications, and licenses from Helicos Biosciences Corporation (Helicos) relating to Helicos’ next-generation sequencing technology. The rights acquired by us are subject to certain licenses and sublicenses granted by Helicos prior to or contemporaneously with our acquisition. The assets were acquired for $1.0 million and we incurred transaction costs of approximately $0.3 million. The patents, patent applications, and licenses have an alternative future use and, as a result, the acquired assets and transaction costs are capitalized as intangible assets and are included in other non-current assets. The acquired assets from Helicos are being amortized to research and development expense over their useful life of ten years. Related amortization expense was $0.1 million for each of the years ended 2017, 2016 and 2015.</w:t>
      </w:r>
    </w:p>
    <w:p>
      <w:pPr>
        <w:spacing w:after="0" w:line="16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November 4, 2015, we entered into a patent purchase agreement with PerkinElmer Health Sciences, Inc.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between Fluidigm Canada Inc. and PerkinElmer. Accordingly, we have no further financial obligations to PerkinElmer under the Original License Agreement. The Patents are being amortized to cost of product revenue through their useful life. Related amortization expense for the years ended December 31, 2017, 2016 and 2015 was $0.9 million, $0.9 million and $0.1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229"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May 2011, we entered into an agreement with Caliper Life Sciences, Inc., which subsequently became a PerkinElmer company (Caliper), to license Caliper’s existing patent portfolio in certain fields, including non-invasive prenatal diagnostics, and obtained an option to extend this license to cover additional fields. Additional payments are due if we exercise our option to extend the license. Under this agreement, we made an up-front payment of $0.6 million and our obligation to pay royalties to Caliper commenced in January 2012. In August 2011, we entered into an amendment to the agreement with Caliper and made an additional up-front payment of $0.5 million. Pursuant to the amendment, the rates for royalties payable to Caliper were substantially reduced and the period for which we are obligated to make royalty payments was shortened, with the last payment due in mid-2018 for our existing products at the time of amendment and their future equivalents. If any of our future products are determined to infringe Caliper’s patents, the same reduced royalty rates will apply until the respective patents expire. The aggregate $1.1 million of payments to Caliper are being amortized to cost of product revenue on a straight-line basis through July 2018, when our royalty payment obligations are expected to terminate based upon our current utilization of the patents. We recognized $0.2 million in cost of product revenue during each year of 2017, 2016, and 2015, respectively. Our future royalty payments are not expected to be material.</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Intangible assets include developed technology as a result of the DVS acquisition and other intangible assets included in Other non-current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were as follows (in thousands):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8"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December 31, 2017</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Gross 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right"/>
              <w:ind w:right="420"/>
              <w:spacing w:after="0" w:line="15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3"/>
                <w:szCs w:val="13"/>
                <w:color w:val="auto"/>
              </w:rPr>
            </w:pPr>
          </w:p>
        </w:tc>
        <w:tc>
          <w:tcPr>
            <w:tcW w:w="1360" w:type="dxa"/>
            <w:vAlign w:val="bottom"/>
          </w:tcPr>
          <w:p>
            <w:pPr>
              <w:jc w:val="center"/>
              <w:ind w:right="18"/>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6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ind w:right="18"/>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38"/>
              <w:spacing w:after="0"/>
              <w:rPr>
                <w:sz w:val="20"/>
                <w:szCs w:val="20"/>
                <w:color w:val="auto"/>
              </w:rPr>
            </w:pPr>
            <w:r>
              <w:rPr>
                <w:rFonts w:ascii="Arial" w:cs="Arial" w:eastAsia="Arial" w:hAnsi="Arial"/>
                <w:sz w:val="18"/>
                <w:szCs w:val="18"/>
                <w:color w:val="auto"/>
                <w:w w:val="86"/>
              </w:rPr>
              <w:t>7.8 years</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123,274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(49,121)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74,153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2016</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Amortization Period</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(32,200)</w:t>
            </w:r>
          </w:p>
        </w:tc>
        <w:tc>
          <w:tcPr>
            <w:tcW w:w="6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10.0 years</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Patents and licenses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11,224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(4,533)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6,691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7.9 years</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123,224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(36,733)</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86,491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Based on the carrying value of intangible assets, net as of December 31, 2017, the annual amortization expense for intangible assets, net is expected to be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60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9"/>
              </w:rPr>
              <w:t>Amortization Expense</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4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2019</w:t>
            </w:r>
          </w:p>
        </w:tc>
        <w:tc>
          <w:tcPr>
            <w:tcW w:w="6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12,242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2021</w:t>
            </w:r>
          </w:p>
        </w:tc>
        <w:tc>
          <w:tcPr>
            <w:tcW w:w="6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13,242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74,153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20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9"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tables summarize our cash and available-for-sale securities that were measured at fair value by significant investment category within the fair value hierarchy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Unrealized</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2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20,129</w:t>
            </w:r>
          </w:p>
        </w:tc>
        <w:tc>
          <w:tcPr>
            <w:tcW w:w="12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20"/>
              <w:spacing w:after="0"/>
              <w:rPr>
                <w:sz w:val="20"/>
                <w:szCs w:val="20"/>
                <w:color w:val="auto"/>
              </w:rPr>
            </w:pPr>
            <w:r>
              <w:rPr>
                <w:rFonts w:ascii="Arial" w:cs="Arial" w:eastAsia="Arial" w:hAnsi="Arial"/>
                <w:sz w:val="18"/>
                <w:szCs w:val="18"/>
                <w:color w:val="auto"/>
              </w:rPr>
              <w:t>Level I:</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Level II:</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4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26,369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26,368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21,785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63,137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63,136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58,056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Unrealized</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Cash and Cash</w:t>
            </w:r>
          </w:p>
        </w:tc>
        <w:tc>
          <w:tcPr>
            <w:tcW w:w="160" w:type="dxa"/>
            <w:vAlign w:val="bottom"/>
          </w:tcPr>
          <w:p>
            <w:pPr>
              <w:spacing w:after="0"/>
              <w:rPr>
                <w:sz w:val="13"/>
                <w:szCs w:val="13"/>
                <w:color w:val="auto"/>
              </w:rPr>
            </w:pPr>
          </w:p>
        </w:tc>
        <w:tc>
          <w:tcPr>
            <w:tcW w:w="98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5"/>
              </w:rPr>
              <w:t>Short-Term</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2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Gain</w:t>
            </w:r>
          </w:p>
        </w:tc>
        <w:tc>
          <w:tcPr>
            <w:tcW w:w="28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Equivalents</w:t>
            </w:r>
          </w:p>
        </w:tc>
        <w:tc>
          <w:tcPr>
            <w:tcW w:w="16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Available-for-sale:</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Level I:</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21,061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21,061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21,061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Level II:</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4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24,388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24,385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59,433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59,430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35,045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24,385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contractual maturity periods of $5.1 million of debt securities are within one year from December 31, 2017.</w:t>
      </w:r>
    </w:p>
    <w:p>
      <w:pPr>
        <w:spacing w:after="0" w:line="225"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There were no transfers between Level I and Level II measurements during the year ended December 31, 2017, and there were no changes in the valuation techniques used.</w:t>
      </w:r>
    </w:p>
    <w:p>
      <w:pPr>
        <w:spacing w:after="0" w:line="170"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Based on an evaluation of securities that were in a loss position, we did not recognize any other-than-temporary impairment charges for the years ended December 31, 2017, 2016, and 2015. None of our investments have been in a continuous loss position for more than 12 months. We concluded that the declines in market value of our available-for-sale securities investment portfolio were temporary in nature and did not consider any of our investments to be other-than-temporarily impaired.</w:t>
      </w:r>
    </w:p>
    <w:p>
      <w:pPr>
        <w:spacing w:after="0" w:line="18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estimated fair value of the 2.75% Convertible Notes is based on a market approach (See Note 6 for Convertible Notes). The estimated fair value was approximately $166.2 million and $139.7 million (par value $201.3 million) as of December 31, 2017 and December 31, 2016, respectively, and represents a Level II valuation. When determining the estimated fair value of our long-term debt, we used a commonly accepted valuation methodology and market-based risk measurements that are indirectly observable, such as credit risk.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26" w:right="239" w:bottom="1440" w:gutter="0" w:footer="0" w:header="0"/>
        </w:sectPr>
      </w:pPr>
    </w:p>
    <w:bookmarkStart w:id="82" w:name="page83"/>
    <w:bookmarkEnd w:id="82"/>
    <w:p>
      <w:pPr>
        <w:ind w:right="9280" w:firstLine="8"/>
        <w:spacing w:after="0" w:line="566" w:lineRule="auto"/>
        <w:tabs>
          <w:tab w:leader="none" w:pos="18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Data Cash and Cash Equivalents</w:t>
      </w:r>
    </w:p>
    <w:p>
      <w:pPr>
        <w:ind w:left="440"/>
        <w:spacing w:after="0"/>
        <w:rPr>
          <w:rFonts w:ascii="Arial" w:cs="Arial" w:eastAsia="Arial" w:hAnsi="Arial"/>
          <w:sz w:val="16"/>
          <w:szCs w:val="16"/>
          <w:b w:val="1"/>
          <w:bCs w:val="1"/>
          <w:color w:val="auto"/>
        </w:rPr>
      </w:pPr>
      <w:r>
        <w:rPr>
          <w:rFonts w:ascii="Arial" w:cs="Arial" w:eastAsia="Arial" w:hAnsi="Arial"/>
          <w:sz w:val="18"/>
          <w:szCs w:val="18"/>
          <w:color w:val="auto"/>
        </w:rPr>
        <w:t>Cash and cash equivalents consisted of the following as of December 31, 2017 and 2016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16,142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21,061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and agency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21,785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58,056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35,045</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Inventories</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Inventories consisted of the following as of December 31, 2017 and 2016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6,593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Total inventories,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15,088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20,114</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w w:val="97"/>
              </w:rPr>
              <w:t>Property and equipment consisted of the following as of December 31, 2017 and 2016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2"/>
                <w:szCs w:val="22"/>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Laboratory and manufacturing equipment</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20,069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23,670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Office furniture and fixtures</w:t>
            </w:r>
          </w:p>
        </w:tc>
        <w:tc>
          <w:tcPr>
            <w:tcW w:w="3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1,892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gross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33,939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16,525</w:t>
            </w:r>
          </w:p>
        </w:tc>
        <w:tc>
          <w:tcPr>
            <w:tcW w:w="0" w:type="dxa"/>
            <w:vAlign w:val="bottom"/>
          </w:tcPr>
          <w:p>
            <w:pPr>
              <w:spacing w:after="0"/>
              <w:rPr>
                <w:sz w:val="1"/>
                <w:szCs w:val="1"/>
                <w:color w:val="auto"/>
              </w:rPr>
            </w:pPr>
          </w:p>
        </w:tc>
      </w:tr>
      <w:tr>
        <w:trPr>
          <w:trHeight w:val="27"/>
        </w:trPr>
        <w:tc>
          <w:tcPr>
            <w:tcW w:w="8320" w:type="dxa"/>
            <w:vAlign w:val="bottom"/>
            <w:gridSpan w:val="2"/>
            <w:vMerge w:val="restart"/>
          </w:tcPr>
          <w:p>
            <w:pPr>
              <w:jc w:val="right"/>
              <w:ind w:right="2430"/>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83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4"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years ended December 31, 2017 and 2016, which are included in other accrued liabilities, is summarized below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50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508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1,076</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Accrual for current period warranties</w:t>
            </w:r>
          </w:p>
        </w:tc>
        <w:tc>
          <w:tcPr>
            <w:tcW w:w="4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costs incurred</w:t>
            </w:r>
          </w:p>
        </w:tc>
        <w:tc>
          <w:tcPr>
            <w:tcW w:w="4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(1,019)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416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1,023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160" w:type="dxa"/>
            <w:vAlign w:val="bottom"/>
            <w:vMerge w:val="restart"/>
          </w:tcPr>
          <w:p>
            <w:pPr>
              <w:jc w:val="right"/>
              <w:ind w:right="2433"/>
              <w:spacing w:after="0"/>
              <w:rPr>
                <w:sz w:val="20"/>
                <w:szCs w:val="20"/>
                <w:color w:val="auto"/>
              </w:rPr>
            </w:pPr>
            <w:r>
              <w:rPr>
                <w:rFonts w:ascii="Arial" w:cs="Arial" w:eastAsia="Arial" w:hAnsi="Arial"/>
                <w:sz w:val="18"/>
                <w:szCs w:val="18"/>
                <w:color w:val="auto"/>
              </w:rPr>
              <w:t>80</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6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4"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6. Convertible Notes</w:t>
      </w:r>
    </w:p>
    <w:p>
      <w:pPr>
        <w:spacing w:after="0" w:line="229"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(Original Notes) pursuant to an underwriting agreement, dated January 29, 2014. The Original Notes accrue interest at a rate of 2.75% per year, payable semi-annually in arrears on February 1 and August 1 of each year. The Original Notes will mature on February 1, 2034, unless earlier converted, redeemed, or repurchased in accordance with the terms of the Original Notes. The initial conversion rate of the Original Notes is 17.8750 shares of our common stock, par value $0.001 per share, per $1,000 principal amount of Original Notes (which is equivalent to an initial conversion price of approximately $55.94 per share). The conversion rate will be subject to adjustment upon the occurrence of certain specified events. Holders may surrender their Original Notes for conversion at any time prior to the stated maturity date. On or after February 6, 2018 and prior to February 6, 2021, we may redeem any or all of the Original Notes in cash if the closing price of our common stock exceeds 130% of the conversion price for a specified number of days, and on or after February 6, 2021, we may redeem any or all of the Original Notes in cash without any such condition. The redemption price of the Original Notes will equal 100% of the principal amount of the Original Notes plus accrued and unpaid interest. Holders may require us to repurchase all or a portion of their Original Notes on each of February 6, 2021, February 6, 2024, and February 6, 2029 at a repurchase price in cash equal to 100% of the principal amount of the Original Notes plus accrued and unpaid interest. If we undergo a fundamental change, as defined in the terms of the Original Notes, holders may require us to repurchase the Original Notes in whole or in part for cash at a repurchase price equal to 100% of the principal amount of the Original Notes plus accrued and unpaid interest.</w:t>
      </w:r>
    </w:p>
    <w:p>
      <w:pPr>
        <w:spacing w:after="0" w:line="185"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In February 2014, we received $195.2 million, net of underwriting discounts, from the issuance of the Original Notes and incurred approximately $1.1 million in offering-related expenses. The underwriting discount of $6.0 million and the debt issuance costs of $1.1 million were recorded as offsets to the proceeds.</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February 2014, we used $113.2 million of the net proceeds to fund the cash portion of the consideration payable by us in connection with our acquisition of DVS (now Fluidigm Sciences Inc.). Interest expense related to the Original Notes was approximately $5.8 million during each of the years ended December 31, 2017, 2016 and 2015, respectively. Accrued interest related to the Original Notes as of December 31, 2017 and 2016 were both $2.3 million, respectively, which were included in Other current liabilities. Approximately $5.5 million of interest under the Original Notes were paid for each year ended December 31, 2017 and 2016, respectively.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values of the components of the convertible notes are as follows (in thousands):</w:t>
      </w:r>
    </w:p>
    <w:p>
      <w:pPr>
        <w:spacing w:after="0" w:line="185"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37465</wp:posOffset>
            </wp:positionV>
            <wp:extent cx="1869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 of Original Notes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201,250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201,250</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Unamortized debt discount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(5,330)</w:t>
            </w:r>
          </w:p>
        </w:tc>
      </w:tr>
      <w:tr>
        <w:trPr>
          <w:trHeight w:val="27"/>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57"/>
        </w:trPr>
        <w:tc>
          <w:tcPr>
            <w:tcW w:w="7860" w:type="dxa"/>
            <w:vAlign w:val="bottom"/>
          </w:tcPr>
          <w:p>
            <w:pPr>
              <w:ind w:left="260"/>
              <w:spacing w:after="0"/>
              <w:rPr>
                <w:sz w:val="20"/>
                <w:szCs w:val="20"/>
                <w:color w:val="auto"/>
              </w:rPr>
            </w:pPr>
            <w:r>
              <w:rPr>
                <w:rFonts w:ascii="Arial" w:cs="Arial" w:eastAsia="Arial" w:hAnsi="Arial"/>
                <w:sz w:val="18"/>
                <w:szCs w:val="18"/>
                <w:color w:val="auto"/>
              </w:rPr>
              <w:t>Net carrying value of convertible notes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195,238</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194,951</w:t>
            </w: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March 2018, we entered into privately negotiated transactions with certain holders of our Original Notes to exchange approximately $125.0 million in aggregate principal amount of the Original Notes for approximately $125.0 million in aggregate principal amount of our new 2.75% Exchange Convertible Senior Notes due 2034 (Exchange Notes), leaving approximately $76.3 million in aggregate principal amount of Original Notes outstanding (See Note 14 for Subsequent Event).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26" w:right="239" w:bottom="1440" w:gutter="0" w:footer="0" w:header="0"/>
        </w:sectPr>
      </w:pPr>
    </w:p>
    <w:bookmarkStart w:id="85" w:name="page86"/>
    <w:bookmarkEnd w:id="85"/>
    <w:p>
      <w:pPr>
        <w:ind w:right="8660" w:firstLine="8"/>
        <w:spacing w:after="0" w:line="533" w:lineRule="auto"/>
        <w:tabs>
          <w:tab w:leader="none" w:pos="18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ind w:left="440"/>
        <w:spacing w:after="0"/>
        <w:rPr>
          <w:sz w:val="20"/>
          <w:szCs w:val="20"/>
          <w:color w:val="auto"/>
        </w:rPr>
      </w:pPr>
      <w:r>
        <w:rPr>
          <w:rFonts w:ascii="Arial" w:cs="Arial" w:eastAsia="Arial" w:hAnsi="Arial"/>
          <w:sz w:val="16"/>
          <w:szCs w:val="16"/>
          <w:color w:val="auto"/>
        </w:rPr>
        <w:t>We have entered into various long-term non-cancelable operating lease agreements for equipment and facilities expiring at various times through March</w:t>
      </w:r>
    </w:p>
    <w:p>
      <w:pPr>
        <w:spacing w:after="0" w:line="4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2026. We lease office space under non-cancelable leases in the United States, Canada, Singapore, Japan, China, France and United Kingdom. Certain facility leases also contain rent escalation clauses. Our lease payments are expensed on a straight-line basis over the life of the leases. Rental expense under operating leases, net of amortization of lease incentives and sublease income for the years ended December 31, 2017, 2016 and 2015 was $4.7 million, $6.3 million and $5.2 million, respectively.</w:t>
      </w:r>
    </w:p>
    <w:p>
      <w:pPr>
        <w:spacing w:after="0" w:line="190"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Future minimum lease payments and minimum sublease income under non-cancelable operating leases as of December 31, 2017 are as follows (in thousands):</w:t>
      </w: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Minimum Lease</w:t>
            </w:r>
          </w:p>
        </w:tc>
        <w:tc>
          <w:tcPr>
            <w:tcW w:w="14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Minimum Sublease</w:t>
            </w:r>
          </w:p>
        </w:tc>
        <w:tc>
          <w:tcPr>
            <w:tcW w:w="120" w:type="dxa"/>
            <w:vAlign w:val="bottom"/>
          </w:tcPr>
          <w:p>
            <w:pPr>
              <w:spacing w:after="0"/>
              <w:rPr>
                <w:sz w:val="14"/>
                <w:szCs w:val="14"/>
                <w:color w:val="auto"/>
              </w:rPr>
            </w:pPr>
          </w:p>
        </w:tc>
        <w:tc>
          <w:tcPr>
            <w:tcW w:w="14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0"/>
              </w:rPr>
              <w:t>Net Operating Leases</w:t>
            </w:r>
          </w:p>
        </w:tc>
        <w:tc>
          <w:tcPr>
            <w:tcW w:w="0" w:type="dxa"/>
            <w:vAlign w:val="bottom"/>
          </w:tcPr>
          <w:p>
            <w:pPr>
              <w:spacing w:after="0"/>
              <w:rPr>
                <w:sz w:val="1"/>
                <w:szCs w:val="1"/>
                <w:color w:val="auto"/>
              </w:rPr>
            </w:pPr>
          </w:p>
        </w:tc>
      </w:tr>
      <w:tr>
        <w:trPr>
          <w:trHeight w:val="192"/>
        </w:trPr>
        <w:tc>
          <w:tcPr>
            <w:tcW w:w="6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Payments</w:t>
            </w:r>
          </w:p>
        </w:tc>
        <w:tc>
          <w:tcPr>
            <w:tcW w:w="14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3"/>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14,626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12,127</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29"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In the normal course of business, we enter into various contractual and legally binding purchase commitments. As of December 31, 2017, these commitments were approximately $1.3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 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79"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We incurred legal expenses between October 2015 and the third quarter of 2017 to defend claims by Thermo Fisher Scientific, Inc., (Thermo) against one of our employees. In December 2015, Thermo Fisher Scientific, Inc., (Thermo) filed a complaint in the Circuit Court for the County of Kalamazoo, Michigan against one of its former employees who had recently been hired by us alleging, among other claims, misappropriation of proprietary information and breach of contractual and fiduciary obligations to Thermo while such individual was still an employee of Thermo. In November 2016, Thermo amended its complaint to add us as a party to the litigation, making various commercial and employment-related claims and seeking damages and injunctive relief. In July 2017, we entered into a settlement agreement with Thermo. Pursuant to the terms of the settlement agreement, we agreed to pay Thermo a one-time payment of $3.0 million in exchange for a release and dismissal of all claims with prejudice upon payment of the settlement. In August 2017, we paid the settlement of $3.0 million and received an insurance recovery payment of $1.0 million related to this matter.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364"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losses can be estimated, we accrue a liability for the estimated loss.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161" w:lineRule="exact"/>
        <w:rPr>
          <w:sz w:val="20"/>
          <w:szCs w:val="20"/>
          <w:color w:val="auto"/>
        </w:rPr>
      </w:pPr>
    </w:p>
    <w:p>
      <w:pPr>
        <w:ind w:right="9120" w:firstLine="8"/>
        <w:spacing w:after="0" w:line="604" w:lineRule="auto"/>
        <w:tabs>
          <w:tab w:leader="none" w:pos="180"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2011 Equity Incentive Plan</w:t>
      </w:r>
    </w:p>
    <w:p>
      <w:pPr>
        <w:jc w:val="both"/>
        <w:ind w:right="40" w:firstLine="432"/>
        <w:spacing w:after="0" w:line="264" w:lineRule="auto"/>
        <w:rPr>
          <w:sz w:val="20"/>
          <w:szCs w:val="20"/>
          <w:color w:val="auto"/>
        </w:rPr>
      </w:pPr>
      <w:r>
        <w:rPr>
          <w:rFonts w:ascii="Arial" w:cs="Arial" w:eastAsia="Arial" w:hAnsi="Arial"/>
          <w:sz w:val="18"/>
          <w:szCs w:val="18"/>
          <w:color w:val="auto"/>
        </w:rPr>
        <w:t>On January 28, 2011, our board of directors adopted the 2011 Equity Incentive Plan (the 2011 Plan) under which incentive stock options, non-statutory stock options, restricted stock units (RSUs), stock appreciation rights, performance units, and performance shares may be granted to our employees, directors, and consultants.</w:t>
      </w:r>
    </w:p>
    <w:p>
      <w:pPr>
        <w:spacing w:after="0" w:line="18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Incentive stock options and non-statutory stock options granted under the 2011 Plan have a term of no more than ten years from the date of grant and an exercise price of at least 100% of the fair market value of the underlying common stock on the date of grant. If a participant owns stock representing more than 10% of the voting power of all classes of our stock on the grant date, an incentive stock option awarded to the participant will have a term of no more than five years from the date of grant and an exercise price of at least 110%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17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board of directors sets the terms, conditions, and restrictions related to our ESPP and the grant of stock options and RSUs, including the number of restricted stock units to grant. Our board of directors also sets vesting criteria and, depending on the extent to which the criteria are met, our board of directors will determine the number of restricted stock units to be paid out. In general, RSUs vest on a quarterly basis over a period of four years from the date of grant at a rate of 25% on the first anniversary of the grant date and ratably each quarter over the remaining 12 quarters, subject to the employees' continued employment.</w:t>
      </w:r>
    </w:p>
    <w:p>
      <w:pPr>
        <w:spacing w:after="0" w:line="188"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81" w:lineRule="exact"/>
        <w:rPr>
          <w:sz w:val="20"/>
          <w:szCs w:val="20"/>
          <w:color w:val="auto"/>
        </w:rPr>
      </w:pPr>
    </w:p>
    <w:p>
      <w:pPr>
        <w:jc w:val="both"/>
        <w:ind w:right="140" w:firstLine="432"/>
        <w:spacing w:after="0" w:line="277" w:lineRule="auto"/>
        <w:rPr>
          <w:sz w:val="20"/>
          <w:szCs w:val="20"/>
          <w:color w:val="auto"/>
        </w:rPr>
      </w:pPr>
      <w:r>
        <w:rPr>
          <w:rFonts w:ascii="Arial" w:cs="Arial" w:eastAsia="Arial" w:hAnsi="Arial"/>
          <w:sz w:val="18"/>
          <w:szCs w:val="18"/>
          <w:color w:val="auto"/>
        </w:rPr>
        <w:t>As of December 31, 2017, the 2011 Plan had a total of 5.6 million shares authorized for future issuance, of which 2.3 million shares were available for future grants.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Equity Incentive Plan and 1999 Stock Option Plan</w:t>
      </w:r>
    </w:p>
    <w:p>
      <w:pPr>
        <w:spacing w:after="0" w:line="229"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Our 2009 Equity Incentive Plan (the 2009 Plan) terminated on the date the 2011 Plan was adopted, and the 1999 Stock Option Plan (the 1999 Plan) expired in 2009. Options granted or shares issued under the 2009 Plan and the 1999 Plan that were outstanding on the date the 2011 Plan became effective remained subject to the terms of their respective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Inducement Award Plan</w:t>
      </w:r>
    </w:p>
    <w:p>
      <w:pPr>
        <w:spacing w:after="0" w:line="229"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On January 5, 2017, we adopted the Fluidigm Corporation 2017 Inducement Award Plan (the “Inducement Plan”) and reserved 2 million shares of the Company’s common stock for issuance pursuant to equity awards granted under the Inducement Plan. The Inducement Plan provides for the grant of equity-based awards and its terms are substantially similar to the 2011 Plan. In accordance with Rule 5635(c)(4) of the Nasdaq Listing Rules, awards under the Inducement Plan may only be made to individuals not previously employees or non-employee directors of the Company (or following such individuals’ bona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0" w:right="239" w:bottom="1440" w:gutter="0" w:footer="0" w:header="0"/>
        </w:sectPr>
      </w:pPr>
    </w:p>
    <w:bookmarkStart w:id="87" w:name="page88"/>
    <w:bookmarkEnd w:id="87"/>
    <w:p>
      <w:pPr>
        <w:ind w:right="120"/>
        <w:spacing w:after="0" w:line="277" w:lineRule="auto"/>
        <w:rPr>
          <w:sz w:val="20"/>
          <w:szCs w:val="20"/>
          <w:color w:val="auto"/>
        </w:rPr>
      </w:pPr>
      <w:r>
        <w:rPr>
          <w:rFonts w:ascii="Arial" w:cs="Arial" w:eastAsia="Arial" w:hAnsi="Arial"/>
          <w:sz w:val="18"/>
          <w:szCs w:val="18"/>
          <w:color w:val="auto"/>
        </w:rPr>
        <w:t>fide period of non-employment with the Company), as an inducement material to the individuals’ entry into employment with the Company or in connection with a merger or acquisition, to the extent permitted by Rule 5635(c)(3) of the Nasdaq Listing Rules.</w:t>
      </w:r>
    </w:p>
    <w:p>
      <w:pPr>
        <w:spacing w:after="0" w:line="1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There were no material equity awards granted under the Inducement Plan in 2017. As of December 31, 2017, the Inducement Plan had a total of 2.0 million shares authorized for future issuance, of which 2.0 million shares were available for future grants.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Employee Stock Purchase Plan</w:t>
      </w:r>
    </w:p>
    <w:p>
      <w:pPr>
        <w:spacing w:after="0" w:line="229"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August 1, 2017, our stockholders approved our 2017 Employee Stock Purchase Plan (ESPP) at the annual meeting of stockholders. Our ESPP offers U.S. and some non-U.S. employees the right to purchase shares of our common stock. Our ESPP has a six-month offering period, with a new period commencing on the first trading day on or after May 31 and November 30 of each year. Employees are eligible to participate through payroll deductions of up to 10% of their compensation and may not purchase more than $25,000 of stock in any calendar year. The purchase price at which shares are sold under the ESPP is 85% of the lower of the fair market value of a share of our common stock on the first day of the offering period or the last day of the offering period. Our first ESPP offering period began on October 1, 2017 with a shorter offering period ending on November 30, 2017.</w:t>
      </w:r>
    </w:p>
    <w:p>
      <w:pPr>
        <w:spacing w:after="0" w:line="178"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As of December 31, 2017, 0.9 million shares were available for future issuance under the ESPP. Sales under the ESPP were 0.1 million shares of common stock at an average price of $5.20 per share for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Expense Information</w:t>
      </w:r>
    </w:p>
    <w:p>
      <w:pPr>
        <w:spacing w:after="0" w:line="229"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We use the Black-Scholes option-pricing model to estimate the fair value of stock options granted under our equity incentive plans and stock purchases under our ESPP. The weighted average assumptions used to estimate the fair value were as follows: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65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Expected volatility</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term</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4.2 years</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6.0 years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 years</w:t>
            </w: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 yield</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Weighted-average fair value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2.97</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13.89</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6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ESPP shares: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volatility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Expected term</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0.4 years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Risk-free interest rate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Dividend yield</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Weighted-average fair value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7"/>
        </w:trPr>
        <w:tc>
          <w:tcPr>
            <w:tcW w:w="6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We determine the expected volatility based on our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life. Each of these inputs is subjective and generally requires significant judgment by us. Also required to compute the fair value calculation of options and ESPP shares is the fair value of the underlying common stock. We account for forfeitures as they occur.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grant stock options at exercise prices not less than the fair value of our common stock at the date of grant.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8" w:right="239" w:bottom="1440" w:gutter="0" w:footer="0" w:header="0"/>
        </w:sectPr>
      </w:pPr>
    </w:p>
    <w:bookmarkStart w:id="88" w:name="page89"/>
    <w:bookmarkEnd w:id="88"/>
    <w:p>
      <w:pPr>
        <w:ind w:right="160" w:firstLine="486"/>
        <w:spacing w:after="0" w:line="277" w:lineRule="auto"/>
        <w:rPr>
          <w:sz w:val="20"/>
          <w:szCs w:val="20"/>
          <w:color w:val="auto"/>
        </w:rPr>
      </w:pPr>
      <w:r>
        <w:rPr>
          <w:rFonts w:ascii="Arial" w:cs="Arial" w:eastAsia="Arial" w:hAnsi="Arial"/>
          <w:sz w:val="18"/>
          <w:szCs w:val="18"/>
          <w:color w:val="auto"/>
        </w:rPr>
        <w:t>The fair value of RSUs granted to employees was estimated on the date of grant by multiplying the number of shares granted by the fair market value of our common stock on the grant date.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Activity under the 2011 Plan, the 2009 Plan, the 1999 Plan and the Inducement Plan is as follows (in thousands, except per share amounts and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2"/>
              </w:rPr>
              <w:t>Value per Share</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RSUs granted</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RSUs canceled</w:t>
            </w:r>
          </w:p>
        </w:tc>
        <w:tc>
          <w:tcPr>
            <w:tcW w:w="1360" w:type="dxa"/>
            <w:vAlign w:val="bottom"/>
          </w:tcPr>
          <w:p>
            <w:pPr>
              <w:jc w:val="right"/>
              <w:spacing w:after="0"/>
              <w:rPr>
                <w:sz w:val="20"/>
                <w:szCs w:val="20"/>
                <w:color w:val="auto"/>
              </w:rPr>
            </w:pPr>
            <w:r>
              <w:rPr>
                <w:rFonts w:ascii="Arial" w:cs="Arial" w:eastAsia="Arial" w:hAnsi="Arial"/>
                <w:sz w:val="18"/>
                <w:szCs w:val="18"/>
                <w:color w:val="auto"/>
              </w:rPr>
              <w:t>(368)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8"/>
                <w:szCs w:val="18"/>
                <w:color w:val="auto"/>
              </w:rPr>
              <w:t>Expected to vest at December 31, 2017</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total intrinsic value of RSUs vested and released during the year ended December 31, 2017, 2016 and 2015 were approximately $2.3 million, $2.4 million and $1.8 million, respectively. The intrinsic value of vested and released RSUs is calculated by multiplying the fair market value of our common stock on the vesting date by the number of shares vested. As of December 31, 2017, the unrecognized compensation costs related to outstanding unvested RSUs under our equity incentive plans were $8.6 million. We expect to recognize those costs over a weighted average period of 2.4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12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 Life (in</w:t>
            </w:r>
          </w:p>
        </w:tc>
        <w:tc>
          <w:tcPr>
            <w:tcW w:w="240" w:type="dxa"/>
            <w:vAlign w:val="bottom"/>
          </w:tcPr>
          <w:p>
            <w:pPr>
              <w:spacing w:after="0"/>
              <w:rPr>
                <w:sz w:val="12"/>
                <w:szCs w:val="12"/>
                <w:color w:val="auto"/>
              </w:rPr>
            </w:pPr>
          </w:p>
        </w:tc>
        <w:tc>
          <w:tcPr>
            <w:tcW w:w="112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5"/>
              </w:rPr>
              <w:t>Value (1)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3,560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1,364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canceled/forfeited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(2,735)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at December 31, 2017</w:t>
            </w: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990</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to vest at December 31, 2017</w:t>
            </w: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1,149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intrinsic value was calculated as the difference between the closing price per share of our common stock on the last trading day of 2017, which was $5.89, and the exercise price of the options, multiplied by the number of in-the-money options.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intrinsic value of options exercised during 2017, 2016 and 2015 was $0.1 million, $0.3 million and $13.7 million, respectively. As</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of December 31, 2017, the unrecognized compensation costs related to outstanding unvested options under our equity incentive plans were $3.7 million. We expect to recognize those costs over a weighted average period of 2.9 years.</w:t>
      </w:r>
    </w:p>
    <w:p>
      <w:pPr>
        <w:spacing w:after="0" w:line="184"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total stock-based compensation recognized during 2017, 2016, and 2015 was $9.1 million, $13.9 million and $16.8 million, respectively. There were no stock-based compensation tax benefits recognized during 2017, 2016 or 2015. Capitalized stock-based compensation costs were insignificant at December 31, 2017, 2016 and 2015.</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4" w:right="239" w:bottom="1440" w:gutter="0" w:footer="0" w:header="0"/>
        </w:sectPr>
      </w:pPr>
    </w:p>
    <w:bookmarkStart w:id="89" w:name="page90"/>
    <w:bookmarkEnd w:id="89"/>
    <w:p>
      <w:pPr>
        <w:ind w:right="40" w:firstLine="405"/>
        <w:spacing w:after="0" w:line="255" w:lineRule="auto"/>
        <w:rPr>
          <w:sz w:val="20"/>
          <w:szCs w:val="20"/>
          <w:color w:val="auto"/>
        </w:rPr>
      </w:pPr>
      <w:r>
        <w:rPr>
          <w:rFonts w:ascii="Arial" w:cs="Arial" w:eastAsia="Arial" w:hAnsi="Arial"/>
          <w:sz w:val="18"/>
          <w:szCs w:val="18"/>
          <w:color w:val="auto"/>
        </w:rPr>
        <w:t>In 2016, we granted 184,050 and 87,620 performance-based stock options and performance-based restricted stock units (each, a “performance award”), respectively, to executive officers and employees, which were accounted for as equity awards. The number of performance awards that ultimately vest depends on the achievement of certain performance criteria set by the Compensation Committee of the Company’s Board of Directors. The performance-based stock options have an exercise price per share of $7.10. The Company recognizes stock-based compensation expense over the vesting period of the performance awards when achievement of the performance criteria becomes probable. We did not recognize any expense related to these performance awards in 2017 or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Exchange Program</w:t>
      </w:r>
    </w:p>
    <w:p>
      <w:pPr>
        <w:spacing w:after="0" w:line="22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August 23, 2017, we launched a one-time stock option exchange program (the Program), which eligible employees were able to exchange certain outstanding stock options (Eligible Options), whether vested or unvested, with an exercise price greater than $4.37 per share and greater than the closing price of a share of our common stock on the NASDAQ Global Select Market on the expiration date of the exchange offer (the Offer), for restricted stock units or stock options (New Awards) covering a lesser number of shares than were subject to the Eligible Options exchanged immediately before being canceled in the Offer. Non-employee members of our Board of Directors were not eligible to participate in the Program. The Program expired on September 20, 2017, with a closing price of $5.13 per share.</w:t>
      </w:r>
    </w:p>
    <w:p>
      <w:pPr>
        <w:spacing w:after="0" w:line="193"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115 employees elected to surrender Eligible Options to purchase a total of 1,204,198 shares of our common stock, representing approximately 50.02% of the total shares of common stock underlying the Eligible Options. All surrendered options were canceled effective as of the expiration date, and immediately thereafter, in exchange for such surrendered options, we issued (i) new options to purchase an aggregate of 399,117 shares of our common stock with an exercise price of $5.13; and (ii) restricted stock units representing 54,944 shares of our common stock, each, pursuant to the terms of the Offer and our 2011 Equity Incentive Plan. The new awards granted under the Program generally vest over three years.</w:t>
      </w:r>
    </w:p>
    <w:p>
      <w:pPr>
        <w:spacing w:after="0" w:line="173"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The Program did not result in a material incremental stock-based compensation expense because the fair value of the new awards was approximately equal to the fair value of the surrendered options immediately prior to the exchange date. The original fair value of the surrendered options plus the incremental stock-based compensation expense will be recognized over the vesting periods of the New Awards.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loss before income taxes consists of the following (in thousands):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(56,885)</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(46,757)</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(8,033)</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(54,790)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Significant components of our benefit for income taxes are as follows (in thousands):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8" w:right="239" w:bottom="1440" w:gutter="0" w:footer="0" w:header="0"/>
        </w:sectPr>
      </w:pPr>
    </w:p>
    <w:bookmarkStart w:id="90" w:name="page91"/>
    <w:bookmarkEnd w:id="90"/>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(1,319)</w:t>
            </w:r>
          </w:p>
        </w:tc>
      </w:tr>
      <w:tr>
        <w:trPr>
          <w:trHeight w:val="27"/>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Deferred:</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Foreign</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3,782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2,838</w:t>
            </w:r>
          </w:p>
        </w:tc>
      </w:tr>
      <w:tr>
        <w:trPr>
          <w:trHeight w:val="27"/>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benefit</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3,782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2,838</w:t>
            </w: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color w:val="auto"/>
              </w:rPr>
              <w:t>Total benefit for income taxes</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3,264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1,475</w:t>
            </w:r>
          </w:p>
        </w:tc>
      </w:tr>
      <w:tr>
        <w:trPr>
          <w:trHeight w:val="20"/>
        </w:trPr>
        <w:tc>
          <w:tcPr>
            <w:tcW w:w="6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Reconciliation of income taxes at the statutory rate to the benefit from (provision for) income taxes recorded in the statements of operations is as follows:</w:t>
      </w:r>
    </w:p>
    <w:p>
      <w:pPr>
        <w:spacing w:after="0" w:line="365"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23495</wp:posOffset>
            </wp:positionV>
            <wp:extent cx="3121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benefit at federal statutory rate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34.0 %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State tax expense, net of federal benefit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1.4</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tax benefit (expense)</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Change in valuation allowance</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3"/>
              </w:rPr>
              <w:t>(31.2)</w:t>
            </w:r>
          </w:p>
        </w:tc>
        <w:tc>
          <w:tcPr>
            <w:tcW w:w="1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(28.6)</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research and development credit</w:t>
            </w: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(1.8)</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Return to provision reconciliation</w:t>
            </w:r>
          </w:p>
        </w:tc>
        <w:tc>
          <w:tcPr>
            <w:tcW w:w="1660" w:type="dxa"/>
            <w:vAlign w:val="bottom"/>
            <w:tcBorders>
              <w:bottom w:val="single" w:sz="8" w:color="CCEEFF"/>
            </w:tcBorders>
            <w:gridSpan w:val="3"/>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Impact of the Tax Act</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89"/>
              </w:rPr>
              <w:t>(74.6)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r>
      <w:tr>
        <w:trPr>
          <w:trHeight w:val="257"/>
        </w:trPr>
        <w:tc>
          <w:tcPr>
            <w:tcW w:w="64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9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6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The Tax Act was enacted in December 2017. The Tax Act introduced a broad range of tax reform measures that significantly change U.S. federal income tax laws. Among other provisions, the Tax Act reduces the federal tax rate from 34% to 21% and imposes a one-time transition tax on post-1986 foreign unremitted earnings. We have remeasured our deferred taxes as of December 31, 2017 using the reduced U.S. federal tax rate of 21%. Accordingly, our gross deferred tax assets, which primarily include our net operating loss carryforwards, decreased by $29.9 million with a corresponding decrease in our valuation allowance. There is no net impact on our income tax provision from the remeasurement of existing deferred taxes due to a full valuation allowance. In addition, the Tax Act requires companies to pay a one-time transition tax for accumulated foreign earnings not previously subject to U.S. income tax. We have reviewed the accumulated undistributed foreign earnings after previously taxed income and currently we do not anticipate a transition tax liability due to our estimated aggregate foreign deficit. We have made reasonable estimates to reflect the impact of the Tax Act and recorded provisional amounts, in accordance with SAB 118, for the remeasurement of deferred taxes and the one-time transition tax as of December 31, 2017.</w:t>
      </w:r>
    </w:p>
    <w:p>
      <w:pPr>
        <w:spacing w:after="0" w:line="167"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We continue to analyze additional information and new guidance issued by relevant authorities related to the Tax Act, which could impact the determination of the net deferred taxes subject to the remeasurement, the related impact to the assessment of our valuation allowance, and the one-time transition tax. The prospects of supplemental legislation or regulatory processes to address questions that arise because of the Tax Act, or evolving technical interpretations of the tax law, may cause the final impact from the Tax Act to differ materially from the recorded amounts. We will finalize and record any adjustments related to the Tax Act within the one-year measurement period provided under SAB 118.</w:t>
      </w:r>
    </w:p>
    <w:p>
      <w:pPr>
        <w:spacing w:after="0" w:line="17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December 31, 2017, we changed our permanent reinvestment assertion and will not permanently reinvest our foreign earnings outside the United States. The cash generated from some of our foreign subsidiaries may be used domestically to fund operations. Any domestic, foreign and state taxes that may be due upon future repatriation of earnings is not expected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589" w:right="259" w:bottom="1440" w:gutter="0" w:footer="0" w:header="0"/>
        </w:sectPr>
      </w:pPr>
    </w:p>
    <w:bookmarkStart w:id="91" w:name="page92"/>
    <w:bookmarkEnd w:id="91"/>
    <w:p>
      <w:pPr>
        <w:ind w:right="620"/>
        <w:spacing w:after="0" w:line="277" w:lineRule="auto"/>
        <w:rPr>
          <w:sz w:val="20"/>
          <w:szCs w:val="20"/>
          <w:color w:val="auto"/>
        </w:rPr>
      </w:pPr>
      <w:r>
        <w:rPr>
          <w:rFonts w:ascii="Arial" w:cs="Arial" w:eastAsia="Arial" w:hAnsi="Arial"/>
          <w:sz w:val="18"/>
          <w:szCs w:val="18"/>
          <w:color w:val="auto"/>
        </w:rPr>
        <w:t>be significant. In addition, we currently do not anticipate any significant impact from the one-time transition tax liability under the Tax Act due to our estimated aggregate foreign deficit.</w:t>
      </w:r>
    </w:p>
    <w:p>
      <w:pPr>
        <w:spacing w:after="0" w:line="170" w:lineRule="exact"/>
        <w:rPr>
          <w:sz w:val="20"/>
          <w:szCs w:val="20"/>
          <w:color w:val="auto"/>
        </w:rPr>
      </w:pPr>
    </w:p>
    <w:p>
      <w:pPr>
        <w:jc w:val="both"/>
        <w:ind w:right="240" w:firstLine="405"/>
        <w:spacing w:after="0" w:line="259" w:lineRule="auto"/>
        <w:rPr>
          <w:sz w:val="20"/>
          <w:szCs w:val="20"/>
          <w:color w:val="auto"/>
        </w:rPr>
      </w:pPr>
      <w:r>
        <w:rPr>
          <w:rFonts w:ascii="Arial" w:cs="Arial" w:eastAsia="Arial" w:hAnsi="Arial"/>
          <w:sz w:val="18"/>
          <w:szCs w:val="18"/>
          <w:color w:val="auto"/>
        </w:rPr>
        <w:t>Our Development and Expansion Incentive, or DEI, in Singapore was terminated in 2017 and we did not benefit from the reduced tax rate of 5% for qualifying income in Singapore because certain milestones were not met. In addition, the capital allowance provision under the Singapore Productivity and Innovation Credit Scheme ended in 2017. Due to the termination of our DEI and capital allowance deduction, we released the valuation allowance and are subject to the statutory tax rate for Singapore.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91,701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123,913</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Reserves and accruals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12,584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7,057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122,051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148,547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(119,228)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(146,285)</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 and intangibles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(22,000)</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(19,738)</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Upon adoption of ASU 2016-09 (see Note 2), we recorded to the opening balance of retained earnings $9.3 million in deferred tax assets for previously unrecognized excess tax benefits that existed as of January 1, 2017, and a corresponding increase of $9.3 million in valuation allowances against these deferred tax assets as substantially all of our U.S. deferred tax assets, net of deferred tax liabilities, were subject to a full valuation allowance. The net impact to retained earnings as a result of these adjustments was zero.</w:t>
      </w:r>
    </w:p>
    <w:p>
      <w:pPr>
        <w:spacing w:after="0" w:line="18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evaluate a number of factors to determine the realizability of our deferred tax assets. Recognition of deferred tax assets is appropriate when realization of these assets is more likely than not. Assessing the realizability of deferred tax assets is dependent upon several factors including historical financial results. The deferred tax assets have been partially offset by a valuation allowance because we have incurred losses since our inception. The valuation allowance decreased by $27.1 million and increased by $22.1 million during 2017 and 2016, respectively. The change in valuation allowance during 2017 is mainly due to the change in Federal statutory rate from 34% to 21%, offset by a significant increase in the taxable loss in 2017. The change in valuation allowance during 2016 is primarily due to a significant increase in the taxable loss in 2016 and an increase in research development credits.</w:t>
      </w:r>
    </w:p>
    <w:p>
      <w:pPr>
        <w:spacing w:after="0" w:line="16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valuation allowances of $119.2 million and $146.3 million as of December 31, 2017 and 2016, respectively, primarily relate to temporary tax differences, net operating losses and research and development credits generated in the current and prior years. We believe it is more likely than not that U.S. federal, California and Japan deferred tax assets relating to temporary differences, net operating losses and research and development credits are not realizable. As such, full valuation allowances have been applied against the deferred tax assets relating to jurisdictions of the federal U.S., the state of California and Japan.</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reconciliation of the beginning and ending amount of the valuation allowance for the years ended December 31, 2017, 2016, or 2015 is as follows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8"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Valuation Allowance</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110,167</w:t>
            </w:r>
          </w:p>
        </w:tc>
      </w:tr>
      <w:tr>
        <w:trPr>
          <w:trHeight w:val="243"/>
        </w:trPr>
        <w:tc>
          <w:tcPr>
            <w:tcW w:w="9600" w:type="dxa"/>
            <w:vAlign w:val="bottom"/>
          </w:tcPr>
          <w:p>
            <w:pPr>
              <w:ind w:left="380"/>
              <w:spacing w:after="0"/>
              <w:rPr>
                <w:sz w:val="20"/>
                <w:szCs w:val="20"/>
                <w:color w:val="auto"/>
              </w:rPr>
            </w:pPr>
            <w:r>
              <w:rPr>
                <w:rFonts w:ascii="Arial" w:cs="Arial" w:eastAsia="Arial" w:hAnsi="Arial"/>
                <w:sz w:val="18"/>
                <w:szCs w:val="18"/>
                <w:color w:val="auto"/>
              </w:rPr>
              <w:t>Charges to earnings</w:t>
            </w: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other accounts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13,970</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124,137</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earnings</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600" w:type="dxa"/>
            <w:vAlign w:val="bottom"/>
          </w:tcPr>
          <w:p>
            <w:pPr>
              <w:ind w:left="380"/>
              <w:spacing w:after="0"/>
              <w:rPr>
                <w:sz w:val="20"/>
                <w:szCs w:val="20"/>
                <w:color w:val="auto"/>
              </w:rPr>
            </w:pPr>
            <w:r>
              <w:rPr>
                <w:rFonts w:ascii="Arial" w:cs="Arial" w:eastAsia="Arial" w:hAnsi="Arial"/>
                <w:sz w:val="18"/>
                <w:szCs w:val="18"/>
                <w:color w:val="auto"/>
              </w:rPr>
              <w:t>Charges to other accounts</w:t>
            </w: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22,148</w:t>
            </w:r>
          </w:p>
        </w:tc>
      </w:tr>
      <w:tr>
        <w:trPr>
          <w:trHeight w:val="27"/>
        </w:trPr>
        <w:tc>
          <w:tcPr>
            <w:tcW w:w="9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146,285</w:t>
            </w:r>
          </w:p>
        </w:tc>
      </w:tr>
      <w:tr>
        <w:trPr>
          <w:trHeight w:val="243"/>
        </w:trPr>
        <w:tc>
          <w:tcPr>
            <w:tcW w:w="9600" w:type="dxa"/>
            <w:vAlign w:val="bottom"/>
          </w:tcPr>
          <w:p>
            <w:pPr>
              <w:ind w:left="380"/>
              <w:spacing w:after="0"/>
              <w:rPr>
                <w:sz w:val="20"/>
                <w:szCs w:val="20"/>
                <w:color w:val="auto"/>
              </w:rPr>
            </w:pPr>
            <w:r>
              <w:rPr>
                <w:rFonts w:ascii="Arial" w:cs="Arial" w:eastAsia="Arial" w:hAnsi="Arial"/>
                <w:sz w:val="18"/>
                <w:szCs w:val="18"/>
                <w:color w:val="auto"/>
              </w:rPr>
              <w:t>Charges to earnings</w:t>
            </w:r>
          </w:p>
        </w:tc>
        <w:tc>
          <w:tcPr>
            <w:tcW w:w="200" w:type="dxa"/>
            <w:vAlign w:val="bottom"/>
          </w:tcPr>
          <w:p>
            <w:pPr>
              <w:spacing w:after="0"/>
              <w:rPr>
                <w:sz w:val="21"/>
                <w:szCs w:val="21"/>
                <w:color w:val="auto"/>
              </w:rPr>
            </w:pPr>
          </w:p>
        </w:tc>
        <w:tc>
          <w:tcPr>
            <w:tcW w:w="1620" w:type="dxa"/>
            <w:vAlign w:val="bottom"/>
          </w:tcPr>
          <w:p>
            <w:pPr>
              <w:jc w:val="right"/>
              <w:ind w:right="12"/>
              <w:spacing w:after="0"/>
              <w:rPr>
                <w:sz w:val="20"/>
                <w:szCs w:val="20"/>
                <w:color w:val="auto"/>
              </w:rPr>
            </w:pPr>
            <w:r>
              <w:rPr>
                <w:rFonts w:ascii="Arial" w:cs="Arial" w:eastAsia="Arial" w:hAnsi="Arial"/>
                <w:sz w:val="18"/>
                <w:szCs w:val="18"/>
                <w:color w:val="auto"/>
              </w:rPr>
              <w:t>830</w:t>
            </w:r>
          </w:p>
        </w:tc>
      </w:tr>
      <w:tr>
        <w:trPr>
          <w:trHeight w:val="27"/>
        </w:trPr>
        <w:tc>
          <w:tcPr>
            <w:tcW w:w="9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to other accounts</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(27,887)</w:t>
            </w:r>
          </w:p>
        </w:tc>
      </w:tr>
      <w:tr>
        <w:trPr>
          <w:trHeight w:val="257"/>
        </w:trPr>
        <w:tc>
          <w:tcPr>
            <w:tcW w:w="960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119,228</w:t>
            </w:r>
          </w:p>
        </w:tc>
      </w:tr>
      <w:tr>
        <w:trPr>
          <w:trHeight w:val="20"/>
        </w:trPr>
        <w:tc>
          <w:tcPr>
            <w:tcW w:w="9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2017, we had net operating loss carryforwards for U.S. federal income tax purposes of $402.7 million, which expire in the years</w:t>
      </w:r>
    </w:p>
    <w:p>
      <w:pPr>
        <w:spacing w:after="0" w:line="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2021 through 2038, and U.S. federal research and development tax credits of $8.3 million, which expire in the years 2021 through 2038. As of December 31, 2017, we had net operating loss carryforwards for state income tax purposes of $163.6 million, which expire beginning in 2018 through 2038, and California research and development tax credits of $10.4 million, which do not expire. As of December 31, 2017, we had foreign net operating loss carryforwards of $1.6 million, which expire in the years 2018 through 2038.</w:t>
      </w:r>
    </w:p>
    <w:p>
      <w:pPr>
        <w:spacing w:after="0" w:line="19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Utilization of the net operating loss carryforwards and credits may be subject to a substantial annual limitation due to the ownership change limitations provided by Section 382 of the Internal Revenue Code of 1986, as amended, and similar state provisions. The annual limitation may result in the expiration of net operating losses and credits before utilization. In 2015, we completed a Section 382 analysis for the period from our inception in May 1999 through December 31, 2015, which excluded the net operating loss carryforwards for DVS prior to the acquisition, and determined that an ownership change as defined under Section 382 occurred in November 2001, which resulted in a reduction to our U.S. federal net operating losses by $1.2 million. In 2016 and 2017, we continued the Section 382 analysis through December 31, 2017 and determined that an ownership change did not occur during the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aggregate changes in the balance of our gross unrecognized tax benefits during 2017, 2016, and 2015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7,672</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Decreases in balances related to tax position taken during prior period</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8,662</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balances related to tax positions taken during a prior period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1,673</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9,333</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balances related to tax positions taken during a prior period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9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7,317</w:t>
            </w:r>
          </w:p>
        </w:tc>
      </w:tr>
      <w:tr>
        <w:trPr>
          <w:trHeight w:val="20"/>
        </w:trPr>
        <w:tc>
          <w:tcPr>
            <w:tcW w:w="9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Accrued interest and penalties related to unrecognized tax benefits were included in the income tax provision and are immaterial as of December 31, 2017 and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52" w:right="239" w:bottom="1440" w:gutter="0" w:footer="0" w:header="0"/>
        </w:sectPr>
      </w:pPr>
    </w:p>
    <w:bookmarkStart w:id="93" w:name="page94"/>
    <w:bookmarkEnd w:id="93"/>
    <w:p>
      <w:pPr>
        <w:ind w:right="200" w:firstLine="432"/>
        <w:spacing w:after="0" w:line="277" w:lineRule="auto"/>
        <w:rPr>
          <w:sz w:val="20"/>
          <w:szCs w:val="20"/>
          <w:color w:val="auto"/>
        </w:rPr>
      </w:pPr>
      <w:r>
        <w:rPr>
          <w:rFonts w:ascii="Arial" w:cs="Arial" w:eastAsia="Arial" w:hAnsi="Arial"/>
          <w:sz w:val="18"/>
          <w:szCs w:val="18"/>
          <w:color w:val="auto"/>
        </w:rPr>
        <w:t>As of December 31, 2017, there are no unrecognized tax benefits that, if recognized, would affect our effective tax rate. We do not anticipate that our existing unrecognized tax benefits will significantly increase or decrease within the next 12 months.</w:t>
      </w:r>
    </w:p>
    <w:p>
      <w:pPr>
        <w:spacing w:after="0" w:line="170"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We file income tax returns in the United States, various states, and certain foreign jurisdictions. As a result of net operating loss carryforwards, all of our tax years are open to federal and state examination in the United States. Tax years from 2009 are open to examination in various foreign countries.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We sponsor a 401(k) savings plan for our employees in the United States that stipulates that eligible employees may elect to contribute to the plan, subject to certain limitations, up to the lesser of 90% of eligible compensation or the maximum amount allowed by the U.S. Internal Revenue Service. In 2015, the Company implemented a match formula of 100% up to $2,000 annually, following a 4-year vesting schedule. Employer matching contributions to the 401(k) plan for the year ended December 31, 2017, 2016 and 2015 was $0.5 million, $0.6 million and $0.5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Information About Geographic Areas</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operate in one reporting segment that develops, manufacturers and commercializes tools for life sciences research. Our chief executive officer manages our operations and evaluates our financial performance on a consolidated basis. For purposes of allocating resources and evaluating regional financial performance, our chief executive officer reviews separate sales information for the different regions of the world. Our general and administrative expenses and our research and development expenses are not allocated to any specific region. Most of our principal operations, other than manufacturing, and our decision-making functions are located at our corporate headquarters in the United States.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represents our total revenue by geographic area of our customers for each year presented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6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45,820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55,404</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29,739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36,772</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16,967</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5,569</w:t>
            </w: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101,937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104,446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114,712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license revenue is primarily generated in the United States.</w:t>
      </w:r>
    </w:p>
    <w:p>
      <w:pPr>
        <w:spacing w:after="0" w:line="22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had long-lived assets consisting of property and equipment, net of accumulated depreciation, in the following geographic areas for each year presented (in thousands):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6,145</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Singapore</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5,167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6,830</w:t>
            </w:r>
          </w:p>
        </w:tc>
      </w:tr>
      <w:tr>
        <w:trPr>
          <w:trHeight w:val="27"/>
        </w:trPr>
        <w:tc>
          <w:tcPr>
            <w:tcW w:w="8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3,503</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43</w:t>
            </w:r>
          </w:p>
        </w:tc>
      </w:tr>
      <w:tr>
        <w:trPr>
          <w:trHeight w:val="27"/>
        </w:trPr>
        <w:tc>
          <w:tcPr>
            <w:tcW w:w="8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r>
      <w:tr>
        <w:trPr>
          <w:trHeight w:val="257"/>
        </w:trPr>
        <w:tc>
          <w:tcPr>
            <w:tcW w:w="826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16,525</w:t>
            </w:r>
          </w:p>
        </w:tc>
      </w:tr>
      <w:tr>
        <w:trPr>
          <w:trHeight w:val="20"/>
        </w:trPr>
        <w:tc>
          <w:tcPr>
            <w:tcW w:w="8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368" w:right="279" w:bottom="1440" w:gutter="0" w:footer="0" w:header="0"/>
        </w:sectPr>
      </w:pPr>
    </w:p>
    <w:bookmarkStart w:id="94" w:name="page95"/>
    <w:bookmarkEnd w:id="94"/>
    <w:p>
      <w:pPr>
        <w:ind w:left="420"/>
        <w:spacing w:after="0"/>
        <w:rPr>
          <w:sz w:val="20"/>
          <w:szCs w:val="20"/>
          <w:color w:val="auto"/>
        </w:rPr>
      </w:pPr>
      <w:r>
        <w:rPr>
          <w:rFonts w:ascii="Arial" w:cs="Arial" w:eastAsia="Arial" w:hAnsi="Arial"/>
          <w:sz w:val="16"/>
          <w:szCs w:val="16"/>
          <w:color w:val="auto"/>
        </w:rPr>
        <w:t>Sales to customers in China represented 11% or $11.1 million, of total revenues for each of the years ended December 31, 2017 and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2015, sales to China did not exceed 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Tax Benefit Preservation Plan</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On August 1, 2017, the Tax Benefit Preservation Plan (Tax Plan) dated as of November 21, 2016 expired and all of the preferred share purchase rights distributed to the holders of our common stock pursuant to the Tax Plan expired.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At-The-Market Offering</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August 3, 2017, we entered into a Sales Agreement with Cowen and Company, LLC (Cowen) to sell shares of our common stock having aggregate sales proceeds of up to $30 million, from time to time, through an “at-the-market” equity offering program under which Cowen would act as sales agent. Under the Sales Agreement, we set the parameters for the sale of shares, including the number of shares to be issued, the time period during which sales are requested to be made, limitation on the number of shares that may be sold in any one trading day and any minimum price below which sales may not be made.</w:t>
      </w:r>
    </w:p>
    <w:p>
      <w:pPr>
        <w:spacing w:after="0" w:line="188"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On August 10, 2017, we sold 9.1 million shares of our common stock, $0.001 par value per share, through Cowen acting as our agent, for aggregate gross proceeds of $30 million. Our aggregate net proceeds from such sales were approximately $28.8 million, after deducting related expenses, including commissions to Cowen of approximately $0.7 million and issuance costs of approximately $0.5 million. These sales fully exhausted the shares that were available for sale under the Sales Agreement.</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00"/>
          </w:cols>
          <w:pgMar w:left="240" w:top="368"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13. Quarterly Results of Operations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Selected quarterly results of operations for the years ended December 31, 2017 and 2016 are as follows (in thousands, except for per share amounts):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2017</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63" w:lineRule="exact"/>
        <w:rPr>
          <w:sz w:val="20"/>
          <w:szCs w:val="20"/>
          <w:color w:val="auto"/>
        </w:rPr>
      </w:pPr>
    </w:p>
    <w:p>
      <w:pPr>
        <w:ind w:left="40" w:right="1820"/>
        <w:spacing w:after="0" w:line="367" w:lineRule="auto"/>
        <w:rPr>
          <w:sz w:val="20"/>
          <w:szCs w:val="20"/>
          <w:color w:val="auto"/>
        </w:rPr>
      </w:pPr>
      <w:r>
        <w:rPr>
          <w:rFonts w:ascii="Arial" w:cs="Arial" w:eastAsia="Arial" w:hAnsi="Arial"/>
          <w:sz w:val="18"/>
          <w:szCs w:val="18"/>
          <w:color w:val="auto"/>
        </w:rPr>
        <w:t xml:space="preserve">Net loss per share, basic and diluted </w:t>
      </w:r>
      <w:r>
        <w:rPr>
          <w:rFonts w:ascii="Arial" w:cs="Arial" w:eastAsia="Arial" w:hAnsi="Arial"/>
          <w:sz w:val="18"/>
          <w:szCs w:val="18"/>
          <w:b w:val="1"/>
          <w:bCs w:val="1"/>
          <w:i w:val="1"/>
          <w:iCs w:val="1"/>
          <w:u w:val="single" w:color="auto"/>
          <w:color w:val="auto"/>
        </w:rPr>
        <w:t>2016</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Net loss per share, basic and diluted</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r>
      <w:tr>
        <w:trPr>
          <w:trHeight w:val="243"/>
        </w:trPr>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25,533</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23,912</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24,747</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27,745</w:t>
            </w:r>
          </w:p>
        </w:tc>
      </w:tr>
      <w:tr>
        <w:trPr>
          <w:trHeight w:val="27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(17,202)</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(16,933)</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(15,944)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(10,456)</w:t>
            </w:r>
          </w:p>
        </w:tc>
      </w:tr>
      <w:tr>
        <w:trPr>
          <w:trHeight w:val="27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180"/>
        </w:trPr>
        <w:tc>
          <w:tcPr>
            <w:tcW w:w="30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Second</w:t>
            </w: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5"/>
                <w:szCs w:val="15"/>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Pr>
          <w:p>
            <w:pPr>
              <w:spacing w:after="0"/>
              <w:rPr>
                <w:sz w:val="16"/>
                <w:szCs w:val="16"/>
                <w:color w:val="auto"/>
              </w:rPr>
            </w:pPr>
          </w:p>
        </w:tc>
        <w:tc>
          <w:tcPr>
            <w:tcW w:w="1180" w:type="dxa"/>
            <w:vAlign w:val="bottom"/>
          </w:tcPr>
          <w:p>
            <w:pPr>
              <w:jc w:val="center"/>
              <w:ind w:right="197"/>
              <w:spacing w:after="0"/>
              <w:rPr>
                <w:sz w:val="20"/>
                <w:szCs w:val="20"/>
                <w:color w:val="auto"/>
              </w:rPr>
            </w:pPr>
            <w:r>
              <w:rPr>
                <w:rFonts w:ascii="Arial" w:cs="Arial" w:eastAsia="Arial" w:hAnsi="Arial"/>
                <w:sz w:val="14"/>
                <w:szCs w:val="14"/>
                <w:b w:val="1"/>
                <w:bCs w:val="1"/>
                <w:color w:val="auto"/>
                <w:w w:val="98"/>
              </w:rPr>
              <w:t>Quarter</w:t>
            </w:r>
          </w:p>
        </w:tc>
      </w:tr>
      <w:tr>
        <w:trPr>
          <w:trHeight w:val="243"/>
        </w:trPr>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29,003</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28,168</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22,191</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25,084</w:t>
            </w:r>
          </w:p>
        </w:tc>
      </w:tr>
      <w:tr>
        <w:trPr>
          <w:trHeight w:val="27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(19,884)</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(18,617)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(19,787)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(17,697)</w:t>
            </w:r>
          </w:p>
        </w:tc>
      </w:tr>
      <w:tr>
        <w:trPr>
          <w:trHeight w:val="27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-1251585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-899795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-505460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-153670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60"/>
          </w:cols>
          <w:pgMar w:left="240" w:top="364" w:right="239" w:bottom="1440" w:gutter="0" w:footer="0" w:header="0"/>
          <w:type w:val="continuous"/>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364" w:right="2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14. Subsequent Event</w:t>
      </w:r>
    </w:p>
    <w:p>
      <w:pPr>
        <w:spacing w:after="0" w:line="229"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On March 2, 2018, we entered into separate privately negotiated agreements with certain holders our Original Notes to exchange in a private placement (Exchange Transactions) approximately $125.0 million in aggregate principal amount of our Original Notes for approximately $125.0 million in aggregate principal amount of our Exchange Notes. Each $1,000 principal amount of Original Notes was exchanged for $1,000 principal amount of Exchange Notes. Approximately $76.3 million in aggregate principal amount of Original Notes will remain outstanding.</w:t>
      </w:r>
    </w:p>
    <w:p>
      <w:pPr>
        <w:spacing w:after="0" w:line="171"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The issuance of the Exchange Notes in the Exchange Transactions closed on March 6, 2018 and in connection with the Exchange Transactions, we entered into a Second Supplemental Indenture (Supplemental Indenture) to the Indenture, dated February 4, 2014, with U.S. Bank National Association, as trustee (Base Indenture, and together with the Supplemental Indenture, the Indenture).</w:t>
      </w:r>
    </w:p>
    <w:p>
      <w:pPr>
        <w:spacing w:after="0" w:line="18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Exchange Notes have an interest rate of 2.75% per year per $1,000, which accrue on the principal amount of Exchange Notes, payable in cash semi-annually in arrears on February 1 and August 1 of each year, beginning February 1, 2018, and will mature on February 1, 2034, unless earlier repurchased, redeemed or converted. The Exchange Notes have an initial conversion rate of 126.9438 shares of our common stock, par value $0.001 per share, per $1,000 principal amount (which is equivalent to an initial conversion price of approximately $7.88 per share), subject to adjustment, and are convertible into cash, shares of our common stock or a combination of cash and common stock, at our election. The Exchange Notes are convertible at the option of the holder at any time prior to the business day immediately preceding the maturity date for the Exchange Notes. The Exchange Notes are also convertible at our option upon certain conditions specified in the Indenture for the Exchange Notes (the issuer’s conversion option).</w:t>
      </w:r>
    </w:p>
    <w:p>
      <w:pPr>
        <w:spacing w:after="0" w:line="16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Holders of the Exchange Notes have the right, at their option, to require us to purchase their Exchange Notes (i) on February 6, 2023, February 6, 2026 and February 6, 2029 or (ii) in the event of a “fundamental change” as defined in the Indenture, in each case, at a repurchase price equal to 100% of the accreted principal amount (i.e., up to 120% of the outstanding principal amount) of the Exchange Notes on the fundamental change repurchase date, plus accrued and unpaid interest. Holders who convert their Exchange Notes voluntarily prior to our exercise of the issuer’s conversion option or in connection with a make-whole fundamental change prior to February 6, 2023 are entitled, under certain circumstances, to a make-whole premium in the form of an increase in the conversion rate determined by reference to a make-whole table set forth in the Indenture. On or after February 6, 2022, we may elect to redeem all or any portion of the Exchange Notes at a redemption price equal to 100% of the accreted principal amount (i.e., up to 120% of the outstanding principal amount) of the Exchange Notes on the redemption date of the Exchange Notes, plus accrued and unpaid interest.</w:t>
      </w:r>
    </w:p>
    <w:p>
      <w:pPr>
        <w:spacing w:after="0" w:line="17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Exchange Notes are our senior unsecured obligations and rank senior in right of payment to any of our indebtedness that is expressly subordinated in right of payment to the Exchange Notes, rank equally in right of payment with any of our unsecured indebtedness that is not so subordinated, are effectively junior in right of payment to any of our secured indebtedness to the extent of the value of the assets securing such indebtedness and are structurally subordinated to all indebtedness and other liabilities of our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4" w:right="239" w:bottom="1440" w:gutter="0" w:footer="0" w:header="0"/>
        </w:sectPr>
      </w:pPr>
    </w:p>
    <w:bookmarkStart w:id="97" w:name="page98"/>
    <w:bookmarkEnd w:id="97"/>
    <w:p>
      <w:pPr>
        <w:ind w:right="180"/>
        <w:spacing w:after="0" w:line="264" w:lineRule="auto"/>
        <w:rPr>
          <w:sz w:val="20"/>
          <w:szCs w:val="20"/>
          <w:color w:val="auto"/>
        </w:rPr>
      </w:pPr>
      <w:r>
        <w:rPr>
          <w:rFonts w:ascii="Arial" w:cs="Arial" w:eastAsia="Arial" w:hAnsi="Arial"/>
          <w:sz w:val="18"/>
          <w:szCs w:val="18"/>
          <w:color w:val="auto"/>
        </w:rPr>
        <w:t>management necessarily applies its judgment in evaluating the cost-benefit relationship of possible controls and procedures. Based on the evaluation of our disclosure controls and procedures as of December 31, 2017, our Chief Executive Officer and Chief Financial Officer concluded that, as of such date, our disclosure controls and procedures were effective at the reasonable assurance level.</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2017. Management based its assessment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Based on that evaluation, our management concluded that our internal control over financial reporting was effective as of December 31, 2017.</w:t>
      </w:r>
    </w:p>
    <w:p>
      <w:pPr>
        <w:spacing w:after="0" w:line="193"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December 31, 2017 has been audited by PricewaterhouseCoopers, LLP, an independent registered public accounting firm, as stated in their report included in this Annual Report on Form 10-K.</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December 31, 2017 that have materially affected, or are reasonably likely to materially affect, our internal control over financial reporting.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Inherent Limitations on the Effectiveness of Controls</w:t>
      </w:r>
    </w:p>
    <w:p>
      <w:pPr>
        <w:spacing w:after="0" w:line="225"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746" w:right="299" w:bottom="1440" w:gutter="0" w:footer="0" w:header="0"/>
        </w:sectPr>
      </w:pPr>
    </w:p>
    <w:bookmarkStart w:id="98" w:name="page99"/>
    <w:bookmarkEnd w:id="98"/>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called for by this item will be set forth in our Proxy Statement for the Annual Meeting of Stockholders to be filed with the SEC within 120 days of the fiscal year ended December 31, 2017 and is incorporated herein by reference.</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board of directors has adopted a Code of Ethics and Conduct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www.fluidigm.com. We will post any amendments to our code of business conduct and ethics, or waivers of its requirements, on our website.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will be set forth in our Proxy Statement and is incorporated herein by reference.</w:t>
      </w:r>
    </w:p>
    <w:p>
      <w:pPr>
        <w:spacing w:after="0" w:line="221" w:lineRule="exact"/>
        <w:rPr>
          <w:sz w:val="20"/>
          <w:szCs w:val="20"/>
          <w:color w:val="auto"/>
        </w:rPr>
      </w:pPr>
    </w:p>
    <w:p>
      <w:pPr>
        <w:ind w:left="820" w:right="66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if any, required by this item will be set forth in our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if any, required by this item will be set forth in our Proxy Statement and is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742" w:right="319" w:bottom="1440" w:gutter="0" w:footer="0" w:header="0"/>
        </w:sectPr>
      </w:pPr>
    </w:p>
    <w:bookmarkStart w:id="99" w:name="page100"/>
    <w:bookmarkEnd w:id="99"/>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See “Index to Consolidated Financial Statements” in Part II, Item 8 of this Form 10-K.</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 </w:t>
      </w:r>
      <w:r>
        <w:rPr>
          <w:rFonts w:ascii="Arial" w:cs="Arial" w:eastAsia="Arial" w:hAnsi="Arial"/>
          <w:sz w:val="18"/>
          <w:szCs w:val="18"/>
          <w:color w:val="auto"/>
        </w:rPr>
        <w:t>See “Index to Consolidated Financial Statements” in Part II, Item 8 of this Form 10-K.</w:t>
      </w:r>
    </w:p>
    <w:p>
      <w:pPr>
        <w:spacing w:after="0" w:line="117" w:lineRule="exact"/>
        <w:rPr>
          <w:rFonts w:ascii="Arial" w:cs="Arial" w:eastAsia="Arial" w:hAnsi="Arial"/>
          <w:sz w:val="18"/>
          <w:szCs w:val="18"/>
          <w:color w:val="auto"/>
        </w:rPr>
      </w:pPr>
    </w:p>
    <w:p>
      <w:pPr>
        <w:ind w:firstLine="8"/>
        <w:spacing w:after="0" w:line="282"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listed in the accompanying Index to Exhibits are filed herewith or are incorporated by reference to exhibits previously filed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U.S. Securities and Exchange Commission.</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742" w:right="29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Additions/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Accounts receivable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642"/>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Balance at</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Additions/</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9"/>
              <w:spacing w:after="0" w:line="15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20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Period</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Expense</w:t>
            </w:r>
          </w:p>
        </w:tc>
        <w:tc>
          <w:tcPr>
            <w:tcW w:w="3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Warranty allowance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20"/>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918"/>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78"/>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4"/>
          </w:tcPr>
          <w:p>
            <w:pPr>
              <w:jc w:val="center"/>
              <w:ind w:left="9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85"/>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26"/>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60" w:type="dxa"/>
            <w:vAlign w:val="bottom"/>
            <w:gridSpan w:val="2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bottom w:val="single" w:sz="8" w:color="auto"/>
            </w:tcBorders>
            <w:vMerge w:val="restart"/>
          </w:tcPr>
          <w:p>
            <w:pPr>
              <w:ind w:left="140"/>
              <w:spacing w:after="0"/>
              <w:rPr>
                <w:sz w:val="20"/>
                <w:szCs w:val="20"/>
                <w:color w:val="auto"/>
              </w:rPr>
            </w:pPr>
            <w:r>
              <w:rPr>
                <w:rFonts w:ascii="Arial" w:cs="Arial" w:eastAsia="Arial" w:hAnsi="Arial"/>
                <w:sz w:val="18"/>
                <w:szCs w:val="18"/>
                <w:color w:val="auto"/>
              </w:rPr>
              <w:t>2.1</w:t>
            </w: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0"/>
          </w:tcPr>
          <w:p>
            <w:pPr>
              <w:spacing w:after="0" w:line="196" w:lineRule="exact"/>
              <w:rPr>
                <w:rFonts w:ascii="Arial" w:cs="Arial" w:eastAsia="Arial" w:hAnsi="Arial"/>
                <w:sz w:val="18"/>
                <w:szCs w:val="18"/>
                <w:color w:val="0000FF"/>
                <w:w w:val="99"/>
              </w:rPr>
            </w:pPr>
            <w:hyperlink r:id="rId22">
              <w:r>
                <w:rPr>
                  <w:rFonts w:ascii="Arial" w:cs="Arial" w:eastAsia="Arial" w:hAnsi="Arial"/>
                  <w:sz w:val="18"/>
                  <w:szCs w:val="18"/>
                  <w:color w:val="0000FF"/>
                  <w:w w:val="99"/>
                </w:rPr>
                <w:t>Agreement and Plan of Merger dated January 28, 2014 by and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22">
              <w:r>
                <w:rPr>
                  <w:rFonts w:ascii="Arial" w:cs="Arial" w:eastAsia="Arial" w:hAnsi="Arial"/>
                  <w:sz w:val="18"/>
                  <w:szCs w:val="18"/>
                  <w:color w:val="0000FF"/>
                  <w:w w:val="92"/>
                </w:rPr>
                <w:t>among Fluidigm Corporation, DVS Sciences, Inc., Dawid Merger</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Sub, Inc. and Shareholder Representative Services LLC.</w:t>
              </w:r>
            </w:hyperlink>
          </w:p>
        </w:tc>
        <w:tc>
          <w:tcPr>
            <w:tcW w:w="9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20" w:type="dxa"/>
            <w:vAlign w:val="bottom"/>
            <w:tcBorders>
              <w:bottom w:val="single" w:sz="8" w:color="0000FF"/>
            </w:tcBorders>
            <w:gridSpan w:val="18"/>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Eighth Amended and Restated Certificate of Incorporation of</w:t>
              </w:r>
            </w:hyperlink>
          </w:p>
        </w:tc>
        <w:tc>
          <w:tcPr>
            <w:tcW w:w="56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Fluidigm Corporation filed on February 15, 2011.</w:t>
              </w:r>
            </w:hyperlink>
          </w:p>
        </w:tc>
        <w:tc>
          <w:tcPr>
            <w:tcW w:w="13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0"/>
          </w:tcPr>
          <w:p>
            <w:pPr>
              <w:spacing w:after="0"/>
              <w:rPr>
                <w:rFonts w:ascii="Arial" w:cs="Arial" w:eastAsia="Arial" w:hAnsi="Arial"/>
                <w:sz w:val="18"/>
                <w:szCs w:val="18"/>
                <w:color w:val="0000FF"/>
                <w:w w:val="96"/>
              </w:rPr>
            </w:pPr>
            <w:hyperlink r:id="rId24">
              <w:r>
                <w:rPr>
                  <w:rFonts w:ascii="Arial" w:cs="Arial" w:eastAsia="Arial" w:hAnsi="Arial"/>
                  <w:sz w:val="18"/>
                  <w:szCs w:val="18"/>
                  <w:color w:val="0000FF"/>
                  <w:w w:val="96"/>
                </w:rPr>
                <w:t>Amended and Restated Bylaws of Fluidigm Corporation effective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as of February 9, 2011.</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3.3</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tcBorders>
              <w:bottom w:val="single" w:sz="8" w:color="0000FF"/>
            </w:tcBorders>
            <w:gridSpan w:val="27"/>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Certificate of Designation of Rights, Preferences and Privileges of</w:t>
              </w:r>
            </w:hyperlink>
          </w:p>
        </w:tc>
        <w:tc>
          <w:tcPr>
            <w:tcW w:w="1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Series A Participating Preferred Stock.</w:t>
              </w:r>
            </w:hyperlink>
          </w:p>
        </w:tc>
        <w:tc>
          <w:tcPr>
            <w:tcW w:w="21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3.4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0"/>
          </w:tcPr>
          <w:p>
            <w:pP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Certificate of Elimination of Series A Participating Preferred Stock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of Fluidigm Corporation.</w:t>
              </w:r>
            </w:hyperlink>
          </w:p>
        </w:tc>
        <w:tc>
          <w:tcPr>
            <w:tcW w:w="3020" w:type="dxa"/>
            <w:vAlign w:val="bottom"/>
            <w:tcBorders>
              <w:top w:val="single" w:sz="8" w:color="0000FF"/>
            </w:tcBorders>
            <w:gridSpan w:val="24"/>
          </w:tcPr>
          <w:p>
            <w:pPr>
              <w:spacing w:after="0"/>
              <w:rPr>
                <w:sz w:val="17"/>
                <w:szCs w:val="17"/>
                <w:color w:val="auto"/>
              </w:rPr>
            </w:pP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60" w:type="dxa"/>
            <w:vAlign w:val="bottom"/>
            <w:tcBorders>
              <w:bottom w:val="single" w:sz="8" w:color="0000FF"/>
            </w:tcBorders>
            <w:gridSpan w:val="22"/>
          </w:tcPr>
          <w:p>
            <w:pPr>
              <w:spacing w:after="0"/>
              <w:rPr>
                <w:rFonts w:ascii="Arial" w:cs="Arial" w:eastAsia="Arial" w:hAnsi="Arial"/>
                <w:sz w:val="18"/>
                <w:szCs w:val="18"/>
                <w:color w:val="0000FF"/>
                <w:w w:val="92"/>
              </w:rPr>
            </w:pPr>
            <w:hyperlink r:id="rId27">
              <w:r>
                <w:rPr>
                  <w:rFonts w:ascii="Arial" w:cs="Arial" w:eastAsia="Arial" w:hAnsi="Arial"/>
                  <w:sz w:val="18"/>
                  <w:szCs w:val="18"/>
                  <w:color w:val="0000FF"/>
                  <w:w w:val="92"/>
                </w:rPr>
                <w:t>Specimen Common Stock Certificate of Fluidigm Corporation.</w:t>
              </w:r>
            </w:hyperlink>
          </w:p>
        </w:tc>
        <w:tc>
          <w:tcPr>
            <w:tcW w:w="4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4.2</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80" w:type="dxa"/>
            <w:vAlign w:val="bottom"/>
            <w:tcBorders>
              <w:bottom w:val="single" w:sz="8" w:color="0000FF"/>
            </w:tcBorders>
            <w:gridSpan w:val="17"/>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Indenture, dated February 4, 2014, by and between Fluidigm</w:t>
              </w:r>
            </w:hyperlink>
          </w:p>
        </w:tc>
        <w:tc>
          <w:tcPr>
            <w:tcW w:w="60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Corporation and U.S. Bank National Association.</w:t>
              </w:r>
            </w:hyperlink>
          </w:p>
        </w:tc>
        <w:tc>
          <w:tcPr>
            <w:tcW w:w="14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4.3</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tcBorders>
              <w:bottom w:val="single" w:sz="8" w:color="0000FF"/>
            </w:tcBorders>
            <w:gridSpan w:val="19"/>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First Supplemental Indenture, dated February 4, 2014, by and</w:t>
              </w:r>
            </w:hyperlink>
          </w:p>
        </w:tc>
        <w:tc>
          <w:tcPr>
            <w:tcW w:w="50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2"/>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between Fluidigm Corporation and U.S. Bank National</w:t>
              </w:r>
            </w:hyperlink>
          </w:p>
        </w:tc>
        <w:tc>
          <w:tcPr>
            <w:tcW w:w="9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Association.</w:t>
              </w:r>
            </w:hyperlink>
          </w:p>
        </w:tc>
        <w:tc>
          <w:tcPr>
            <w:tcW w:w="40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80" w:type="dxa"/>
            <w:vAlign w:val="bottom"/>
            <w:tcBorders>
              <w:bottom w:val="single" w:sz="8" w:color="0000FF"/>
            </w:tcBorders>
            <w:gridSpan w:val="7"/>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Form of Global Note (included in Exhibit 4.3).</w:t>
              </w:r>
            </w:hyperlink>
          </w:p>
        </w:tc>
        <w:tc>
          <w:tcPr>
            <w:tcW w:w="1600" w:type="dxa"/>
            <w:vAlign w:val="bottom"/>
            <w:gridSpan w:val="2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4.5</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tcBorders>
              <w:bottom w:val="single" w:sz="8" w:color="0000FF"/>
            </w:tcBorders>
            <w:gridSpan w:val="26"/>
          </w:tcPr>
          <w:p>
            <w:pPr>
              <w:spacing w:after="0"/>
              <w:rPr>
                <w:rFonts w:ascii="Arial" w:cs="Arial" w:eastAsia="Arial" w:hAnsi="Arial"/>
                <w:sz w:val="18"/>
                <w:szCs w:val="18"/>
                <w:color w:val="0000FF"/>
                <w:w w:val="89"/>
              </w:rPr>
            </w:pPr>
            <w:hyperlink r:id="rId30">
              <w:r>
                <w:rPr>
                  <w:rFonts w:ascii="Arial" w:cs="Arial" w:eastAsia="Arial" w:hAnsi="Arial"/>
                  <w:sz w:val="18"/>
                  <w:szCs w:val="18"/>
                  <w:color w:val="0000FF"/>
                  <w:w w:val="89"/>
                </w:rPr>
                <w:t>Tax Benefit Preservation Plan, dated as of November 21, 2016, by</w:t>
              </w:r>
            </w:hyperlink>
          </w:p>
        </w:tc>
        <w:tc>
          <w:tcPr>
            <w:tcW w:w="2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4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and between Fluidigm Corporation and Computershare Inc., as</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0"/>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Rights Agent.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4.6</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80" w:type="dxa"/>
            <w:vAlign w:val="bottom"/>
            <w:tcBorders>
              <w:bottom w:val="single" w:sz="8" w:color="0000FF"/>
            </w:tcBorders>
            <w:gridSpan w:val="23"/>
          </w:tcPr>
          <w:p>
            <w:pPr>
              <w:spacing w:after="0"/>
              <w:rPr>
                <w:rFonts w:ascii="Arial" w:cs="Arial" w:eastAsia="Arial" w:hAnsi="Arial"/>
                <w:sz w:val="18"/>
                <w:szCs w:val="18"/>
                <w:color w:val="0000FF"/>
                <w:w w:val="89"/>
              </w:rPr>
            </w:pPr>
            <w:hyperlink r:id="rId31">
              <w:r>
                <w:rPr>
                  <w:rFonts w:ascii="Arial" w:cs="Arial" w:eastAsia="Arial" w:hAnsi="Arial"/>
                  <w:sz w:val="18"/>
                  <w:szCs w:val="18"/>
                  <w:color w:val="0000FF"/>
                  <w:w w:val="89"/>
                </w:rPr>
                <w:t>Second Supplemental Indenture, dated March 6, 2018, between</w:t>
              </w:r>
            </w:hyperlink>
          </w:p>
        </w:tc>
        <w:tc>
          <w:tcPr>
            <w:tcW w:w="4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15"/>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Fluidigm Corporation and U.S. Bank National Association.</w:t>
              </w:r>
            </w:hyperlink>
          </w:p>
        </w:tc>
        <w:tc>
          <w:tcPr>
            <w:tcW w:w="7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ind w:left="140"/>
              <w:spacing w:after="0"/>
              <w:rPr>
                <w:sz w:val="20"/>
                <w:szCs w:val="20"/>
                <w:color w:val="auto"/>
              </w:rPr>
            </w:pPr>
            <w:r>
              <w:rPr>
                <w:rFonts w:ascii="Arial" w:cs="Arial" w:eastAsia="Arial" w:hAnsi="Arial"/>
                <w:sz w:val="18"/>
                <w:szCs w:val="18"/>
                <w:color w:val="auto"/>
              </w:rPr>
              <w:t>4.7</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0" w:type="dxa"/>
            <w:vAlign w:val="bottom"/>
            <w:tcBorders>
              <w:bottom w:val="single" w:sz="8" w:color="0000FF"/>
            </w:tcBorders>
            <w:gridSpan w:val="9"/>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Form of Exchange Note (included in Exhibit 4.6).</w:t>
              </w:r>
            </w:hyperlink>
          </w:p>
        </w:tc>
        <w:tc>
          <w:tcPr>
            <w:tcW w:w="138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tcBorders>
              <w:bottom w:val="single" w:sz="8" w:color="0000FF"/>
            </w:tcBorders>
            <w:gridSpan w:val="11"/>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Form of Indemnification Agreement between Fluidigm</w:t>
              </w:r>
            </w:hyperlink>
          </w:p>
        </w:tc>
        <w:tc>
          <w:tcPr>
            <w:tcW w:w="100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3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Corporation and its directors and officers.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0" w:type="dxa"/>
            <w:vAlign w:val="bottom"/>
            <w:gridSpan w:val="6"/>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0"/>
          </w:tcPr>
          <w:p>
            <w:pPr>
              <w:spacing w:after="0"/>
              <w:rPr>
                <w:rFonts w:ascii="Arial" w:cs="Arial" w:eastAsia="Arial" w:hAnsi="Arial"/>
                <w:sz w:val="18"/>
                <w:szCs w:val="18"/>
                <w:color w:val="0000FF"/>
              </w:rPr>
            </w:pPr>
            <w:hyperlink r:id="rId33">
              <w:r>
                <w:rPr>
                  <w:rFonts w:ascii="Arial" w:cs="Arial" w:eastAsia="Arial" w:hAnsi="Arial"/>
                  <w:sz w:val="18"/>
                  <w:szCs w:val="18"/>
                  <w:color w:val="0000FF"/>
                </w:rPr>
                <w:t>1999 Stock Option Plan of Fluidigm Corporation, as amended.</w:t>
              </w:r>
            </w:hyperlink>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10.2A#</w:t>
            </w:r>
          </w:p>
        </w:tc>
        <w:tc>
          <w:tcPr>
            <w:tcW w:w="20" w:type="dxa"/>
            <w:vAlign w:val="bottom"/>
          </w:tcPr>
          <w:p>
            <w:pPr>
              <w:spacing w:after="0"/>
              <w:rPr>
                <w:sz w:val="21"/>
                <w:szCs w:val="21"/>
                <w:color w:val="auto"/>
              </w:rPr>
            </w:pPr>
          </w:p>
        </w:tc>
        <w:tc>
          <w:tcPr>
            <w:tcW w:w="406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Forms of agreements under the 1999 Stock Option Plan.</w:t>
              </w:r>
            </w:hyperlink>
          </w:p>
        </w:tc>
        <w:tc>
          <w:tcPr>
            <w:tcW w:w="460" w:type="dxa"/>
            <w:vAlign w:val="bottom"/>
            <w:tcBorders>
              <w:top w:val="single" w:sz="8" w:color="0000FF"/>
            </w:tcBorders>
            <w:gridSpan w:val="7"/>
          </w:tcPr>
          <w:p>
            <w:pPr>
              <w:spacing w:after="0"/>
              <w:rPr>
                <w:sz w:val="21"/>
                <w:szCs w:val="21"/>
                <w:color w:val="auto"/>
              </w:rPr>
            </w:pPr>
          </w:p>
        </w:tc>
        <w:tc>
          <w:tcPr>
            <w:tcW w:w="46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80" w:type="dxa"/>
            <w:vAlign w:val="bottom"/>
            <w:gridSpan w:val="30"/>
          </w:tcPr>
          <w:p>
            <w:pPr>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2009 Equity Incentive Plan of Fluidigm Corporation, as amended.</w:t>
              </w:r>
            </w:hyperlink>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10.3A#</w:t>
            </w:r>
          </w:p>
        </w:tc>
        <w:tc>
          <w:tcPr>
            <w:tcW w:w="20" w:type="dxa"/>
            <w:vAlign w:val="bottom"/>
          </w:tcPr>
          <w:p>
            <w:pPr>
              <w:spacing w:after="0"/>
              <w:rPr>
                <w:sz w:val="21"/>
                <w:szCs w:val="21"/>
                <w:color w:val="auto"/>
              </w:rPr>
            </w:pPr>
          </w:p>
        </w:tc>
        <w:tc>
          <w:tcPr>
            <w:tcW w:w="430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Forms of agreements under the 2009 Equity Incentive Plan.</w:t>
              </w:r>
            </w:hyperlink>
          </w:p>
        </w:tc>
        <w:tc>
          <w:tcPr>
            <w:tcW w:w="460" w:type="dxa"/>
            <w:vAlign w:val="bottom"/>
            <w:tcBorders>
              <w:top w:val="single" w:sz="8" w:color="0000FF"/>
            </w:tcBorders>
            <w:gridSpan w:val="9"/>
          </w:tcPr>
          <w:p>
            <w:pPr>
              <w:spacing w:after="0"/>
              <w:rPr>
                <w:sz w:val="21"/>
                <w:szCs w:val="21"/>
                <w:color w:val="auto"/>
              </w:rPr>
            </w:pPr>
          </w:p>
        </w:tc>
        <w:tc>
          <w:tcPr>
            <w:tcW w:w="2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20" w:type="dxa"/>
            <w:vAlign w:val="bottom"/>
            <w:tcBorders>
              <w:bottom w:val="single" w:sz="8" w:color="0000FF"/>
            </w:tcBorders>
            <w:gridSpan w:val="10"/>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2011 Equity Incentive Plan of Fluidigm Corporation.</w:t>
              </w:r>
            </w:hyperlink>
          </w:p>
        </w:tc>
        <w:tc>
          <w:tcPr>
            <w:tcW w:w="116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00" w:type="dxa"/>
            <w:vAlign w:val="bottom"/>
            <w:gridSpan w:val="16"/>
          </w:tcPr>
          <w:p>
            <w:pPr>
              <w:jc w:val="right"/>
              <w:ind w:right="12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1/29/2014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11/22/2016</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S-8</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11/22/2016</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3/6/2018</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3/6/2018</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10.2A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10.3A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bl>
    <w:p>
      <w:pPr>
        <w:sectPr>
          <w:pgSz w:w="11900" w:h="16838" w:orient="portrait"/>
          <w:cols w:equalWidth="0" w:num="2">
            <w:col w:w="6620" w:space="20"/>
            <w:col w:w="4760"/>
          </w:cols>
          <w:pgMar w:left="240" w:top="1053" w:right="259" w:bottom="1440" w:gutter="0" w:footer="0" w:header="0"/>
        </w:sectPr>
      </w:pPr>
    </w:p>
    <w:bookmarkStart w:id="102" w:name="page103"/>
    <w:bookmarkEnd w:id="102"/>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24"/>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2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580" w:type="dxa"/>
            <w:vAlign w:val="bottom"/>
            <w:gridSpan w:val="2"/>
            <w:vMerge w:val="restart"/>
          </w:tcPr>
          <w:p>
            <w:pPr>
              <w:spacing w:after="0"/>
              <w:rPr>
                <w:sz w:val="20"/>
                <w:szCs w:val="20"/>
                <w:color w:val="auto"/>
              </w:rPr>
            </w:pPr>
            <w:r>
              <w:rPr>
                <w:rFonts w:ascii="Arial" w:cs="Arial" w:eastAsia="Arial" w:hAnsi="Arial"/>
                <w:sz w:val="18"/>
                <w:szCs w:val="18"/>
                <w:color w:val="auto"/>
              </w:rPr>
              <w:t>10.4A#</w:t>
            </w: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5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Forms of agreements under the 2011 Equity Incentive Plan.</w:t>
              </w:r>
            </w:hyperlink>
          </w:p>
        </w:tc>
        <w:tc>
          <w:tcPr>
            <w:tcW w:w="5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10.4B#</w:t>
            </w:r>
          </w:p>
        </w:tc>
        <w:tc>
          <w:tcPr>
            <w:tcW w:w="20" w:type="dxa"/>
            <w:vAlign w:val="bottom"/>
          </w:tcPr>
          <w:p>
            <w:pPr>
              <w:spacing w:after="0"/>
              <w:rPr>
                <w:sz w:val="21"/>
                <w:szCs w:val="21"/>
                <w:color w:val="auto"/>
              </w:rPr>
            </w:pPr>
          </w:p>
        </w:tc>
        <w:tc>
          <w:tcPr>
            <w:tcW w:w="4680" w:type="dxa"/>
            <w:vAlign w:val="bottom"/>
            <w:tcBorders>
              <w:bottom w:val="single" w:sz="8" w:color="0000FF"/>
            </w:tcBorders>
            <w:gridSpan w:val="26"/>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Amendments to the Fluidigm Corporation 2011 Equity Incentive</w:t>
              </w:r>
            </w:hyperlink>
          </w:p>
        </w:tc>
        <w:tc>
          <w:tcPr>
            <w:tcW w:w="2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1"/>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Plan, 2009 Equity Incentive Plan, and 1999 Stock Option Plan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the DVS Sciences, Inc. 2010 Equity Incentive Plan.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10.4C#</w:t>
            </w:r>
          </w:p>
        </w:tc>
        <w:tc>
          <w:tcPr>
            <w:tcW w:w="20" w:type="dxa"/>
            <w:vAlign w:val="bottom"/>
          </w:tcPr>
          <w:p>
            <w:pPr>
              <w:spacing w:after="0"/>
              <w:rPr>
                <w:sz w:val="21"/>
                <w:szCs w:val="21"/>
                <w:color w:val="auto"/>
              </w:rPr>
            </w:pPr>
          </w:p>
        </w:tc>
        <w:tc>
          <w:tcPr>
            <w:tcW w:w="4660" w:type="dxa"/>
            <w:vAlign w:val="bottom"/>
            <w:tcBorders>
              <w:bottom w:val="single" w:sz="8" w:color="0000FF"/>
            </w:tcBorders>
            <w:gridSpan w:val="25"/>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Forms of U.S. agreements under the 2011 Equity Incentive Plan.</w:t>
              </w:r>
            </w:hyperlink>
          </w:p>
        </w:tc>
        <w:tc>
          <w:tcPr>
            <w:tcW w:w="22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10.4D</w:t>
            </w:r>
          </w:p>
        </w:tc>
        <w:tc>
          <w:tcPr>
            <w:tcW w:w="20" w:type="dxa"/>
            <w:vAlign w:val="bottom"/>
          </w:tcPr>
          <w:p>
            <w:pPr>
              <w:spacing w:after="0"/>
              <w:rPr>
                <w:sz w:val="21"/>
                <w:szCs w:val="21"/>
                <w:color w:val="auto"/>
              </w:rPr>
            </w:pPr>
          </w:p>
        </w:tc>
        <w:tc>
          <w:tcPr>
            <w:tcW w:w="4880" w:type="dxa"/>
            <w:vAlign w:val="bottom"/>
            <w:gridSpan w:val="31"/>
          </w:tcPr>
          <w:p>
            <w:pPr>
              <w:spacing w:after="0"/>
              <w:rPr>
                <w:rFonts w:ascii="Arial" w:cs="Arial" w:eastAsia="Arial" w:hAnsi="Arial"/>
                <w:sz w:val="18"/>
                <w:szCs w:val="18"/>
                <w:color w:val="0000FF"/>
                <w:w w:val="94"/>
              </w:rPr>
            </w:pPr>
            <w:hyperlink r:id="rId41">
              <w:r>
                <w:rPr>
                  <w:rFonts w:ascii="Arial" w:cs="Arial" w:eastAsia="Arial" w:hAnsi="Arial"/>
                  <w:sz w:val="18"/>
                  <w:szCs w:val="18"/>
                  <w:color w:val="0000FF"/>
                  <w:w w:val="94"/>
                </w:rPr>
                <w:t>Rules of the Fluidigm Corporation 2011 Equity Incentive Plan for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4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Restricted Stock Unit Awards Granted to French Participants.</w:t>
              </w:r>
            </w:hyperlink>
          </w:p>
        </w:tc>
        <w:tc>
          <w:tcPr>
            <w:tcW w:w="300" w:type="dxa"/>
            <w:vAlign w:val="bottom"/>
            <w:tcBorders>
              <w:top w:val="single" w:sz="8" w:color="0000FF"/>
            </w:tcBorders>
            <w:gridSpan w:val="8"/>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10.4E</w:t>
            </w:r>
          </w:p>
        </w:tc>
        <w:tc>
          <w:tcPr>
            <w:tcW w:w="20" w:type="dxa"/>
            <w:vAlign w:val="bottom"/>
          </w:tcPr>
          <w:p>
            <w:pPr>
              <w:spacing w:after="0"/>
              <w:rPr>
                <w:sz w:val="21"/>
                <w:szCs w:val="21"/>
                <w:color w:val="auto"/>
              </w:rPr>
            </w:pPr>
          </w:p>
        </w:tc>
        <w:tc>
          <w:tcPr>
            <w:tcW w:w="4880" w:type="dxa"/>
            <w:vAlign w:val="bottom"/>
            <w:gridSpan w:val="31"/>
          </w:tcPr>
          <w:p>
            <w:pPr>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Rules of the Fluidigm Corporation 2011 Equity Incentive Plan for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top w:val="single" w:sz="8" w:color="0000FF"/>
            </w:tcBorders>
            <w:gridSpan w:val="28"/>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Options Granted to French Participants.</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10.4F</w:t>
            </w:r>
          </w:p>
        </w:tc>
        <w:tc>
          <w:tcPr>
            <w:tcW w:w="20" w:type="dxa"/>
            <w:vAlign w:val="bottom"/>
          </w:tcPr>
          <w:p>
            <w:pPr>
              <w:spacing w:after="0"/>
              <w:rPr>
                <w:sz w:val="21"/>
                <w:szCs w:val="21"/>
                <w:color w:val="auto"/>
              </w:rPr>
            </w:pPr>
          </w:p>
        </w:tc>
        <w:tc>
          <w:tcPr>
            <w:tcW w:w="4880" w:type="dxa"/>
            <w:vAlign w:val="bottom"/>
            <w:gridSpan w:val="31"/>
          </w:tcPr>
          <w:p>
            <w:pPr>
              <w:spacing w:after="0"/>
              <w:rPr>
                <w:rFonts w:ascii="Arial" w:cs="Arial" w:eastAsia="Arial" w:hAnsi="Arial"/>
                <w:sz w:val="18"/>
                <w:szCs w:val="18"/>
                <w:color w:val="0000FF"/>
                <w:w w:val="96"/>
              </w:rPr>
            </w:pPr>
            <w:hyperlink r:id="rId43">
              <w:r>
                <w:rPr>
                  <w:rFonts w:ascii="Arial" w:cs="Arial" w:eastAsia="Arial" w:hAnsi="Arial"/>
                  <w:sz w:val="18"/>
                  <w:szCs w:val="18"/>
                  <w:color w:val="0000FF"/>
                  <w:w w:val="96"/>
                </w:rPr>
                <w:t>UK Sub-plan to the Fluidigm Corporation 2011 Equity Incentive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Plan.</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10.4G#</w:t>
            </w:r>
          </w:p>
        </w:tc>
        <w:tc>
          <w:tcPr>
            <w:tcW w:w="20" w:type="dxa"/>
            <w:vAlign w:val="bottom"/>
          </w:tcPr>
          <w:p>
            <w:pPr>
              <w:spacing w:after="0"/>
              <w:rPr>
                <w:sz w:val="21"/>
                <w:szCs w:val="21"/>
                <w:color w:val="auto"/>
              </w:rPr>
            </w:pPr>
          </w:p>
        </w:tc>
        <w:tc>
          <w:tcPr>
            <w:tcW w:w="4500" w:type="dxa"/>
            <w:vAlign w:val="bottom"/>
            <w:tcBorders>
              <w:bottom w:val="single" w:sz="8" w:color="0000FF"/>
            </w:tcBorders>
            <w:gridSpan w:val="21"/>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Form of Restricted Stock Unit Agreement-Non-U.S. under the</w:t>
              </w:r>
            </w:hyperlink>
          </w:p>
        </w:tc>
        <w:tc>
          <w:tcPr>
            <w:tcW w:w="3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1"/>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2011 Equity Incentive Plan.</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10.4H#</w:t>
            </w:r>
          </w:p>
        </w:tc>
        <w:tc>
          <w:tcPr>
            <w:tcW w:w="20" w:type="dxa"/>
            <w:vAlign w:val="bottom"/>
          </w:tcPr>
          <w:p>
            <w:pPr>
              <w:spacing w:after="0"/>
              <w:rPr>
                <w:sz w:val="21"/>
                <w:szCs w:val="21"/>
                <w:color w:val="auto"/>
              </w:rPr>
            </w:pPr>
          </w:p>
        </w:tc>
        <w:tc>
          <w:tcPr>
            <w:tcW w:w="4880" w:type="dxa"/>
            <w:vAlign w:val="bottom"/>
            <w:gridSpan w:val="31"/>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Form of Stock Option Agreement-Non-U.S. under the 2011 Equity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Incentive Plan.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1"/>
                <w:szCs w:val="21"/>
                <w:color w:val="auto"/>
              </w:rPr>
            </w:pPr>
          </w:p>
        </w:tc>
        <w:tc>
          <w:tcPr>
            <w:tcW w:w="4880" w:type="dxa"/>
            <w:vAlign w:val="bottom"/>
            <w:gridSpan w:val="31"/>
          </w:tcPr>
          <w:p>
            <w:pPr>
              <w:spacing w:after="0"/>
              <w:rPr>
                <w:rFonts w:ascii="Arial" w:cs="Arial" w:eastAsia="Arial" w:hAnsi="Arial"/>
                <w:sz w:val="18"/>
                <w:szCs w:val="18"/>
                <w:color w:val="0000FF"/>
              </w:rPr>
            </w:pPr>
            <w:hyperlink r:id="rId46">
              <w:r>
                <w:rPr>
                  <w:rFonts w:ascii="Arial" w:cs="Arial" w:eastAsia="Arial" w:hAnsi="Arial"/>
                  <w:sz w:val="18"/>
                  <w:szCs w:val="18"/>
                  <w:color w:val="0000FF"/>
                </w:rPr>
                <w:t>Second Amended and Restated License Agreement by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top w:val="single" w:sz="8" w:color="0000FF"/>
            </w:tcBorders>
            <w:gridSpan w:val="16"/>
          </w:tcPr>
          <w:p>
            <w:pPr>
              <w:spacing w:after="0" w:line="19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between California Institute of Technology and Fluidigm</w:t>
              </w:r>
            </w:hyperlink>
          </w:p>
        </w:tc>
        <w:tc>
          <w:tcPr>
            <w:tcW w:w="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Corporation, effective as of May 1, 2004.</w:t>
              </w:r>
            </w:hyperlink>
          </w:p>
        </w:tc>
        <w:tc>
          <w:tcPr>
            <w:tcW w:w="7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10.5A†</w:t>
            </w:r>
          </w:p>
        </w:tc>
        <w:tc>
          <w:tcPr>
            <w:tcW w:w="20" w:type="dxa"/>
            <w:vAlign w:val="bottom"/>
          </w:tcPr>
          <w:p>
            <w:pPr>
              <w:spacing w:after="0"/>
              <w:rPr>
                <w:sz w:val="21"/>
                <w:szCs w:val="21"/>
                <w:color w:val="auto"/>
              </w:rPr>
            </w:pPr>
          </w:p>
        </w:tc>
        <w:tc>
          <w:tcPr>
            <w:tcW w:w="4280" w:type="dxa"/>
            <w:vAlign w:val="bottom"/>
            <w:tcBorders>
              <w:bottom w:val="single" w:sz="8" w:color="0000FF"/>
            </w:tcBorders>
            <w:gridSpan w:val="17"/>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First Addendum, effective as of March 29, 2007, to Second</w:t>
              </w:r>
            </w:hyperlink>
          </w:p>
        </w:tc>
        <w:tc>
          <w:tcPr>
            <w:tcW w:w="60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18"/>
          </w:tcPr>
          <w:p>
            <w:pPr>
              <w:spacing w:after="0" w:line="196" w:lineRule="exact"/>
              <w:rPr>
                <w:rFonts w:ascii="Arial" w:cs="Arial" w:eastAsia="Arial" w:hAnsi="Arial"/>
                <w:sz w:val="18"/>
                <w:szCs w:val="18"/>
                <w:color w:val="0000FF"/>
                <w:w w:val="88"/>
              </w:rPr>
            </w:pPr>
            <w:hyperlink r:id="rId47">
              <w:r>
                <w:rPr>
                  <w:rFonts w:ascii="Arial" w:cs="Arial" w:eastAsia="Arial" w:hAnsi="Arial"/>
                  <w:sz w:val="18"/>
                  <w:szCs w:val="18"/>
                  <w:color w:val="0000FF"/>
                  <w:w w:val="88"/>
                </w:rPr>
                <w:t>Amended and Restated License Agreement by and between</w:t>
              </w:r>
            </w:hyperlink>
          </w:p>
        </w:tc>
        <w:tc>
          <w:tcPr>
            <w:tcW w:w="5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California Institute of Technology and Fluidigm Corporation</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1"/>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effective as of May 1, 2004.</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1"/>
                <w:szCs w:val="21"/>
                <w:color w:val="auto"/>
              </w:rPr>
            </w:pPr>
          </w:p>
        </w:tc>
        <w:tc>
          <w:tcPr>
            <w:tcW w:w="4720" w:type="dxa"/>
            <w:vAlign w:val="bottom"/>
            <w:tcBorders>
              <w:bottom w:val="single" w:sz="8" w:color="0000FF"/>
            </w:tcBorders>
            <w:gridSpan w:val="27"/>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Co-Exclusive License Agreement between President and Fellows</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of Harvard College and Fluidigm Corporation effective as of</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1"/>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October 15, 2000.</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10.6A†</w:t>
            </w:r>
          </w:p>
        </w:tc>
        <w:tc>
          <w:tcPr>
            <w:tcW w:w="20" w:type="dxa"/>
            <w:vAlign w:val="bottom"/>
          </w:tcPr>
          <w:p>
            <w:pPr>
              <w:spacing w:after="0"/>
              <w:rPr>
                <w:sz w:val="21"/>
                <w:szCs w:val="21"/>
                <w:color w:val="auto"/>
              </w:rPr>
            </w:pPr>
          </w:p>
        </w:tc>
        <w:tc>
          <w:tcPr>
            <w:tcW w:w="4580" w:type="dxa"/>
            <w:vAlign w:val="bottom"/>
            <w:tcBorders>
              <w:bottom w:val="single" w:sz="8" w:color="0000FF"/>
            </w:tcBorders>
            <w:gridSpan w:val="22"/>
          </w:tcPr>
          <w:p>
            <w:pPr>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First Amendment to Co-Exclusive License Agreement between</w:t>
              </w:r>
            </w:hyperlink>
          </w:p>
        </w:tc>
        <w:tc>
          <w:tcPr>
            <w:tcW w:w="3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President and Fellows of Harvard College and Fluidigm</w:t>
              </w:r>
            </w:hyperlink>
          </w:p>
        </w:tc>
        <w:tc>
          <w:tcPr>
            <w:tcW w:w="8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Corporation effective as of October 15, 2000.</w:t>
              </w:r>
            </w:hyperlink>
          </w:p>
        </w:tc>
        <w:tc>
          <w:tcPr>
            <w:tcW w:w="1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c>
          <w:tcPr>
            <w:tcW w:w="4720" w:type="dxa"/>
            <w:vAlign w:val="bottom"/>
            <w:tcBorders>
              <w:bottom w:val="single" w:sz="8" w:color="0000FF"/>
            </w:tcBorders>
            <w:gridSpan w:val="27"/>
          </w:tcPr>
          <w:p>
            <w:pPr>
              <w:spacing w:after="0"/>
              <w:rPr>
                <w:rFonts w:ascii="Arial" w:cs="Arial" w:eastAsia="Arial" w:hAnsi="Arial"/>
                <w:sz w:val="18"/>
                <w:szCs w:val="18"/>
                <w:color w:val="0000FF"/>
                <w:w w:val="90"/>
              </w:rPr>
            </w:pPr>
            <w:hyperlink r:id="rId50">
              <w:r>
                <w:rPr>
                  <w:rFonts w:ascii="Arial" w:cs="Arial" w:eastAsia="Arial" w:hAnsi="Arial"/>
                  <w:sz w:val="18"/>
                  <w:szCs w:val="18"/>
                  <w:color w:val="0000FF"/>
                  <w:w w:val="90"/>
                </w:rPr>
                <w:t>Co-Exclusive License Agreement between President and Fellows</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of Harvard College and Fluidigm Corporation effective as of</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October 15, 2000.</w:t>
              </w:r>
            </w:hyperlink>
          </w:p>
        </w:tc>
        <w:tc>
          <w:tcPr>
            <w:tcW w:w="35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c>
          <w:tcPr>
            <w:tcW w:w="4720" w:type="dxa"/>
            <w:vAlign w:val="bottom"/>
            <w:tcBorders>
              <w:bottom w:val="single" w:sz="8" w:color="0000FF"/>
            </w:tcBorders>
            <w:gridSpan w:val="27"/>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Co-Exclusive License Agreement between President and Fellows</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of Harvard College and Fluidigm Corporation effective as of</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1"/>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October 15, 2000.</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4880" w:type="dxa"/>
            <w:vAlign w:val="bottom"/>
            <w:gridSpan w:val="31"/>
          </w:tcPr>
          <w:p>
            <w:pPr>
              <w:spacing w:after="0"/>
              <w:rPr>
                <w:rFonts w:ascii="Arial" w:cs="Arial" w:eastAsia="Arial" w:hAnsi="Arial"/>
                <w:sz w:val="18"/>
                <w:szCs w:val="18"/>
                <w:color w:val="0000FF"/>
              </w:rPr>
            </w:pPr>
            <w:hyperlink r:id="rId52">
              <w:r>
                <w:rPr>
                  <w:rFonts w:ascii="Arial" w:cs="Arial" w:eastAsia="Arial" w:hAnsi="Arial"/>
                  <w:sz w:val="18"/>
                  <w:szCs w:val="18"/>
                  <w:color w:val="0000FF"/>
                </w:rPr>
                <w:t>Letter Agreement between President and Fellows of Harvard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1"/>
          </w:tcPr>
          <w:p>
            <w:pPr>
              <w:spacing w:after="0" w:line="196"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College and Fluidigm Corporation dated December 22, 2004.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10.10#</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0" w:type="dxa"/>
            <w:vAlign w:val="bottom"/>
            <w:tcBorders>
              <w:bottom w:val="single" w:sz="8" w:color="0000FF"/>
            </w:tcBorders>
            <w:gridSpan w:val="23"/>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Fluidigm Corporation 2017 Inducement Award Plan and related</w:t>
              </w:r>
            </w:hyperlink>
          </w:p>
        </w:tc>
        <w:tc>
          <w:tcPr>
            <w:tcW w:w="28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1"/>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form agreements.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1"/>
          </w:tcPr>
          <w:p>
            <w:pPr>
              <w:spacing w:after="0"/>
              <w:rPr>
                <w:rFonts w:ascii="Arial" w:cs="Arial" w:eastAsia="Arial" w:hAnsi="Arial"/>
                <w:sz w:val="18"/>
                <w:szCs w:val="18"/>
                <w:color w:val="0000FF"/>
              </w:rPr>
            </w:pPr>
            <w:hyperlink r:id="rId54">
              <w:r>
                <w:rPr>
                  <w:rFonts w:ascii="Arial" w:cs="Arial" w:eastAsia="Arial" w:hAnsi="Arial"/>
                  <w:sz w:val="18"/>
                  <w:szCs w:val="18"/>
                  <w:color w:val="0000FF"/>
                </w:rPr>
                <w:t>Offer Letter to Jennifer Lee date March 30, 2016.</w:t>
              </w:r>
            </w:hyperlink>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Reserved.</w:t>
            </w:r>
          </w:p>
        </w:tc>
        <w:tc>
          <w:tcPr>
            <w:tcW w:w="132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87"/>
              </w:rPr>
              <w:t>10.13#</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80" w:type="dxa"/>
            <w:vAlign w:val="bottom"/>
            <w:gridSpan w:val="31"/>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Amended and Restated Offer Letter to Steven C. McPhail, dated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February 28, 2017.</w:t>
              </w:r>
            </w:hyperlink>
          </w:p>
        </w:tc>
        <w:tc>
          <w:tcPr>
            <w:tcW w:w="3260" w:type="dxa"/>
            <w:vAlign w:val="bottom"/>
            <w:tcBorders>
              <w:top w:val="single" w:sz="8" w:color="0000FF"/>
            </w:tcBorders>
            <w:gridSpan w:val="19"/>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1"/>
          </w:tcPr>
          <w:p>
            <w:pPr>
              <w:spacing w:after="0"/>
              <w:rPr>
                <w:rFonts w:ascii="Arial" w:cs="Arial" w:eastAsia="Arial" w:hAnsi="Arial"/>
                <w:sz w:val="18"/>
                <w:szCs w:val="18"/>
                <w:color w:val="0000FF"/>
                <w:w w:val="99"/>
              </w:rPr>
            </w:pPr>
            <w:hyperlink r:id="rId56">
              <w:r>
                <w:rPr>
                  <w:rFonts w:ascii="Arial" w:cs="Arial" w:eastAsia="Arial" w:hAnsi="Arial"/>
                  <w:sz w:val="18"/>
                  <w:szCs w:val="18"/>
                  <w:color w:val="0000FF"/>
                  <w:w w:val="99"/>
                </w:rPr>
                <w:t>Form of Amended and Restated Employment and Severance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Agreement between Fluidigm Corporation and each of its</w:t>
              </w:r>
            </w:hyperlink>
          </w:p>
        </w:tc>
        <w:tc>
          <w:tcPr>
            <w:tcW w:w="220" w:type="dxa"/>
            <w:vAlign w:val="bottom"/>
            <w:tcBorders>
              <w:top w:val="single" w:sz="8" w:color="0000FF"/>
            </w:tcBorders>
            <w:gridSpan w:val="4"/>
          </w:tcPr>
          <w:p>
            <w:pPr>
              <w:spacing w:after="0"/>
              <w:rPr>
                <w:sz w:val="17"/>
                <w:szCs w:val="17"/>
                <w:color w:val="auto"/>
              </w:rPr>
            </w:pPr>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1"/>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executive officers.</w:t>
              </w:r>
            </w:hyperlink>
          </w:p>
        </w:tc>
        <w:tc>
          <w:tcPr>
            <w:tcW w:w="0" w:type="dxa"/>
            <w:vAlign w:val="bottom"/>
          </w:tcPr>
          <w:p>
            <w:pPr>
              <w:spacing w:after="0"/>
              <w:rPr>
                <w:sz w:val="1"/>
                <w:szCs w:val="1"/>
                <w:color w:val="auto"/>
              </w:rPr>
            </w:pPr>
          </w:p>
        </w:tc>
      </w:tr>
      <w:tr>
        <w:trPr>
          <w:trHeight w:val="507"/>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Borders>
              <w:top w:val="single" w:sz="8" w:color="0000FF"/>
            </w:tcBorders>
            <w:gridSpan w:val="4"/>
          </w:tcPr>
          <w:p>
            <w:pPr>
              <w:spacing w:after="0"/>
              <w:rPr>
                <w:sz w:val="24"/>
                <w:szCs w:val="24"/>
                <w:color w:val="auto"/>
              </w:rPr>
            </w:pPr>
          </w:p>
        </w:tc>
        <w:tc>
          <w:tcPr>
            <w:tcW w:w="2900" w:type="dxa"/>
            <w:vAlign w:val="bottom"/>
            <w:gridSpan w:val="12"/>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10.4A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1/28/2011</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(d)(2)</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(d)(3)</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(d)(4)</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(d)(5)</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(d)(6)</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SC TO-I</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(d)(7)</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10.5A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10.6A</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1/11/2017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5/23/2016</w:t>
            </w:r>
          </w:p>
        </w:tc>
        <w:tc>
          <w:tcPr>
            <w:tcW w:w="0" w:type="dxa"/>
            <w:vAlign w:val="bottom"/>
          </w:tcPr>
          <w:p>
            <w:pPr>
              <w:spacing w:after="0"/>
              <w:rPr>
                <w:sz w:val="1"/>
                <w:szCs w:val="1"/>
                <w:color w:val="auto"/>
              </w:rPr>
            </w:pPr>
          </w:p>
        </w:tc>
      </w:tr>
      <w:tr>
        <w:trPr>
          <w:trHeight w:val="54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3/3/2017</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12/11/2012</w:t>
            </w:r>
          </w:p>
        </w:tc>
        <w:tc>
          <w:tcPr>
            <w:tcW w:w="0" w:type="dxa"/>
            <w:vAlign w:val="bottom"/>
          </w:tcPr>
          <w:p>
            <w:pPr>
              <w:spacing w:after="0"/>
              <w:rPr>
                <w:sz w:val="1"/>
                <w:szCs w:val="1"/>
                <w:color w:val="auto"/>
              </w:rPr>
            </w:pPr>
          </w:p>
        </w:tc>
      </w:tr>
    </w:tbl>
    <w:p>
      <w:pPr>
        <w:sectPr>
          <w:pgSz w:w="11900" w:h="16838" w:orient="portrait"/>
          <w:cols w:equalWidth="0" w:num="2">
            <w:col w:w="6480" w:space="120"/>
            <w:col w:w="4760"/>
          </w:cols>
          <w:pgMar w:left="280" w:top="888" w:right="259" w:bottom="1440" w:gutter="0" w:footer="0" w:header="0"/>
        </w:sectPr>
      </w:pPr>
    </w:p>
    <w:bookmarkStart w:id="103" w:name="page104"/>
    <w:bookmarkEnd w:id="103"/>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28"/>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5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0" w:type="dxa"/>
            <w:vAlign w:val="bottom"/>
            <w:gridSpan w:val="2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580" w:type="dxa"/>
            <w:vAlign w:val="bottom"/>
            <w:gridSpan w:val="2"/>
            <w:vMerge w:val="restart"/>
          </w:tcPr>
          <w:p>
            <w:pPr>
              <w:spacing w:after="0"/>
              <w:rPr>
                <w:sz w:val="20"/>
                <w:szCs w:val="20"/>
                <w:color w:val="auto"/>
              </w:rPr>
            </w:pPr>
            <w:r>
              <w:rPr>
                <w:rFonts w:ascii="Arial" w:cs="Arial" w:eastAsia="Arial" w:hAnsi="Arial"/>
                <w:sz w:val="18"/>
                <w:szCs w:val="18"/>
                <w:color w:val="auto"/>
              </w:rPr>
              <w:t>10.15#†</w:t>
            </w: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5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Offer Letter to Stephen Christopher Linthwaite, dated July 14,</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57">
              <w:r>
                <w:rPr>
                  <w:rFonts w:ascii="Arial" w:cs="Arial" w:eastAsia="Arial" w:hAnsi="Arial"/>
                  <w:sz w:val="18"/>
                  <w:szCs w:val="18"/>
                  <w:color w:val="0000FF"/>
                  <w:w w:val="88"/>
                </w:rPr>
                <w:t>2016.</w:t>
              </w:r>
            </w:hyperlink>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10.16#</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tcBorders>
              <w:bottom w:val="single" w:sz="8" w:color="0000FF"/>
            </w:tcBorders>
            <w:gridSpan w:val="29"/>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Employment and Severance Agreement, effective as of August 1,</w:t>
              </w:r>
            </w:hyperlink>
          </w:p>
        </w:tc>
        <w:tc>
          <w:tcPr>
            <w:tcW w:w="16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2016, by and between Fluidigm Corporation and Stephen</w:t>
              </w:r>
            </w:hyperlink>
          </w:p>
        </w:tc>
        <w:tc>
          <w:tcPr>
            <w:tcW w:w="7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5"/>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Christopher Linthwaite</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5"/>
          </w:tcPr>
          <w:p>
            <w:pPr>
              <w:spacing w:after="0"/>
              <w:rPr>
                <w:rFonts w:ascii="Arial" w:cs="Arial" w:eastAsia="Arial" w:hAnsi="Arial"/>
                <w:sz w:val="18"/>
                <w:szCs w:val="18"/>
                <w:color w:val="0000FF"/>
              </w:rPr>
            </w:pPr>
            <w:hyperlink r:id="rId59">
              <w:r>
                <w:rPr>
                  <w:rFonts w:ascii="Arial" w:cs="Arial" w:eastAsia="Arial" w:hAnsi="Arial"/>
                  <w:sz w:val="18"/>
                  <w:szCs w:val="18"/>
                  <w:color w:val="0000FF"/>
                </w:rPr>
                <w:t>Offer Letter to Vikram Jog dated January 29, 2008.</w:t>
              </w:r>
            </w:hyperlink>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Reserved.</w:t>
            </w:r>
          </w:p>
        </w:tc>
        <w:tc>
          <w:tcPr>
            <w:tcW w:w="12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80" w:type="dxa"/>
            <w:vAlign w:val="bottom"/>
            <w:gridSpan w:val="35"/>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Lease Agreement between ARE - San Francisco No. 17 LLC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top w:val="single" w:sz="8" w:color="0000FF"/>
            </w:tcBorders>
            <w:gridSpan w:val="28"/>
          </w:tcPr>
          <w:p>
            <w:pPr>
              <w:spacing w:after="0" w:line="196" w:lineRule="exact"/>
              <w:rPr>
                <w:rFonts w:ascii="Arial" w:cs="Arial" w:eastAsia="Arial" w:hAnsi="Arial"/>
                <w:sz w:val="18"/>
                <w:szCs w:val="18"/>
                <w:color w:val="0000FF"/>
                <w:w w:val="93"/>
              </w:rPr>
            </w:pPr>
            <w:hyperlink r:id="rId60">
              <w:r>
                <w:rPr>
                  <w:rFonts w:ascii="Arial" w:cs="Arial" w:eastAsia="Arial" w:hAnsi="Arial"/>
                  <w:sz w:val="18"/>
                  <w:szCs w:val="18"/>
                  <w:color w:val="0000FF"/>
                  <w:w w:val="93"/>
                </w:rPr>
                <w:t>Fluidigm Corporation, dated September 14, 2010, as amended</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8"/>
              </w:rPr>
            </w:pPr>
            <w:hyperlink r:id="rId60">
              <w:r>
                <w:rPr>
                  <w:rFonts w:ascii="Arial" w:cs="Arial" w:eastAsia="Arial" w:hAnsi="Arial"/>
                  <w:sz w:val="18"/>
                  <w:szCs w:val="18"/>
                  <w:color w:val="0000FF"/>
                  <w:w w:val="88"/>
                </w:rPr>
                <w:t>September 22, 2010.</w:t>
              </w:r>
            </w:hyperlink>
          </w:p>
        </w:tc>
        <w:tc>
          <w:tcPr>
            <w:tcW w:w="2980" w:type="dxa"/>
            <w:vAlign w:val="bottom"/>
            <w:tcBorders>
              <w:top w:val="single" w:sz="8" w:color="0000FF"/>
            </w:tcBorders>
            <w:gridSpan w:val="17"/>
          </w:tcPr>
          <w:p>
            <w:pPr>
              <w:spacing w:after="0"/>
              <w:rPr>
                <w:sz w:val="17"/>
                <w:szCs w:val="17"/>
                <w:color w:val="auto"/>
              </w:rPr>
            </w:pPr>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10.19A</w:t>
            </w:r>
          </w:p>
        </w:tc>
        <w:tc>
          <w:tcPr>
            <w:tcW w:w="20" w:type="dxa"/>
            <w:vAlign w:val="bottom"/>
          </w:tcPr>
          <w:p>
            <w:pPr>
              <w:spacing w:after="0"/>
              <w:rPr>
                <w:sz w:val="21"/>
                <w:szCs w:val="21"/>
                <w:color w:val="auto"/>
              </w:rPr>
            </w:pPr>
          </w:p>
        </w:tc>
        <w:tc>
          <w:tcPr>
            <w:tcW w:w="4880" w:type="dxa"/>
            <w:vAlign w:val="bottom"/>
            <w:gridSpan w:val="35"/>
          </w:tcPr>
          <w:p>
            <w:pPr>
              <w:spacing w:after="0"/>
              <w:rPr>
                <w:rFonts w:ascii="Arial" w:cs="Arial" w:eastAsia="Arial" w:hAnsi="Arial"/>
                <w:sz w:val="18"/>
                <w:szCs w:val="18"/>
                <w:color w:val="0000FF"/>
              </w:rPr>
            </w:pPr>
            <w:hyperlink r:id="rId61">
              <w:r>
                <w:rPr>
                  <w:rFonts w:ascii="Arial" w:cs="Arial" w:eastAsia="Arial" w:hAnsi="Arial"/>
                  <w:sz w:val="18"/>
                  <w:szCs w:val="18"/>
                  <w:color w:val="0000FF"/>
                </w:rPr>
                <w:t>Second Amendment to Lease Agreement between ARE-San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tcBorders>
              <w:bottom w:val="single" w:sz="8" w:color="0000FF"/>
            </w:tcBorders>
            <w:gridSpan w:val="28"/>
          </w:tcPr>
          <w:p>
            <w:pPr>
              <w:spacing w:after="0" w:line="196"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Francisco No. 17, LLC and Fluidigm Corporation, dated April 9,</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61">
              <w:r>
                <w:rPr>
                  <w:rFonts w:ascii="Arial" w:cs="Arial" w:eastAsia="Arial" w:hAnsi="Arial"/>
                  <w:sz w:val="18"/>
                  <w:szCs w:val="18"/>
                  <w:color w:val="0000FF"/>
                  <w:w w:val="88"/>
                </w:rPr>
                <w:t>2013.</w:t>
              </w:r>
            </w:hyperlink>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10.19B</w:t>
            </w:r>
          </w:p>
        </w:tc>
        <w:tc>
          <w:tcPr>
            <w:tcW w:w="20" w:type="dxa"/>
            <w:vAlign w:val="bottom"/>
          </w:tcPr>
          <w:p>
            <w:pPr>
              <w:spacing w:after="0"/>
              <w:rPr>
                <w:sz w:val="21"/>
                <w:szCs w:val="21"/>
                <w:color w:val="auto"/>
              </w:rPr>
            </w:pPr>
          </w:p>
        </w:tc>
        <w:tc>
          <w:tcPr>
            <w:tcW w:w="4340" w:type="dxa"/>
            <w:vAlign w:val="bottom"/>
            <w:tcBorders>
              <w:bottom w:val="single" w:sz="8" w:color="0000FF"/>
            </w:tcBorders>
            <w:gridSpan w:val="17"/>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Fourth Amendment to Lease Agreement between ARE-San</w:t>
              </w:r>
            </w:hyperlink>
          </w:p>
        </w:tc>
        <w:tc>
          <w:tcPr>
            <w:tcW w:w="54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5"/>
          </w:tcPr>
          <w:p>
            <w:pPr>
              <w:spacing w:after="0" w:line="196"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Francisco No. 17, LLC and Fluidigm Corporation, dated June 4,</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62">
              <w:r>
                <w:rPr>
                  <w:rFonts w:ascii="Arial" w:cs="Arial" w:eastAsia="Arial" w:hAnsi="Arial"/>
                  <w:sz w:val="18"/>
                  <w:szCs w:val="18"/>
                  <w:color w:val="0000FF"/>
                  <w:w w:val="88"/>
                </w:rPr>
                <w:t>2014.</w:t>
              </w:r>
            </w:hyperlink>
          </w:p>
        </w:tc>
        <w:tc>
          <w:tcPr>
            <w:tcW w:w="2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10.19C</w:t>
            </w:r>
          </w:p>
        </w:tc>
        <w:tc>
          <w:tcPr>
            <w:tcW w:w="20" w:type="dxa"/>
            <w:vAlign w:val="bottom"/>
          </w:tcPr>
          <w:p>
            <w:pPr>
              <w:spacing w:after="0"/>
              <w:rPr>
                <w:sz w:val="21"/>
                <w:szCs w:val="21"/>
                <w:color w:val="auto"/>
              </w:rPr>
            </w:pPr>
          </w:p>
        </w:tc>
        <w:tc>
          <w:tcPr>
            <w:tcW w:w="4180" w:type="dxa"/>
            <w:vAlign w:val="bottom"/>
            <w:tcBorders>
              <w:bottom w:val="single" w:sz="8" w:color="0000FF"/>
            </w:tcBorders>
            <w:gridSpan w:val="14"/>
          </w:tcPr>
          <w:p>
            <w:pPr>
              <w:spacing w:after="0"/>
              <w:rPr>
                <w:rFonts w:ascii="Arial" w:cs="Arial" w:eastAsia="Arial" w:hAnsi="Arial"/>
                <w:sz w:val="18"/>
                <w:szCs w:val="18"/>
                <w:color w:val="0000FF"/>
                <w:w w:val="90"/>
              </w:rPr>
            </w:pPr>
            <w:hyperlink r:id="rId63">
              <w:r>
                <w:rPr>
                  <w:rFonts w:ascii="Arial" w:cs="Arial" w:eastAsia="Arial" w:hAnsi="Arial"/>
                  <w:sz w:val="18"/>
                  <w:szCs w:val="18"/>
                  <w:color w:val="0000FF"/>
                  <w:w w:val="90"/>
                </w:rPr>
                <w:t>Fifth Amendment to Lease Agreement between ARE-San</w:t>
              </w:r>
            </w:hyperlink>
          </w:p>
        </w:tc>
        <w:tc>
          <w:tcPr>
            <w:tcW w:w="700" w:type="dxa"/>
            <w:vAlign w:val="bottom"/>
            <w:gridSpan w:val="2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Francisco No. 17, LLC and Fluidigm Corporation, dated</w:t>
              </w:r>
            </w:hyperlink>
          </w:p>
        </w:tc>
        <w:tc>
          <w:tcPr>
            <w:tcW w:w="8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63">
              <w:r>
                <w:rPr>
                  <w:rFonts w:ascii="Arial" w:cs="Arial" w:eastAsia="Arial" w:hAnsi="Arial"/>
                  <w:sz w:val="18"/>
                  <w:szCs w:val="18"/>
                  <w:color w:val="0000FF"/>
                  <w:w w:val="88"/>
                </w:rPr>
                <w:t>September 15, 2014.</w:t>
              </w:r>
            </w:hyperlink>
          </w:p>
        </w:tc>
        <w:tc>
          <w:tcPr>
            <w:tcW w:w="33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10.19D</w:t>
            </w:r>
          </w:p>
        </w:tc>
        <w:tc>
          <w:tcPr>
            <w:tcW w:w="20" w:type="dxa"/>
            <w:vAlign w:val="bottom"/>
          </w:tcPr>
          <w:p>
            <w:pPr>
              <w:spacing w:after="0"/>
              <w:rPr>
                <w:sz w:val="21"/>
                <w:szCs w:val="21"/>
                <w:color w:val="auto"/>
              </w:rPr>
            </w:pPr>
          </w:p>
        </w:tc>
        <w:tc>
          <w:tcPr>
            <w:tcW w:w="4200" w:type="dxa"/>
            <w:vAlign w:val="bottom"/>
            <w:tcBorders>
              <w:bottom w:val="single" w:sz="8" w:color="0000FF"/>
            </w:tcBorders>
            <w:gridSpan w:val="15"/>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Sixth Amendment to Lease Agreement between ARE-San</w:t>
              </w:r>
            </w:hyperlink>
          </w:p>
        </w:tc>
        <w:tc>
          <w:tcPr>
            <w:tcW w:w="68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64">
              <w:r>
                <w:rPr>
                  <w:rFonts w:ascii="Arial" w:cs="Arial" w:eastAsia="Arial" w:hAnsi="Arial"/>
                  <w:sz w:val="18"/>
                  <w:szCs w:val="18"/>
                  <w:color w:val="0000FF"/>
                  <w:w w:val="92"/>
                </w:rPr>
                <w:t>Francisco No. 17, LLC and Fluidigm Corporation, dated</w:t>
              </w:r>
            </w:hyperlink>
          </w:p>
        </w:tc>
        <w:tc>
          <w:tcPr>
            <w:tcW w:w="8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Borders>
              <w:bottom w:val="single" w:sz="8" w:color="0000FF"/>
            </w:tcBorders>
            <w:gridSpan w:val="5"/>
          </w:tcPr>
          <w:p>
            <w:pPr>
              <w:spacing w:after="0" w:line="196" w:lineRule="exact"/>
              <w:rPr>
                <w:rFonts w:ascii="Arial" w:cs="Arial" w:eastAsia="Arial" w:hAnsi="Arial"/>
                <w:sz w:val="18"/>
                <w:szCs w:val="18"/>
                <w:color w:val="0000FF"/>
                <w:w w:val="88"/>
              </w:rPr>
            </w:pPr>
            <w:hyperlink r:id="rId64">
              <w:r>
                <w:rPr>
                  <w:rFonts w:ascii="Arial" w:cs="Arial" w:eastAsia="Arial" w:hAnsi="Arial"/>
                  <w:sz w:val="18"/>
                  <w:szCs w:val="18"/>
                  <w:color w:val="0000FF"/>
                  <w:w w:val="88"/>
                </w:rPr>
                <w:t>December 8, 2015.</w:t>
              </w:r>
            </w:hyperlink>
          </w:p>
        </w:tc>
        <w:tc>
          <w:tcPr>
            <w:tcW w:w="350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10.19E</w:t>
            </w:r>
          </w:p>
        </w:tc>
        <w:tc>
          <w:tcPr>
            <w:tcW w:w="20" w:type="dxa"/>
            <w:vAlign w:val="bottom"/>
          </w:tcPr>
          <w:p>
            <w:pPr>
              <w:spacing w:after="0"/>
              <w:rPr>
                <w:sz w:val="21"/>
                <w:szCs w:val="21"/>
                <w:color w:val="auto"/>
              </w:rPr>
            </w:pPr>
          </w:p>
        </w:tc>
        <w:tc>
          <w:tcPr>
            <w:tcW w:w="44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Seventh Amendment to Lease Agreement between ARE-San</w:t>
            </w:r>
          </w:p>
        </w:tc>
        <w:tc>
          <w:tcPr>
            <w:tcW w:w="48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5"/>
          </w:tcPr>
          <w:p>
            <w:pPr>
              <w:spacing w:after="0" w:line="196" w:lineRule="exact"/>
              <w:rPr>
                <w:sz w:val="20"/>
                <w:szCs w:val="20"/>
                <w:color w:val="auto"/>
              </w:rPr>
            </w:pPr>
            <w:r>
              <w:rPr>
                <w:rFonts w:ascii="Arial" w:cs="Arial" w:eastAsia="Arial" w:hAnsi="Arial"/>
                <w:sz w:val="18"/>
                <w:szCs w:val="18"/>
                <w:color w:val="0000FF"/>
                <w:w w:val="97"/>
              </w:rPr>
              <w:t>Francisco No. 17, LLC and Fluidigm Corporation, dated March</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88"/>
              </w:rPr>
              <w:t>23,2017.</w:t>
            </w:r>
          </w:p>
        </w:tc>
        <w:tc>
          <w:tcPr>
            <w:tcW w:w="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10.19F</w:t>
            </w:r>
          </w:p>
        </w:tc>
        <w:tc>
          <w:tcPr>
            <w:tcW w:w="20" w:type="dxa"/>
            <w:vAlign w:val="bottom"/>
          </w:tcPr>
          <w:p>
            <w:pPr>
              <w:spacing w:after="0"/>
              <w:rPr>
                <w:sz w:val="21"/>
                <w:szCs w:val="21"/>
                <w:color w:val="auto"/>
              </w:rPr>
            </w:pPr>
          </w:p>
        </w:tc>
        <w:tc>
          <w:tcPr>
            <w:tcW w:w="43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Eighth Amendment to Lease Agreement between ARE-San</w:t>
            </w:r>
          </w:p>
        </w:tc>
        <w:tc>
          <w:tcPr>
            <w:tcW w:w="58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32"/>
          </w:tcPr>
          <w:p>
            <w:pPr>
              <w:spacing w:after="0" w:line="196" w:lineRule="exact"/>
              <w:rPr>
                <w:sz w:val="20"/>
                <w:szCs w:val="20"/>
                <w:color w:val="auto"/>
              </w:rPr>
            </w:pPr>
            <w:r>
              <w:rPr>
                <w:rFonts w:ascii="Arial" w:cs="Arial" w:eastAsia="Arial" w:hAnsi="Arial"/>
                <w:sz w:val="18"/>
                <w:szCs w:val="18"/>
                <w:color w:val="0000FF"/>
                <w:w w:val="91"/>
              </w:rPr>
              <w:t>Francisco No. 17, LLC and Fluidigm Corporation, dated August 2,</w:t>
            </w: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8"/>
              </w:rPr>
              <w:t>2017.</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40" w:type="dxa"/>
            <w:vAlign w:val="bottom"/>
            <w:tcBorders>
              <w:bottom w:val="single" w:sz="8" w:color="0000FF"/>
            </w:tcBorders>
            <w:gridSpan w:val="21"/>
          </w:tcPr>
          <w:p>
            <w:pPr>
              <w:spacing w:after="0"/>
              <w:rPr>
                <w:rFonts w:ascii="Arial" w:cs="Arial" w:eastAsia="Arial" w:hAnsi="Arial"/>
                <w:sz w:val="18"/>
                <w:szCs w:val="18"/>
                <w:color w:val="0000FF"/>
                <w:w w:val="89"/>
              </w:rPr>
            </w:pPr>
            <w:hyperlink r:id="rId65">
              <w:r>
                <w:rPr>
                  <w:rFonts w:ascii="Arial" w:cs="Arial" w:eastAsia="Arial" w:hAnsi="Arial"/>
                  <w:sz w:val="18"/>
                  <w:szCs w:val="18"/>
                  <w:color w:val="0000FF"/>
                  <w:w w:val="89"/>
                </w:rPr>
                <w:t>Tenancy for Flatted Factory Space in Singapore between JTC</w:t>
              </w:r>
            </w:hyperlink>
          </w:p>
        </w:tc>
        <w:tc>
          <w:tcPr>
            <w:tcW w:w="44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Corporation and Fluidigm Corporation dated July 27, 2005, as</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amended August 12, 2008 and May 31, 2010.</w:t>
              </w:r>
            </w:hyperlink>
          </w:p>
        </w:tc>
        <w:tc>
          <w:tcPr>
            <w:tcW w:w="15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80" w:type="dxa"/>
            <w:vAlign w:val="bottom"/>
            <w:tcBorders>
              <w:bottom w:val="single" w:sz="8" w:color="0000FF"/>
            </w:tcBorders>
            <w:gridSpan w:val="27"/>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Offer of Tenancy for Facility Lease between Fluidigm Singapore</w:t>
              </w:r>
            </w:hyperlink>
          </w:p>
        </w:tc>
        <w:tc>
          <w:tcPr>
            <w:tcW w:w="20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FF"/>
            </w:tcBorders>
            <w:gridSpan w:val="34"/>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Pte. Ltd. and SBC Institutional Trust Services (Singapore) Limited,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5"/>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as trustee of Ascendas Real Estate Investment Trust dated October</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7"/>
              </w:rPr>
            </w:pPr>
            <w:hyperlink r:id="rId66">
              <w:r>
                <w:rPr>
                  <w:rFonts w:ascii="Arial" w:cs="Arial" w:eastAsia="Arial" w:hAnsi="Arial"/>
                  <w:sz w:val="18"/>
                  <w:szCs w:val="18"/>
                  <w:color w:val="0000FF"/>
                  <w:w w:val="87"/>
                </w:rPr>
                <w:t>14, 2013.</w:t>
              </w:r>
            </w:hyperlink>
          </w:p>
        </w:tc>
        <w:tc>
          <w:tcPr>
            <w:tcW w:w="7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6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5"/>
          </w:tcPr>
          <w:p>
            <w:pPr>
              <w:spacing w:after="0"/>
              <w:rPr>
                <w:rFonts w:ascii="Arial" w:cs="Arial" w:eastAsia="Arial" w:hAnsi="Arial"/>
                <w:sz w:val="18"/>
                <w:szCs w:val="18"/>
                <w:color w:val="0000FF"/>
              </w:rPr>
            </w:pPr>
            <w:hyperlink r:id="rId67">
              <w:r>
                <w:rPr>
                  <w:rFonts w:ascii="Arial" w:cs="Arial" w:eastAsia="Arial" w:hAnsi="Arial"/>
                  <w:sz w:val="18"/>
                  <w:szCs w:val="18"/>
                  <w:color w:val="0000FF"/>
                </w:rPr>
                <w:t>Offer of Tenancy for Lease of Additional Space at Singapore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Facility between Fluidigm Singapore Pte. Ltd. and HSBC</w:t>
              </w:r>
            </w:hyperlink>
          </w:p>
        </w:tc>
        <w:tc>
          <w:tcPr>
            <w:tcW w:w="220" w:type="dxa"/>
            <w:vAlign w:val="bottom"/>
            <w:tcBorders>
              <w:top w:val="single" w:sz="8" w:color="0000FF"/>
            </w:tcBorders>
            <w:gridSpan w:val="5"/>
          </w:tcPr>
          <w:p>
            <w:pPr>
              <w:spacing w:after="0"/>
              <w:rPr>
                <w:sz w:val="17"/>
                <w:szCs w:val="17"/>
                <w:color w:val="auto"/>
              </w:rPr>
            </w:pPr>
          </w:p>
        </w:tc>
        <w:tc>
          <w:tcPr>
            <w:tcW w:w="5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Institutional Trust Services (Singapore) Limited, as trustee of</w:t>
              </w:r>
            </w:hyperlink>
          </w:p>
        </w:tc>
        <w:tc>
          <w:tcPr>
            <w:tcW w:w="4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gridSpan w:val="35"/>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Ascendas Real Estate Investment Trust, dated April 2, 2015.</w:t>
              </w:r>
            </w:hyperlink>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6"/>
            <w:shd w:val="clear" w:color="auto" w:fill="0000FF"/>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7"/>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gridSpan w:val="2"/>
          </w:tcPr>
          <w:p>
            <w:pPr>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1"/>
                <w:szCs w:val="21"/>
                <w:color w:val="auto"/>
              </w:rPr>
            </w:pPr>
          </w:p>
        </w:tc>
        <w:tc>
          <w:tcPr>
            <w:tcW w:w="4880" w:type="dxa"/>
            <w:vAlign w:val="bottom"/>
            <w:gridSpan w:val="35"/>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Office Lease by and among Rodick Equities Inc., Fluidigm Canada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Inc., and Fluidigm Corporation, dated August 17, 2015.</w:t>
              </w:r>
            </w:hyperlink>
          </w:p>
        </w:tc>
        <w:tc>
          <w:tcPr>
            <w:tcW w:w="820" w:type="dxa"/>
            <w:vAlign w:val="bottom"/>
            <w:tcBorders>
              <w:top w:val="single" w:sz="8" w:color="0000FF"/>
            </w:tcBorders>
            <w:gridSpan w:val="23"/>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10.24#</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80" w:type="dxa"/>
            <w:vAlign w:val="bottom"/>
            <w:gridSpan w:val="35"/>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Form of Award Agreement for purposes of the Retention Program.</w:t>
              </w:r>
            </w:hyperlink>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1"/>
              </w:rPr>
            </w:pPr>
            <w:hyperlink r:id="rId70">
              <w:r>
                <w:rPr>
                  <w:rFonts w:ascii="Arial" w:cs="Arial" w:eastAsia="Arial" w:hAnsi="Arial"/>
                  <w:sz w:val="18"/>
                  <w:szCs w:val="18"/>
                  <w:color w:val="0000FF"/>
                  <w:w w:val="91"/>
                </w:rPr>
                <w:t>Executive Bonus Plan.</w:t>
              </w:r>
            </w:hyperlink>
          </w:p>
        </w:tc>
        <w:tc>
          <w:tcPr>
            <w:tcW w:w="3120" w:type="dxa"/>
            <w:vAlign w:val="bottom"/>
            <w:tcBorders>
              <w:top w:val="single" w:sz="8" w:color="0000FF"/>
            </w:tcBorders>
            <w:gridSpan w:val="24"/>
          </w:tcPr>
          <w:p>
            <w:pPr>
              <w:spacing w:after="0"/>
              <w:rPr>
                <w:sz w:val="21"/>
                <w:szCs w:val="21"/>
                <w:color w:val="auto"/>
              </w:rPr>
            </w:pPr>
          </w:p>
        </w:tc>
        <w:tc>
          <w:tcPr>
            <w:tcW w:w="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35"/>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9"/>
                <w:szCs w:val="19"/>
                <w:color w:val="auto"/>
              </w:rPr>
            </w:pPr>
          </w:p>
        </w:tc>
        <w:tc>
          <w:tcPr>
            <w:tcW w:w="4460" w:type="dxa"/>
            <w:vAlign w:val="bottom"/>
            <w:tcBorders>
              <w:bottom w:val="single" w:sz="8" w:color="0000FF"/>
            </w:tcBorders>
            <w:gridSpan w:val="22"/>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License Agreement between MDS Analytical Technologies, a</w:t>
              </w:r>
            </w:hyperlink>
          </w:p>
        </w:tc>
        <w:tc>
          <w:tcPr>
            <w:tcW w:w="42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business unit of MDS INC., and DVS Sciences Inc., dated July 17,</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71">
              <w:r>
                <w:rPr>
                  <w:rFonts w:ascii="Arial" w:cs="Arial" w:eastAsia="Arial" w:hAnsi="Arial"/>
                  <w:sz w:val="18"/>
                  <w:szCs w:val="18"/>
                  <w:color w:val="0000FF"/>
                  <w:w w:val="84"/>
                </w:rPr>
                <w:t>2008.</w:t>
              </w:r>
            </w:hyperlink>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gridSpan w:val="17"/>
          </w:tcPr>
          <w:p>
            <w:pPr>
              <w:jc w:val="right"/>
              <w:ind w:right="10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92"/>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From Form</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11/9/2016</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11/9/2016</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54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1/7/2011</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10.19A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5/9/2013</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8/4/2014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11/6/2014</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12/14/2015</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5/9/2017</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12/3/2010</w:t>
            </w:r>
          </w:p>
        </w:tc>
        <w:tc>
          <w:tcPr>
            <w:tcW w:w="0" w:type="dxa"/>
            <w:vAlign w:val="bottom"/>
          </w:tcPr>
          <w:p>
            <w:pPr>
              <w:spacing w:after="0"/>
              <w:rPr>
                <w:sz w:val="1"/>
                <w:szCs w:val="1"/>
                <w:color w:val="auto"/>
              </w:rPr>
            </w:pPr>
          </w:p>
        </w:tc>
      </w:tr>
      <w:tr>
        <w:trPr>
          <w:trHeight w:val="702"/>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3/12/2014</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8/10/2015</w:t>
            </w:r>
          </w:p>
        </w:tc>
        <w:tc>
          <w:tcPr>
            <w:tcW w:w="0" w:type="dxa"/>
            <w:vAlign w:val="bottom"/>
          </w:tcPr>
          <w:p>
            <w:pPr>
              <w:spacing w:after="0"/>
              <w:rPr>
                <w:sz w:val="1"/>
                <w:szCs w:val="1"/>
                <w:color w:val="auto"/>
              </w:rPr>
            </w:pPr>
          </w:p>
        </w:tc>
      </w:tr>
      <w:tr>
        <w:trPr>
          <w:trHeight w:val="918"/>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11/9/2015</w:t>
            </w:r>
          </w:p>
        </w:tc>
        <w:tc>
          <w:tcPr>
            <w:tcW w:w="0" w:type="dxa"/>
            <w:vAlign w:val="bottom"/>
          </w:tcPr>
          <w:p>
            <w:pPr>
              <w:spacing w:after="0"/>
              <w:rPr>
                <w:sz w:val="1"/>
                <w:szCs w:val="1"/>
                <w:color w:val="auto"/>
              </w:rPr>
            </w:pPr>
          </w:p>
        </w:tc>
      </w:tr>
      <w:tr>
        <w:trPr>
          <w:trHeight w:val="486"/>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2/10/2017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3/28/2011</w:t>
            </w:r>
          </w:p>
        </w:tc>
        <w:tc>
          <w:tcPr>
            <w:tcW w:w="0" w:type="dxa"/>
            <w:vAlign w:val="bottom"/>
          </w:tcPr>
          <w:p>
            <w:pPr>
              <w:spacing w:after="0"/>
              <w:rPr>
                <w:sz w:val="1"/>
                <w:szCs w:val="1"/>
                <w:color w:val="auto"/>
              </w:rPr>
            </w:pPr>
          </w:p>
        </w:tc>
      </w:tr>
      <w:tr>
        <w:trPr>
          <w:trHeight w:val="540"/>
        </w:trPr>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10-Q/A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bl>
    <w:p>
      <w:pPr>
        <w:sectPr>
          <w:pgSz w:w="11900" w:h="16838" w:orient="portrait"/>
          <w:cols w:equalWidth="0" w:num="2">
            <w:col w:w="6480" w:space="120"/>
            <w:col w:w="4760"/>
          </w:cols>
          <w:pgMar w:left="280" w:top="888" w:right="25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Incorporated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gridSpan w:val="17"/>
            <w:vMerge w:val="restart"/>
          </w:tcPr>
          <w:p>
            <w:pPr>
              <w:ind w:left="320"/>
              <w:spacing w:after="0"/>
              <w:rPr>
                <w:sz w:val="20"/>
                <w:szCs w:val="20"/>
                <w:color w:val="auto"/>
              </w:rPr>
            </w:pPr>
            <w:r>
              <w:rPr>
                <w:rFonts w:ascii="Arial" w:cs="Arial" w:eastAsia="Arial" w:hAnsi="Arial"/>
                <w:sz w:val="14"/>
                <w:szCs w:val="14"/>
                <w:b w:val="1"/>
                <w:bCs w:val="1"/>
                <w:color w:val="auto"/>
              </w:rPr>
              <w:t>Description</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From Exhibit</w:t>
            </w:r>
          </w:p>
        </w:tc>
        <w:tc>
          <w:tcPr>
            <w:tcW w:w="14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158"/>
        </w:trPr>
        <w:tc>
          <w:tcPr>
            <w:tcW w:w="15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40" w:type="dxa"/>
            <w:vAlign w:val="bottom"/>
            <w:gridSpan w:val="17"/>
            <w:vMerge w:val="continue"/>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From Form</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8"/>
              </w:rPr>
              <w:t>Number</w:t>
            </w: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500" w:type="dxa"/>
            <w:vAlign w:val="bottom"/>
            <w:gridSpan w:val="3"/>
            <w:vMerge w:val="restart"/>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5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20"/>
          </w:tcPr>
          <w:p>
            <w:pPr>
              <w:spacing w:after="0" w:line="196" w:lineRule="exact"/>
              <w:rPr>
                <w:rFonts w:ascii="Arial" w:cs="Arial" w:eastAsia="Arial" w:hAnsi="Arial"/>
                <w:sz w:val="18"/>
                <w:szCs w:val="18"/>
                <w:color w:val="0000FF"/>
                <w:w w:val="96"/>
              </w:rPr>
            </w:pPr>
            <w:hyperlink r:id="rId72">
              <w:r>
                <w:rPr>
                  <w:rFonts w:ascii="Arial" w:cs="Arial" w:eastAsia="Arial" w:hAnsi="Arial"/>
                  <w:sz w:val="18"/>
                  <w:szCs w:val="18"/>
                  <w:color w:val="0000FF"/>
                  <w:w w:val="96"/>
                </w:rPr>
                <w:t>Sublicense Agreement between DVS Sciences Inc. and Fluidigm</w:t>
              </w:r>
            </w:hyperlink>
          </w:p>
        </w:tc>
        <w:tc>
          <w:tcPr>
            <w:tcW w:w="15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8"/>
              </w:rPr>
              <w:t>10-Q/A</w:t>
            </w:r>
          </w:p>
        </w:tc>
        <w:tc>
          <w:tcPr>
            <w:tcW w:w="160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Arial" w:cs="Arial" w:eastAsia="Arial" w:hAnsi="Arial"/>
                <w:sz w:val="18"/>
                <w:szCs w:val="18"/>
                <w:color w:val="auto"/>
                <w:w w:val="89"/>
              </w:rPr>
              <w:t>9/15/2014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Corporation, dated January 28, 2014.</w:t>
              </w:r>
            </w:hyperlink>
          </w:p>
        </w:tc>
        <w:tc>
          <w:tcPr>
            <w:tcW w:w="2000" w:type="dxa"/>
            <w:vAlign w:val="bottom"/>
            <w:tcBorders>
              <w:top w:val="single" w:sz="8" w:color="0000FF"/>
            </w:tcBorders>
            <w:gridSpan w:val="12"/>
          </w:tcPr>
          <w:p>
            <w:pPr>
              <w:spacing w:after="0"/>
              <w:rPr>
                <w:sz w:val="17"/>
                <w:szCs w:val="17"/>
                <w:color w:val="auto"/>
              </w:rPr>
            </w:pPr>
          </w:p>
        </w:tc>
        <w:tc>
          <w:tcPr>
            <w:tcW w:w="320" w:type="dxa"/>
            <w:vAlign w:val="bottom"/>
            <w:gridSpan w:val="4"/>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w w:val="87"/>
              </w:rPr>
              <w:t>10.29#</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20"/>
          </w:tcPr>
          <w:p>
            <w:pPr>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Separation Agreement and Release between Gajus V. Worthington</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10/24/2016</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and Fluidigm Corporation dated October 19, 2016.</w:t>
              </w:r>
            </w:hyperlink>
          </w:p>
        </w:tc>
        <w:tc>
          <w:tcPr>
            <w:tcW w:w="22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10.30</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2017 Employee Stock Purchase Plan.</w:t>
            </w:r>
          </w:p>
        </w:tc>
        <w:tc>
          <w:tcPr>
            <w:tcW w:w="960" w:type="dxa"/>
            <w:vAlign w:val="bottom"/>
            <w:tcBorders>
              <w:top w:val="single" w:sz="8" w:color="0000FF"/>
            </w:tcBorders>
            <w:gridSpan w:val="3"/>
          </w:tcPr>
          <w:p>
            <w:pPr>
              <w:spacing w:after="0"/>
              <w:rPr>
                <w:sz w:val="21"/>
                <w:szCs w:val="21"/>
                <w:color w:val="auto"/>
              </w:rPr>
            </w:pPr>
          </w:p>
        </w:tc>
        <w:tc>
          <w:tcPr>
            <w:tcW w:w="1340" w:type="dxa"/>
            <w:vAlign w:val="bottom"/>
            <w:gridSpan w:val="12"/>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8/2/2017</w:t>
            </w: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10.31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20"/>
          </w:tcPr>
          <w:p>
            <w:pPr>
              <w:spacing w:after="0"/>
              <w:rPr>
                <w:sz w:val="20"/>
                <w:szCs w:val="20"/>
                <w:color w:val="auto"/>
              </w:rPr>
            </w:pPr>
            <w:r>
              <w:rPr>
                <w:rFonts w:ascii="Arial" w:cs="Arial" w:eastAsia="Arial" w:hAnsi="Arial"/>
                <w:sz w:val="18"/>
                <w:szCs w:val="18"/>
                <w:color w:val="0000FF"/>
                <w:w w:val="96"/>
              </w:rPr>
              <w:t>Sales Agreement, dated as of August 3, 2017, between Fluidigm</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8/3/2017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top w:val="single" w:sz="8" w:color="0000FF"/>
            </w:tcBorders>
            <w:gridSpan w:val="15"/>
          </w:tcPr>
          <w:p>
            <w:pPr>
              <w:spacing w:after="0" w:line="196" w:lineRule="exact"/>
              <w:rPr>
                <w:sz w:val="20"/>
                <w:szCs w:val="20"/>
                <w:color w:val="auto"/>
              </w:rPr>
            </w:pPr>
            <w:r>
              <w:rPr>
                <w:rFonts w:ascii="Arial" w:cs="Arial" w:eastAsia="Arial" w:hAnsi="Arial"/>
                <w:sz w:val="18"/>
                <w:szCs w:val="18"/>
                <w:color w:val="0000FF"/>
              </w:rPr>
              <w:t>Corporation and Cowen and Company, LLC.</w:t>
            </w:r>
          </w:p>
        </w:tc>
        <w:tc>
          <w:tcPr>
            <w:tcW w:w="360" w:type="dxa"/>
            <w:vAlign w:val="bottom"/>
            <w:gridSpan w:val="5"/>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w w:val="87"/>
              </w:rPr>
              <w:t>10.32#</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20"/>
          </w:tcPr>
          <w:p>
            <w:pPr>
              <w:spacing w:after="0"/>
              <w:rPr>
                <w:rFonts w:ascii="Arial" w:cs="Arial" w:eastAsia="Arial" w:hAnsi="Arial"/>
                <w:sz w:val="18"/>
                <w:szCs w:val="18"/>
                <w:color w:val="0000FF"/>
              </w:rPr>
            </w:pPr>
            <w:hyperlink r:id="rId74">
              <w:r>
                <w:rPr>
                  <w:rFonts w:ascii="Arial" w:cs="Arial" w:eastAsia="Arial" w:hAnsi="Arial"/>
                  <w:sz w:val="18"/>
                  <w:szCs w:val="18"/>
                  <w:color w:val="0000FF"/>
                </w:rPr>
                <w:t>Fluidigm Corporation Change of Control and Severance Plan.</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8/23/2017</w:t>
            </w: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w w:val="87"/>
              </w:rPr>
              <w:t>10.33#</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Endorsement Split-Dollar Life Insurance Agreement.</w:t>
              </w:r>
            </w:hyperlink>
          </w:p>
        </w:tc>
        <w:tc>
          <w:tcPr>
            <w:tcW w:w="620" w:type="dxa"/>
            <w:vAlign w:val="bottom"/>
            <w:tcBorders>
              <w:top w:val="single" w:sz="8" w:color="0000FF"/>
            </w:tcBorders>
            <w:gridSpan w:val="3"/>
          </w:tcPr>
          <w:p>
            <w:pPr>
              <w:spacing w:after="0"/>
              <w:rPr>
                <w:sz w:val="21"/>
                <w:szCs w:val="21"/>
                <w:color w:val="auto"/>
              </w:rPr>
            </w:pPr>
          </w:p>
        </w:tc>
        <w:tc>
          <w:tcPr>
            <w:tcW w:w="540" w:type="dxa"/>
            <w:vAlign w:val="bottom"/>
            <w:gridSpan w:val="8"/>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11/7/2017</w:t>
            </w: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12.1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20" w:type="dxa"/>
            <w:vAlign w:val="bottom"/>
            <w:tcBorders>
              <w:bottom w:val="single" w:sz="8" w:color="0000FF"/>
            </w:tcBorders>
            <w:gridSpan w:val="14"/>
          </w:tcPr>
          <w:p>
            <w:pPr>
              <w:spacing w:after="0"/>
              <w:rPr>
                <w:rFonts w:ascii="Arial" w:cs="Arial" w:eastAsia="Arial" w:hAnsi="Arial"/>
                <w:sz w:val="18"/>
                <w:szCs w:val="18"/>
                <w:color w:val="0000FF"/>
                <w:w w:val="90"/>
              </w:rPr>
            </w:pPr>
            <w:hyperlink w:anchor="page107">
              <w:r>
                <w:rPr>
                  <w:rFonts w:ascii="Arial" w:cs="Arial" w:eastAsia="Arial" w:hAnsi="Arial"/>
                  <w:sz w:val="18"/>
                  <w:szCs w:val="18"/>
                  <w:color w:val="0000FF"/>
                  <w:w w:val="90"/>
                </w:rPr>
                <w:t>Computation of ratio of earnings to combined fixed charges and</w:t>
              </w:r>
            </w:hyperlink>
          </w:p>
        </w:tc>
        <w:tc>
          <w:tcPr>
            <w:tcW w:w="380" w:type="dxa"/>
            <w:vAlign w:val="bottom"/>
            <w:gridSpan w:val="6"/>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w:anchor="page107">
              <w:r>
                <w:rPr>
                  <w:rFonts w:ascii="Arial" w:cs="Arial" w:eastAsia="Arial" w:hAnsi="Arial"/>
                  <w:sz w:val="18"/>
                  <w:szCs w:val="18"/>
                  <w:color w:val="0000FF"/>
                  <w:w w:val="89"/>
                </w:rPr>
                <w:t>preference dividends.</w:t>
              </w:r>
            </w:hyperlink>
          </w:p>
        </w:tc>
        <w:tc>
          <w:tcPr>
            <w:tcW w:w="3440" w:type="dxa"/>
            <w:vAlign w:val="bottom"/>
            <w:gridSpan w:val="18"/>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21.1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20"/>
          </w:tcPr>
          <w:p>
            <w:pPr>
              <w:spacing w:after="0"/>
              <w:rPr>
                <w:rFonts w:ascii="Arial" w:cs="Arial" w:eastAsia="Arial" w:hAnsi="Arial"/>
                <w:sz w:val="18"/>
                <w:szCs w:val="18"/>
                <w:color w:val="0000FF"/>
              </w:rPr>
            </w:pPr>
            <w:hyperlink r:id="rId76">
              <w:r>
                <w:rPr>
                  <w:rFonts w:ascii="Arial" w:cs="Arial" w:eastAsia="Arial" w:hAnsi="Arial"/>
                  <w:sz w:val="18"/>
                  <w:szCs w:val="18"/>
                  <w:color w:val="0000FF"/>
                </w:rPr>
                <w:t>Subsidiaries of Fluidigm Corporation.</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3/3/2017</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20"/>
          </w:tcPr>
          <w:p>
            <w:pPr>
              <w:spacing w:after="0"/>
              <w:rPr>
                <w:rFonts w:ascii="Arial" w:cs="Arial" w:eastAsia="Arial" w:hAnsi="Arial"/>
                <w:sz w:val="18"/>
                <w:szCs w:val="18"/>
                <w:color w:val="0000FF"/>
                <w:w w:val="93"/>
              </w:rPr>
            </w:pPr>
            <w:hyperlink w:anchor="page108">
              <w:r>
                <w:rPr>
                  <w:rFonts w:ascii="Arial" w:cs="Arial" w:eastAsia="Arial" w:hAnsi="Arial"/>
                  <w:sz w:val="18"/>
                  <w:szCs w:val="18"/>
                  <w:color w:val="0000FF"/>
                  <w:w w:val="93"/>
                </w:rPr>
                <w:t>Consent of PricewaterhouseCoopers LLP, Independent Registered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108">
              <w:r>
                <w:rPr>
                  <w:rFonts w:ascii="Arial" w:cs="Arial" w:eastAsia="Arial" w:hAnsi="Arial"/>
                  <w:sz w:val="18"/>
                  <w:szCs w:val="18"/>
                  <w:color w:val="0000FF"/>
                </w:rPr>
                <w:t>Public Accounting Firm.</w:t>
              </w:r>
            </w:hyperlink>
          </w:p>
        </w:tc>
        <w:tc>
          <w:tcPr>
            <w:tcW w:w="240" w:type="dxa"/>
            <w:vAlign w:val="bottom"/>
            <w:gridSpan w:val="3"/>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2420" w:type="dxa"/>
            <w:vAlign w:val="bottom"/>
            <w:tcBorders>
              <w:left w:val="single" w:sz="8" w:color="0000FF"/>
            </w:tcBorders>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24.1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06">
              <w:r>
                <w:rPr>
                  <w:rFonts w:ascii="Arial" w:cs="Arial" w:eastAsia="Arial" w:hAnsi="Arial"/>
                  <w:sz w:val="18"/>
                  <w:szCs w:val="18"/>
                  <w:color w:val="0000EE"/>
                  <w:w w:val="90"/>
                </w:rPr>
                <w:t>Power of Attorney (contained in the signature page to this</w:t>
              </w:r>
            </w:hyperlink>
          </w:p>
        </w:tc>
        <w:tc>
          <w:tcPr>
            <w:tcW w:w="820" w:type="dxa"/>
            <w:vAlign w:val="bottom"/>
            <w:gridSpan w:val="10"/>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06">
              <w:r>
                <w:rPr>
                  <w:rFonts w:ascii="Arial" w:cs="Arial" w:eastAsia="Arial" w:hAnsi="Arial"/>
                  <w:sz w:val="18"/>
                  <w:szCs w:val="18"/>
                  <w:color w:val="0000EE"/>
                  <w:w w:val="93"/>
                </w:rPr>
                <w:t>Form 10-K).</w:t>
              </w:r>
            </w:hyperlink>
          </w:p>
        </w:tc>
        <w:tc>
          <w:tcPr>
            <w:tcW w:w="4080" w:type="dxa"/>
            <w:vAlign w:val="bottom"/>
            <w:gridSpan w:val="19"/>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20"/>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tcBorders>
              <w:left w:val="single" w:sz="8" w:color="0000FF"/>
            </w:tcBorders>
            <w:gridSpan w:val="8"/>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w:anchor="page109">
              <w:r>
                <w:rPr>
                  <w:rFonts w:ascii="Arial" w:cs="Arial" w:eastAsia="Arial" w:hAnsi="Arial"/>
                  <w:sz w:val="18"/>
                  <w:szCs w:val="18"/>
                  <w:color w:val="0000FF"/>
                  <w:w w:val="90"/>
                </w:rPr>
                <w:t>Pursuant to Section 302 of the Sarbanes-Oxley Act of 2002 of</w:t>
              </w:r>
            </w:hyperlink>
          </w:p>
        </w:tc>
        <w:tc>
          <w:tcPr>
            <w:tcW w:w="520" w:type="dxa"/>
            <w:vAlign w:val="bottom"/>
            <w:gridSpan w:val="7"/>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20"/>
          </w:tcPr>
          <w:p>
            <w:pPr>
              <w:spacing w:after="0" w:line="196" w:lineRule="exact"/>
              <w:rPr>
                <w:rFonts w:ascii="Arial" w:cs="Arial" w:eastAsia="Arial" w:hAnsi="Arial"/>
                <w:sz w:val="18"/>
                <w:szCs w:val="18"/>
                <w:color w:val="0000FF"/>
              </w:rPr>
            </w:pPr>
            <w:hyperlink w:anchor="page109">
              <w:r>
                <w:rPr>
                  <w:rFonts w:ascii="Arial" w:cs="Arial" w:eastAsia="Arial" w:hAnsi="Arial"/>
                  <w:sz w:val="18"/>
                  <w:szCs w:val="18"/>
                  <w:color w:val="0000FF"/>
                </w:rPr>
                <w:t>Chief Executive Officer.</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3240" w:type="dxa"/>
            <w:vAlign w:val="bottom"/>
            <w:gridSpan w:val="17"/>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20"/>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2660" w:type="dxa"/>
            <w:vAlign w:val="bottom"/>
            <w:tcBorders>
              <w:left w:val="single" w:sz="8" w:color="0000FF"/>
            </w:tcBorders>
            <w:gridSpan w:val="8"/>
            <w:shd w:val="clear" w:color="auto" w:fill="0000FF"/>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w:anchor="page110">
              <w:r>
                <w:rPr>
                  <w:rFonts w:ascii="Arial" w:cs="Arial" w:eastAsia="Arial" w:hAnsi="Arial"/>
                  <w:sz w:val="18"/>
                  <w:szCs w:val="18"/>
                  <w:color w:val="0000FF"/>
                  <w:w w:val="90"/>
                </w:rPr>
                <w:t>Pursuant to Section 302 of the Sarbanes-Oxley Act of 2002 of</w:t>
              </w:r>
            </w:hyperlink>
          </w:p>
        </w:tc>
        <w:tc>
          <w:tcPr>
            <w:tcW w:w="520" w:type="dxa"/>
            <w:vAlign w:val="bottom"/>
            <w:gridSpan w:val="7"/>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gridSpan w:val="3"/>
          </w:tcPr>
          <w:p>
            <w:pPr>
              <w:spacing w:after="0" w:line="196" w:lineRule="exact"/>
              <w:rPr>
                <w:rFonts w:ascii="Arial" w:cs="Arial" w:eastAsia="Arial" w:hAnsi="Arial"/>
                <w:sz w:val="18"/>
                <w:szCs w:val="18"/>
                <w:color w:val="0000FF"/>
                <w:w w:val="94"/>
              </w:rPr>
            </w:pPr>
            <w:hyperlink w:anchor="page110">
              <w:r>
                <w:rPr>
                  <w:rFonts w:ascii="Arial" w:cs="Arial" w:eastAsia="Arial" w:hAnsi="Arial"/>
                  <w:sz w:val="18"/>
                  <w:szCs w:val="18"/>
                  <w:color w:val="0000FF"/>
                  <w:w w:val="94"/>
                </w:rPr>
                <w:t>Chief Financial Officer.</w:t>
              </w:r>
            </w:hyperlink>
          </w:p>
        </w:tc>
        <w:tc>
          <w:tcPr>
            <w:tcW w:w="3240" w:type="dxa"/>
            <w:vAlign w:val="bottom"/>
            <w:gridSpan w:val="17"/>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20"/>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11"/>
            <w:shd w:val="clear" w:color="auto" w:fill="0000FF"/>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w:anchor="page111">
              <w:r>
                <w:rPr>
                  <w:rFonts w:ascii="Arial" w:cs="Arial" w:eastAsia="Arial" w:hAnsi="Arial"/>
                  <w:sz w:val="18"/>
                  <w:szCs w:val="18"/>
                  <w:color w:val="0000FF"/>
                  <w:w w:val="90"/>
                </w:rPr>
                <w:t>Pursuant to Section 906 of the Sarbanes-Oxley Act of 2002 of</w:t>
              </w:r>
            </w:hyperlink>
          </w:p>
        </w:tc>
        <w:tc>
          <w:tcPr>
            <w:tcW w:w="520" w:type="dxa"/>
            <w:vAlign w:val="bottom"/>
            <w:gridSpan w:val="7"/>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20"/>
          </w:tcPr>
          <w:p>
            <w:pPr>
              <w:spacing w:after="0" w:line="196" w:lineRule="exact"/>
              <w:rPr>
                <w:rFonts w:ascii="Arial" w:cs="Arial" w:eastAsia="Arial" w:hAnsi="Arial"/>
                <w:sz w:val="18"/>
                <w:szCs w:val="18"/>
                <w:color w:val="0000FF"/>
              </w:rPr>
            </w:pPr>
            <w:hyperlink w:anchor="page111">
              <w:r>
                <w:rPr>
                  <w:rFonts w:ascii="Arial" w:cs="Arial" w:eastAsia="Arial" w:hAnsi="Arial"/>
                  <w:sz w:val="18"/>
                  <w:szCs w:val="18"/>
                  <w:color w:val="0000FF"/>
                </w:rPr>
                <w:t>Chief Executive Officer.</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3240" w:type="dxa"/>
            <w:vAlign w:val="bottom"/>
            <w:gridSpan w:val="17"/>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0" w:type="dxa"/>
            <w:vAlign w:val="bottom"/>
            <w:gridSpan w:val="20"/>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Certification Pursuant to 18 U.S.C. Section 1350, as Adopted</w:t>
              </w:r>
            </w:hyperlink>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11"/>
            <w:shd w:val="clear" w:color="auto" w:fill="0000FF"/>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w:anchor="page112">
              <w:r>
                <w:rPr>
                  <w:rFonts w:ascii="Arial" w:cs="Arial" w:eastAsia="Arial" w:hAnsi="Arial"/>
                  <w:sz w:val="18"/>
                  <w:szCs w:val="18"/>
                  <w:color w:val="0000FF"/>
                  <w:w w:val="90"/>
                </w:rPr>
                <w:t>Pursuant to Section 906 of the Sarbanes-Oxley Act of 2002 of</w:t>
              </w:r>
            </w:hyperlink>
          </w:p>
        </w:tc>
        <w:tc>
          <w:tcPr>
            <w:tcW w:w="520" w:type="dxa"/>
            <w:vAlign w:val="bottom"/>
            <w:gridSpan w:val="7"/>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gridSpan w:val="20"/>
          </w:tcPr>
          <w:p>
            <w:pPr>
              <w:spacing w:after="0" w:line="196" w:lineRule="exact"/>
              <w:rPr>
                <w:rFonts w:ascii="Arial" w:cs="Arial" w:eastAsia="Arial" w:hAnsi="Arial"/>
                <w:sz w:val="18"/>
                <w:szCs w:val="18"/>
                <w:color w:val="0000FF"/>
              </w:rPr>
            </w:pPr>
            <w:hyperlink w:anchor="page112">
              <w:r>
                <w:rPr>
                  <w:rFonts w:ascii="Arial" w:cs="Arial" w:eastAsia="Arial" w:hAnsi="Arial"/>
                  <w:sz w:val="18"/>
                  <w:szCs w:val="18"/>
                  <w:color w:val="0000FF"/>
                </w:rPr>
                <w:t>Chief Executive Officer.</w:t>
              </w:r>
            </w:hyperlink>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right w:val="single" w:sz="8" w:color="0000FF"/>
            </w:tcBorders>
            <w:gridSpan w:val="3"/>
            <w:shd w:val="clear" w:color="auto" w:fill="0000FF"/>
          </w:tcPr>
          <w:p>
            <w:pPr>
              <w:spacing w:after="0" w:line="20" w:lineRule="exact"/>
              <w:rPr>
                <w:sz w:val="1"/>
                <w:szCs w:val="1"/>
                <w:color w:val="auto"/>
              </w:rPr>
            </w:pPr>
          </w:p>
        </w:tc>
        <w:tc>
          <w:tcPr>
            <w:tcW w:w="3240" w:type="dxa"/>
            <w:vAlign w:val="bottom"/>
            <w:gridSpan w:val="17"/>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20"/>
          </w:tcPr>
          <w:p>
            <w:pPr>
              <w:spacing w:after="0"/>
              <w:rPr>
                <w:sz w:val="20"/>
                <w:szCs w:val="20"/>
                <w:color w:val="auto"/>
              </w:rPr>
            </w:pPr>
            <w:r>
              <w:rPr>
                <w:rFonts w:ascii="Arial" w:cs="Arial" w:eastAsia="Arial" w:hAnsi="Arial"/>
                <w:sz w:val="18"/>
                <w:szCs w:val="18"/>
                <w:color w:val="auto"/>
              </w:rPr>
              <w:t>XBRL Taxonomy Extension Label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Document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Filed herewith</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hanging="127"/>
        <w:spacing w:after="0"/>
        <w:tabs>
          <w:tab w:leader="none" w:pos="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Portions of the exhibit have been omitted pursuant to an order granted by the Securities and Exchange Commission for confidential treatment.</w:t>
      </w:r>
    </w:p>
    <w:p>
      <w:pPr>
        <w:spacing w:after="0" w:line="237" w:lineRule="exact"/>
        <w:rPr>
          <w:sz w:val="20"/>
          <w:szCs w:val="20"/>
          <w:color w:val="auto"/>
        </w:rPr>
      </w:pPr>
    </w:p>
    <w:p>
      <w:pPr>
        <w:ind w:left="180" w:right="160" w:hanging="172"/>
        <w:spacing w:after="0" w:line="264" w:lineRule="auto"/>
        <w:tabs>
          <w:tab w:leader="none" w:pos="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888" w:right="259" w:bottom="1440" w:gutter="0" w:footer="0" w:header="0"/>
        </w:sectPr>
      </w:pPr>
    </w:p>
    <w:bookmarkStart w:id="105" w:name="page106"/>
    <w:bookmarkEnd w:id="105"/>
    <w:p>
      <w:pPr>
        <w:ind w:left="180" w:right="40"/>
        <w:spacing w:after="0" w:line="308" w:lineRule="auto"/>
        <w:rPr>
          <w:sz w:val="20"/>
          <w:szCs w:val="20"/>
          <w:color w:val="auto"/>
        </w:rPr>
      </w:pPr>
      <w:r>
        <w:rPr>
          <w:rFonts w:ascii="Arial" w:cs="Arial" w:eastAsia="Arial" w:hAnsi="Arial"/>
          <w:sz w:val="17"/>
          <w:szCs w:val="17"/>
          <w:color w:val="auto"/>
        </w:rPr>
        <w:t>will not be deemed “filed” for purposes of Section 18 of the Exchange Act. Such certifications will not be deemed to be incorporated by reference into any filings under the Securities Act or the Exchange Act, except to the extent that Fluidigm Corporation specifically incorporates it by reference.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340" w:val="left"/>
          <w:tab w:leader="none" w:pos="8440" w:val="left"/>
        </w:tabs>
        <w:rPr>
          <w:sz w:val="20"/>
          <w:szCs w:val="20"/>
          <w:color w:val="auto"/>
        </w:rPr>
      </w:pPr>
      <w:r>
        <w:rPr>
          <w:rFonts w:ascii="Arial" w:cs="Arial" w:eastAsia="Arial" w:hAnsi="Arial"/>
          <w:sz w:val="18"/>
          <w:szCs w:val="18"/>
          <w:color w:val="auto"/>
        </w:rPr>
        <w:t>Dated: March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16"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Stephen Christopher Linthwaite</w:t>
      </w:r>
    </w:p>
    <w:p>
      <w:pPr>
        <w:spacing w:after="0" w:line="109"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Stephen Christopher Linthwaite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1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5" w:lineRule="exact"/>
        <w:rPr>
          <w:sz w:val="20"/>
          <w:szCs w:val="20"/>
          <w:color w:val="auto"/>
        </w:rPr>
      </w:pPr>
    </w:p>
    <w:p>
      <w:pPr>
        <w:ind w:left="2100"/>
        <w:spacing w:after="0"/>
        <w:tabs>
          <w:tab w:leader="none" w:pos="7040" w:val="left"/>
          <w:tab w:leader="none" w:pos="103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w w:val="99"/>
              </w:rPr>
              <w:t>President and Chief Executive Officer (Principal Executive</w:t>
            </w:r>
          </w:p>
        </w:tc>
        <w:tc>
          <w:tcPr>
            <w:tcW w:w="1440" w:type="dxa"/>
            <w:vAlign w:val="bottom"/>
          </w:tcPr>
          <w:p>
            <w:pPr>
              <w:spacing w:after="0"/>
              <w:rPr>
                <w:sz w:val="18"/>
                <w:szCs w:val="18"/>
                <w:color w:val="auto"/>
              </w:rPr>
            </w:pPr>
          </w:p>
        </w:tc>
      </w:t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Stephen Christopher Linthwaite</w:t>
            </w:r>
          </w:p>
        </w:tc>
        <w:tc>
          <w:tcPr>
            <w:tcW w:w="4800" w:type="dxa"/>
            <w:vAlign w:val="bottom"/>
          </w:tcPr>
          <w:p>
            <w:pPr>
              <w:ind w:left="160"/>
              <w:spacing w:after="0"/>
              <w:rPr>
                <w:sz w:val="20"/>
                <w:szCs w:val="20"/>
                <w:color w:val="auto"/>
              </w:rPr>
            </w:pPr>
            <w:r>
              <w:rPr>
                <w:rFonts w:ascii="Arial" w:cs="Arial" w:eastAsia="Arial" w:hAnsi="Arial"/>
                <w:sz w:val="18"/>
                <w:szCs w:val="18"/>
                <w:color w:val="auto"/>
              </w:rPr>
              <w:t>Officer); 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8, 2018</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4"/>
              </w:rPr>
              <w:t>Stephen Christopher Linthwaite</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Vikram Jog</w:t>
            </w:r>
          </w:p>
        </w:tc>
        <w:tc>
          <w:tcPr>
            <w:tcW w:w="4800" w:type="dxa"/>
            <w:vAlign w:val="bottom"/>
          </w:tcPr>
          <w:p>
            <w:pPr>
              <w:ind w:left="160"/>
              <w:spacing w:after="0"/>
              <w:rPr>
                <w:sz w:val="20"/>
                <w:szCs w:val="20"/>
                <w:color w:val="auto"/>
              </w:rPr>
            </w:pPr>
            <w:r>
              <w:rPr>
                <w:rFonts w:ascii="Arial" w:cs="Arial" w:eastAsia="Arial" w:hAnsi="Arial"/>
                <w:sz w:val="18"/>
                <w:szCs w:val="18"/>
                <w:color w:val="auto"/>
              </w:rPr>
              <w:t>Chief Financial Officer (Principal Financial Officer)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8, 2018</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Vikram Jog</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Jennifer Lee</w:t>
            </w:r>
          </w:p>
        </w:tc>
        <w:tc>
          <w:tcPr>
            <w:tcW w:w="4800" w:type="dxa"/>
            <w:vAlign w:val="bottom"/>
          </w:tcPr>
          <w:p>
            <w:pPr>
              <w:ind w:left="160"/>
              <w:spacing w:after="0"/>
              <w:rPr>
                <w:sz w:val="20"/>
                <w:szCs w:val="20"/>
                <w:color w:val="auto"/>
              </w:rPr>
            </w:pPr>
            <w:r>
              <w:rPr>
                <w:rFonts w:ascii="Arial" w:cs="Arial" w:eastAsia="Arial" w:hAnsi="Arial"/>
                <w:sz w:val="18"/>
                <w:szCs w:val="18"/>
                <w:color w:val="auto"/>
              </w:rPr>
              <w:t>Vice President, Controller (Principal Accounting Officer)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8, 2018</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8"/>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4"/>
              </w:rPr>
              <w:t>Jennifer Lee</w:t>
            </w:r>
          </w:p>
        </w:tc>
        <w:tc>
          <w:tcPr>
            <w:tcW w:w="48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5"/>
        </w:trPr>
        <w:tc>
          <w:tcPr>
            <w:tcW w:w="4800" w:type="dxa"/>
            <w:vAlign w:val="bottom"/>
          </w:tcPr>
          <w:p>
            <w:pPr>
              <w:jc w:val="center"/>
              <w:spacing w:after="0"/>
              <w:rPr>
                <w:sz w:val="20"/>
                <w:szCs w:val="20"/>
                <w:color w:val="auto"/>
              </w:rPr>
            </w:pPr>
            <w:r>
              <w:rPr>
                <w:rFonts w:ascii="Arial" w:cs="Arial" w:eastAsia="Arial" w:hAnsi="Arial"/>
                <w:sz w:val="18"/>
                <w:szCs w:val="18"/>
                <w:color w:val="auto"/>
                <w:w w:val="91"/>
              </w:rPr>
              <w:t>/s/ Samuel D. Colella</w:t>
            </w:r>
          </w:p>
        </w:tc>
        <w:tc>
          <w:tcPr>
            <w:tcW w:w="4800" w:type="dxa"/>
            <w:vAlign w:val="bottom"/>
          </w:tcPr>
          <w:p>
            <w:pPr>
              <w:ind w:left="160"/>
              <w:spacing w:after="0"/>
              <w:rPr>
                <w:sz w:val="20"/>
                <w:szCs w:val="20"/>
                <w:color w:val="auto"/>
              </w:rPr>
            </w:pPr>
            <w:r>
              <w:rPr>
                <w:rFonts w:ascii="Arial" w:cs="Arial" w:eastAsia="Arial" w:hAnsi="Arial"/>
                <w:sz w:val="18"/>
                <w:szCs w:val="18"/>
                <w:color w:val="auto"/>
              </w:rPr>
              <w:t>Chairman of the Board of Directors</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8, 2018</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3"/>
              </w:rPr>
              <w:t>Samuel D. Colella</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93"/>
              </w:rPr>
              <w:t>/s/ Nicolas M. Barthelemy</w:t>
            </w:r>
          </w:p>
        </w:tc>
        <w:tc>
          <w:tcPr>
            <w:tcW w:w="48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8, 2018</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Nicolas M. Barthelemy</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9"/>
              </w:rPr>
              <w:t>/s/ Gerhard F. Burbach</w:t>
            </w:r>
          </w:p>
        </w:tc>
        <w:tc>
          <w:tcPr>
            <w:tcW w:w="48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8, 2018</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5"/>
              </w:rPr>
              <w:t>Gerhard F. Burbach</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 Patrick S. Jones</w:t>
            </w:r>
          </w:p>
        </w:tc>
        <w:tc>
          <w:tcPr>
            <w:tcW w:w="48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8, 2018</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0"/>
              </w:rPr>
              <w:t>Patrick S. Jones</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09"/>
        </w:trPr>
        <w:tc>
          <w:tcPr>
            <w:tcW w:w="4800" w:type="dxa"/>
            <w:vAlign w:val="bottom"/>
          </w:tcPr>
          <w:p>
            <w:pPr>
              <w:jc w:val="center"/>
              <w:spacing w:after="0"/>
              <w:rPr>
                <w:sz w:val="20"/>
                <w:szCs w:val="20"/>
                <w:color w:val="auto"/>
              </w:rPr>
            </w:pPr>
            <w:r>
              <w:rPr>
                <w:rFonts w:ascii="Arial" w:cs="Arial" w:eastAsia="Arial" w:hAnsi="Arial"/>
                <w:sz w:val="18"/>
                <w:szCs w:val="18"/>
                <w:color w:val="auto"/>
                <w:w w:val="88"/>
              </w:rPr>
              <w:t>/s/ Carlos V. Paya</w:t>
            </w:r>
          </w:p>
        </w:tc>
        <w:tc>
          <w:tcPr>
            <w:tcW w:w="480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440" w:type="dxa"/>
            <w:vAlign w:val="bottom"/>
          </w:tcPr>
          <w:p>
            <w:pPr>
              <w:ind w:left="380"/>
              <w:spacing w:after="0"/>
              <w:rPr>
                <w:sz w:val="20"/>
                <w:szCs w:val="20"/>
                <w:color w:val="auto"/>
              </w:rPr>
            </w:pPr>
            <w:r>
              <w:rPr>
                <w:rFonts w:ascii="Arial" w:cs="Arial" w:eastAsia="Arial" w:hAnsi="Arial"/>
                <w:sz w:val="18"/>
                <w:szCs w:val="18"/>
                <w:color w:val="auto"/>
                <w:w w:val="90"/>
              </w:rPr>
              <w:t>March 8, 2018</w:t>
            </w:r>
          </w:p>
        </w:tc>
      </w:tr>
      <w:tr>
        <w:trPr>
          <w:trHeight w:val="27"/>
        </w:trPr>
        <w:tc>
          <w:tcPr>
            <w:tcW w:w="480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4"/>
        </w:trPr>
        <w:tc>
          <w:tcPr>
            <w:tcW w:w="4800" w:type="dxa"/>
            <w:vAlign w:val="bottom"/>
          </w:tcPr>
          <w:p>
            <w:pPr>
              <w:jc w:val="center"/>
              <w:spacing w:after="0"/>
              <w:rPr>
                <w:sz w:val="20"/>
                <w:szCs w:val="20"/>
                <w:color w:val="auto"/>
              </w:rPr>
            </w:pPr>
            <w:r>
              <w:rPr>
                <w:rFonts w:ascii="Arial" w:cs="Arial" w:eastAsia="Arial" w:hAnsi="Arial"/>
                <w:sz w:val="14"/>
                <w:szCs w:val="14"/>
                <w:b w:val="1"/>
                <w:bCs w:val="1"/>
                <w:color w:val="auto"/>
                <w:w w:val="92"/>
              </w:rPr>
              <w:t>Carlos V. Paya</w:t>
            </w:r>
          </w:p>
        </w:tc>
        <w:tc>
          <w:tcPr>
            <w:tcW w:w="48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525"/>
        </w:trPr>
        <w:tc>
          <w:tcPr>
            <w:tcW w:w="4800" w:type="dxa"/>
            <w:vAlign w:val="bottom"/>
          </w:tcPr>
          <w:p>
            <w:pPr>
              <w:spacing w:after="0"/>
              <w:rPr>
                <w:sz w:val="24"/>
                <w:szCs w:val="24"/>
                <w:color w:val="auto"/>
              </w:rPr>
            </w:pPr>
          </w:p>
        </w:tc>
        <w:tc>
          <w:tcPr>
            <w:tcW w:w="4800" w:type="dxa"/>
            <w:vAlign w:val="bottom"/>
          </w:tcPr>
          <w:p>
            <w:pPr>
              <w:ind w:left="780"/>
              <w:spacing w:after="0"/>
              <w:rPr>
                <w:sz w:val="20"/>
                <w:szCs w:val="20"/>
                <w:color w:val="auto"/>
              </w:rPr>
            </w:pPr>
            <w:r>
              <w:rPr>
                <w:rFonts w:ascii="Arial" w:cs="Arial" w:eastAsia="Arial" w:hAnsi="Arial"/>
                <w:sz w:val="18"/>
                <w:szCs w:val="18"/>
                <w:color w:val="auto"/>
              </w:rPr>
              <w:t>102</w:t>
            </w:r>
          </w:p>
        </w:tc>
        <w:tc>
          <w:tcPr>
            <w:tcW w:w="1440" w:type="dxa"/>
            <w:vAlign w:val="bottom"/>
          </w:tcPr>
          <w:p>
            <w:pPr>
              <w:spacing w:after="0"/>
              <w:rPr>
                <w:sz w:val="24"/>
                <w:szCs w:val="24"/>
                <w:color w:val="auto"/>
              </w:rPr>
            </w:pPr>
          </w:p>
        </w:tc>
      </w:tr>
    </w:tbl>
    <w:p>
      <w:pPr>
        <w:sectPr>
          <w:pgSz w:w="11900" w:h="16838" w:orient="portrait"/>
          <w:cols w:equalWidth="0" w:num="1">
            <w:col w:w="11360"/>
          </w:cols>
          <w:pgMar w:left="240" w:top="746" w:right="29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w:t>
      </w:r>
    </w:p>
    <w:p>
      <w:pPr>
        <w:spacing w:after="0" w:line="252" w:lineRule="exact"/>
        <w:rPr>
          <w:sz w:val="20"/>
          <w:szCs w:val="20"/>
          <w:color w:val="auto"/>
        </w:rPr>
      </w:pPr>
    </w:p>
    <w:p>
      <w:pPr>
        <w:jc w:val="both"/>
        <w:ind w:left="680" w:right="260" w:hanging="215"/>
        <w:spacing w:after="0" w:line="264" w:lineRule="auto"/>
        <w:rPr>
          <w:sz w:val="20"/>
          <w:szCs w:val="20"/>
          <w:color w:val="auto"/>
        </w:rPr>
      </w:pPr>
      <w:r>
        <w:rPr>
          <w:rFonts w:ascii="Arial" w:cs="Arial" w:eastAsia="Arial" w:hAnsi="Arial"/>
          <w:sz w:val="18"/>
          <w:szCs w:val="18"/>
          <w:color w:val="auto"/>
        </w:rPr>
        <w:t>Net loss attributed to common stockholders before income taxes</w:t>
      </w:r>
    </w:p>
    <w:p>
      <w:pPr>
        <w:spacing w:after="0" w:line="208" w:lineRule="exact"/>
        <w:rPr>
          <w:sz w:val="20"/>
          <w:szCs w:val="20"/>
          <w:color w:val="auto"/>
        </w:rPr>
      </w:pPr>
    </w:p>
    <w:p>
      <w:pPr>
        <w:ind w:left="680" w:hanging="215"/>
        <w:spacing w:after="0" w:line="277" w:lineRule="auto"/>
        <w:rPr>
          <w:sz w:val="20"/>
          <w:szCs w:val="20"/>
          <w:color w:val="auto"/>
        </w:rPr>
      </w:pPr>
      <w:r>
        <w:rPr>
          <w:rFonts w:ascii="Arial" w:cs="Arial" w:eastAsia="Arial" w:hAnsi="Arial"/>
          <w:sz w:val="18"/>
          <w:szCs w:val="18"/>
          <w:color w:val="auto"/>
        </w:rPr>
        <w:t>Add: Combined fixed charges and preference dividends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Capitalized interest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earnings for computation of ratio</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Charges:</w:t>
      </w:r>
    </w:p>
    <w:p>
      <w:pPr>
        <w:spacing w:after="0" w:line="252" w:lineRule="exact"/>
        <w:rPr>
          <w:sz w:val="20"/>
          <w:szCs w:val="20"/>
          <w:color w:val="auto"/>
        </w:rPr>
      </w:pPr>
    </w:p>
    <w:p>
      <w:pPr>
        <w:ind w:left="680" w:right="580" w:hanging="215"/>
        <w:spacing w:after="0" w:line="342" w:lineRule="auto"/>
        <w:rPr>
          <w:sz w:val="20"/>
          <w:szCs w:val="20"/>
          <w:color w:val="auto"/>
        </w:rPr>
      </w:pPr>
      <w:r>
        <w:rPr>
          <w:rFonts w:ascii="Arial" w:cs="Arial" w:eastAsia="Arial" w:hAnsi="Arial"/>
          <w:sz w:val="16"/>
          <w:szCs w:val="16"/>
          <w:color w:val="auto"/>
        </w:rPr>
        <w:t>Interest expense including capitalized interest</w:t>
      </w:r>
    </w:p>
    <w:p>
      <w:pPr>
        <w:spacing w:after="0" w:line="151" w:lineRule="exact"/>
        <w:rPr>
          <w:sz w:val="20"/>
          <w:szCs w:val="20"/>
          <w:color w:val="auto"/>
        </w:rPr>
      </w:pPr>
    </w:p>
    <w:p>
      <w:pPr>
        <w:ind w:left="680" w:right="140" w:hanging="215"/>
        <w:spacing w:after="0" w:line="277" w:lineRule="auto"/>
        <w:rPr>
          <w:sz w:val="20"/>
          <w:szCs w:val="20"/>
          <w:color w:val="auto"/>
        </w:rPr>
      </w:pPr>
      <w:r>
        <w:rPr>
          <w:rFonts w:ascii="Arial" w:cs="Arial" w:eastAsia="Arial" w:hAnsi="Arial"/>
          <w:sz w:val="18"/>
          <w:szCs w:val="18"/>
          <w:color w:val="auto"/>
        </w:rPr>
        <w:t>Estimated interest component of rent</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fixed charges</w:t>
      </w:r>
    </w:p>
    <w:p>
      <w:pPr>
        <w:spacing w:after="0" w:line="252" w:lineRule="exact"/>
        <w:rPr>
          <w:sz w:val="20"/>
          <w:szCs w:val="20"/>
          <w:color w:val="auto"/>
        </w:rPr>
      </w:pPr>
    </w:p>
    <w:p>
      <w:pPr>
        <w:ind w:left="260" w:right="40" w:hanging="215"/>
        <w:spacing w:after="0" w:line="277" w:lineRule="auto"/>
        <w:rPr>
          <w:sz w:val="20"/>
          <w:szCs w:val="20"/>
          <w:color w:val="auto"/>
        </w:rPr>
      </w:pPr>
      <w:r>
        <w:rPr>
          <w:rFonts w:ascii="Arial" w:cs="Arial" w:eastAsia="Arial" w:hAnsi="Arial"/>
          <w:sz w:val="18"/>
          <w:szCs w:val="18"/>
          <w:color w:val="auto"/>
        </w:rPr>
        <w:t>Combined fixed charges and preference dividends:</w:t>
      </w:r>
    </w:p>
    <w:p>
      <w:pPr>
        <w:spacing w:after="0" w:line="197" w:lineRule="exact"/>
        <w:rPr>
          <w:sz w:val="20"/>
          <w:szCs w:val="20"/>
          <w:color w:val="auto"/>
        </w:rPr>
      </w:pPr>
    </w:p>
    <w:p>
      <w:pPr>
        <w:ind w:left="680" w:right="580" w:hanging="215"/>
        <w:spacing w:after="0" w:line="342" w:lineRule="auto"/>
        <w:rPr>
          <w:sz w:val="20"/>
          <w:szCs w:val="20"/>
          <w:color w:val="auto"/>
        </w:rPr>
      </w:pPr>
      <w:r>
        <w:rPr>
          <w:rFonts w:ascii="Arial" w:cs="Arial" w:eastAsia="Arial" w:hAnsi="Arial"/>
          <w:sz w:val="16"/>
          <w:szCs w:val="16"/>
          <w:color w:val="auto"/>
        </w:rPr>
        <w:t>Interest expense including capitalized interest</w:t>
      </w:r>
    </w:p>
    <w:p>
      <w:pPr>
        <w:spacing w:after="0" w:line="151" w:lineRule="exact"/>
        <w:rPr>
          <w:sz w:val="20"/>
          <w:szCs w:val="20"/>
          <w:color w:val="auto"/>
        </w:rPr>
      </w:pPr>
    </w:p>
    <w:p>
      <w:pPr>
        <w:ind w:left="680" w:right="140" w:hanging="215"/>
        <w:spacing w:after="0" w:line="277" w:lineRule="auto"/>
        <w:rPr>
          <w:sz w:val="20"/>
          <w:szCs w:val="20"/>
          <w:color w:val="auto"/>
        </w:rPr>
      </w:pPr>
      <w:r>
        <w:rPr>
          <w:rFonts w:ascii="Arial" w:cs="Arial" w:eastAsia="Arial" w:hAnsi="Arial"/>
          <w:sz w:val="18"/>
          <w:szCs w:val="18"/>
          <w:color w:val="auto"/>
        </w:rPr>
        <w:t>Estimated interest component of rent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Deemed dividend</w:t>
      </w:r>
    </w:p>
    <w:p>
      <w:pPr>
        <w:spacing w:after="0" w:line="387" w:lineRule="exact"/>
        <w:rPr>
          <w:sz w:val="20"/>
          <w:szCs w:val="20"/>
          <w:color w:val="auto"/>
        </w:rPr>
      </w:pPr>
    </w:p>
    <w:p>
      <w:pPr>
        <w:ind w:left="260" w:right="480" w:hanging="215"/>
        <w:spacing w:after="0" w:line="277" w:lineRule="auto"/>
        <w:rPr>
          <w:sz w:val="20"/>
          <w:szCs w:val="20"/>
          <w:color w:val="auto"/>
        </w:rPr>
      </w:pPr>
      <w:r>
        <w:rPr>
          <w:rFonts w:ascii="Arial" w:cs="Arial" w:eastAsia="Arial" w:hAnsi="Arial"/>
          <w:sz w:val="18"/>
          <w:szCs w:val="18"/>
          <w:color w:val="auto"/>
        </w:rPr>
        <w:t>Total combined fixed charges and preference dividends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7"/>
          <w:szCs w:val="17"/>
          <w:color w:val="auto"/>
        </w:rPr>
        <w:t>Ratio of earnings to fixed charges (1)</w:t>
      </w:r>
    </w:p>
    <w:p>
      <w:pPr>
        <w:spacing w:after="0" w:line="264" w:lineRule="exact"/>
        <w:rPr>
          <w:sz w:val="20"/>
          <w:szCs w:val="20"/>
          <w:color w:val="auto"/>
        </w:rPr>
      </w:pPr>
    </w:p>
    <w:p>
      <w:pPr>
        <w:ind w:left="260" w:right="40" w:hanging="215"/>
        <w:spacing w:after="0" w:line="381" w:lineRule="auto"/>
        <w:rPr>
          <w:sz w:val="20"/>
          <w:szCs w:val="20"/>
          <w:color w:val="auto"/>
        </w:rPr>
      </w:pPr>
      <w:r>
        <w:rPr>
          <w:rFonts w:ascii="Arial" w:cs="Arial" w:eastAsia="Arial" w:hAnsi="Arial"/>
          <w:sz w:val="15"/>
          <w:szCs w:val="15"/>
          <w:color w:val="auto"/>
        </w:rPr>
        <w:t>Ratio of earnings to combined fixed charges and preference dividends (1)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ind w:right="320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3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Fiscal Years 2013 through 2017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52139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14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6"/>
                <w:szCs w:val="16"/>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6"/>
                <w:szCs w:val="16"/>
                <w:color w:val="auto"/>
              </w:rPr>
            </w:pPr>
          </w:p>
        </w:tc>
        <w:tc>
          <w:tcPr>
            <w:tcW w:w="13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-8255</wp:posOffset>
            </wp:positionV>
            <wp:extent cx="72466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574675</wp:posOffset>
            </wp:positionV>
            <wp:extent cx="7246620"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0">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(16,389)</w:t>
            </w:r>
          </w:p>
        </w:tc>
        <w:tc>
          <w:tcPr>
            <w:tcW w:w="3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(57,705)</w:t>
            </w:r>
          </w:p>
        </w:tc>
        <w:tc>
          <w:tcPr>
            <w:tcW w:w="36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(54,790)</w:t>
            </w:r>
          </w:p>
        </w:tc>
        <w:tc>
          <w:tcPr>
            <w:tcW w:w="3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(80,177)</w:t>
            </w:r>
          </w:p>
        </w:tc>
        <w:tc>
          <w:tcPr>
            <w:tcW w:w="3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(63,799)</w:t>
            </w:r>
          </w:p>
        </w:tc>
      </w:tr>
      <w:tr>
        <w:trPr>
          <w:trHeight w:val="675"/>
        </w:trPr>
        <w:tc>
          <w:tcPr>
            <w:tcW w:w="4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7,081</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8,353</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8,971</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8,251</w:t>
            </w:r>
          </w:p>
        </w:tc>
      </w:tr>
      <w:tr>
        <w:trPr>
          <w:trHeight w:val="459"/>
        </w:trPr>
        <w:tc>
          <w:tcPr>
            <w:tcW w:w="42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47"/>
        </w:trPr>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(15,220)</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(50,624)</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(46,437)</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(71,206)</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-650875</wp:posOffset>
            </wp:positionV>
            <wp:extent cx="72466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17145</wp:posOffset>
            </wp:positionV>
            <wp:extent cx="72466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5,344</w:t>
            </w:r>
          </w:p>
        </w:tc>
        <w:tc>
          <w:tcPr>
            <w:tcW w:w="3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5,808</w:t>
            </w:r>
          </w:p>
        </w:tc>
        <w:tc>
          <w:tcPr>
            <w:tcW w:w="3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5,820</w:t>
            </w:r>
          </w:p>
        </w:tc>
        <w:tc>
          <w:tcPr>
            <w:tcW w:w="3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5,824</w:t>
            </w:r>
          </w:p>
        </w:tc>
      </w:tr>
      <w:tr>
        <w:trPr>
          <w:trHeight w:val="675"/>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1,155</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1,737</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2,545</w:t>
            </w:r>
          </w:p>
        </w:tc>
        <w:tc>
          <w:tcPr>
            <w:tcW w:w="3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3,151</w:t>
            </w:r>
          </w:p>
        </w:tc>
        <w:tc>
          <w:tcPr>
            <w:tcW w:w="3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2,427</w:t>
            </w:r>
          </w:p>
        </w:tc>
      </w:tr>
      <w:tr>
        <w:trPr>
          <w:trHeight w:val="27"/>
        </w:trPr>
        <w:tc>
          <w:tcPr>
            <w:tcW w:w="14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47"/>
        </w:trPr>
        <w:tc>
          <w:tcPr>
            <w:tcW w:w="140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7,081</w:t>
            </w:r>
          </w:p>
        </w:tc>
        <w:tc>
          <w:tcPr>
            <w:tcW w:w="36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8,353</w:t>
            </w:r>
          </w:p>
        </w:tc>
        <w:tc>
          <w:tcPr>
            <w:tcW w:w="3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8,971</w:t>
            </w:r>
          </w:p>
        </w:tc>
        <w:tc>
          <w:tcPr>
            <w:tcW w:w="320" w:type="dxa"/>
            <w:vAlign w:val="bottom"/>
          </w:tcPr>
          <w:p>
            <w:pPr>
              <w:spacing w:after="0"/>
              <w:rPr>
                <w:sz w:val="24"/>
                <w:szCs w:val="24"/>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-788035</wp:posOffset>
            </wp:positionV>
            <wp:extent cx="7246620" cy="428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3">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17145</wp:posOffset>
            </wp:positionV>
            <wp:extent cx="724662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4">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5,344</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5,808</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5,820</w:t>
            </w: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5,824</w:t>
            </w:r>
          </w:p>
        </w:tc>
      </w:tr>
      <w:tr>
        <w:trPr>
          <w:trHeight w:val="675"/>
        </w:trPr>
        <w:tc>
          <w:tcPr>
            <w:tcW w:w="5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1,155</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1,737</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2,545</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3,151</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2,427</w:t>
            </w:r>
          </w:p>
        </w:tc>
      </w:tr>
      <w:tr>
        <w:trPr>
          <w:trHeight w:val="459"/>
        </w:trPr>
        <w:tc>
          <w:tcPr>
            <w:tcW w:w="5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763"/>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1,169</w:t>
            </w:r>
          </w:p>
        </w:tc>
        <w:tc>
          <w:tcPr>
            <w:tcW w:w="36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7,081</w:t>
            </w:r>
          </w:p>
        </w:tc>
        <w:tc>
          <w:tcPr>
            <w:tcW w:w="36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8,353</w:t>
            </w:r>
          </w:p>
        </w:tc>
        <w:tc>
          <w:tcPr>
            <w:tcW w:w="3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8,971</w:t>
            </w:r>
          </w:p>
        </w:tc>
        <w:tc>
          <w:tcPr>
            <w:tcW w:w="3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8,251</w:t>
            </w:r>
          </w:p>
        </w:tc>
      </w:tr>
      <w:tr>
        <w:trPr>
          <w:trHeight w:val="459"/>
        </w:trPr>
        <w:tc>
          <w:tcPr>
            <w:tcW w:w="5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75"/>
        </w:trPr>
        <w:tc>
          <w:tcPr>
            <w:tcW w:w="50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-1937385</wp:posOffset>
            </wp:positionV>
            <wp:extent cx="7246620" cy="428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5">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-1131570</wp:posOffset>
            </wp:positionV>
            <wp:extent cx="7246620" cy="428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6">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-410845</wp:posOffset>
            </wp:positionV>
            <wp:extent cx="7246620" cy="428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7">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260"/>
            <w:col w:w="8220"/>
          </w:cols>
          <w:pgMar w:left="240" w:top="121" w:right="239" w:bottom="1440" w:gutter="0" w:footer="0" w:header="0"/>
        </w:sectPr>
      </w:pPr>
    </w:p>
    <w:p>
      <w:pPr>
        <w:spacing w:after="0" w:line="69" w:lineRule="exact"/>
        <w:rPr>
          <w:sz w:val="20"/>
          <w:szCs w:val="20"/>
          <w:color w:val="auto"/>
        </w:rPr>
      </w:pPr>
    </w:p>
    <w:p>
      <w:pPr>
        <w:ind w:right="340" w:firstLine="8"/>
        <w:spacing w:after="0" w:line="277"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Earnings for the years ended December 31, 2013, 2014, 2015, 2016 and 2017 were insufficient to cover fixed charges by $16.4 million, $57.7 million, $54.8 million, $80.2 million and $63.8 million, respectively.</w:t>
      </w:r>
    </w:p>
    <w:p>
      <w:pPr>
        <w:spacing w:after="0" w:line="130"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For the purpose of calculating the ratio of earnings to fixed charges, earnings consist of net loss before benefit from income taxes. Fixed charges consist of interest expense and an estimate of the interest portion of rental expense. In addition, for the periods presented above, we did not have outstanding preferred securities and therefore were not required to pay any preferred security dividends.</w:t>
      </w:r>
    </w:p>
    <w:p>
      <w:pPr>
        <w:sectPr>
          <w:pgSz w:w="11900" w:h="16838" w:orient="portrait"/>
          <w:cols w:equalWidth="0" w:num="1">
            <w:col w:w="11420"/>
          </w:cols>
          <w:pgMar w:left="240" w:top="121" w:right="2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S-3, as amended (No. 333-216542), Form S</w:t>
      </w:r>
      <w:r>
        <w:rPr>
          <w:rFonts w:ascii="MS PGothic" w:cs="MS PGothic" w:eastAsia="MS PGothic" w:hAnsi="MS PGothic"/>
          <w:sz w:val="18"/>
          <w:szCs w:val="18"/>
          <w:color w:val="auto"/>
        </w:rPr>
        <w:t>‑</w:t>
      </w:r>
      <w:r>
        <w:rPr>
          <w:rFonts w:ascii="Arial" w:cs="Arial" w:eastAsia="Arial" w:hAnsi="Arial"/>
          <w:sz w:val="18"/>
          <w:szCs w:val="18"/>
          <w:color w:val="auto"/>
        </w:rPr>
        <w:t>8 (Nos. 333-172206, 333-180363, 333-187204, 333-202325, 333-209904, 333-215555, 333-219667, 333-222561), and Form S-3/S-8 (No. 333-194084) of Fluidigm Corporation of our report dated March 8, 2018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171"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482"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120" w:hanging="655"/>
        <w:spacing w:after="0" w:line="286" w:lineRule="auto"/>
        <w:tabs>
          <w:tab w:leader="none" w:pos="1492"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482"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200" w:hanging="655"/>
        <w:spacing w:after="0" w:line="286" w:lineRule="auto"/>
        <w:tabs>
          <w:tab w:leader="none" w:pos="1492"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8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340" w:hanging="655"/>
        <w:spacing w:after="0" w:line="342" w:lineRule="auto"/>
        <w:tabs>
          <w:tab w:leader="none" w:pos="1482"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140" w:hanging="655"/>
        <w:spacing w:after="0" w:line="277" w:lineRule="auto"/>
        <w:tabs>
          <w:tab w:leader="none" w:pos="14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760" w:val="left"/>
          <w:tab w:leader="none" w:pos="7440" w:val="left"/>
        </w:tabs>
        <w:rPr>
          <w:sz w:val="20"/>
          <w:szCs w:val="20"/>
          <w:color w:val="auto"/>
        </w:rPr>
      </w:pPr>
      <w:r>
        <w:rPr>
          <w:rFonts w:ascii="Arial" w:cs="Arial" w:eastAsia="Arial" w:hAnsi="Arial"/>
          <w:sz w:val="18"/>
          <w:szCs w:val="18"/>
          <w:color w:val="auto"/>
        </w:rPr>
        <w:t>Date: March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31750</wp:posOffset>
            </wp:positionV>
            <wp:extent cx="2667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742"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171" w:lineRule="exact"/>
        <w:rPr>
          <w:rFonts w:ascii="Arial" w:cs="Arial" w:eastAsia="Arial" w:hAnsi="Arial"/>
          <w:sz w:val="18"/>
          <w:szCs w:val="18"/>
          <w:color w:val="auto"/>
        </w:rPr>
      </w:pPr>
    </w:p>
    <w:p>
      <w:pPr>
        <w:ind w:left="1960" w:right="240" w:hanging="1304"/>
        <w:spacing w:after="0" w:line="264" w:lineRule="auto"/>
        <w:tabs>
          <w:tab w:leader="none" w:pos="13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960" w:right="280" w:hanging="1304"/>
        <w:spacing w:after="0" w:line="264" w:lineRule="auto"/>
        <w:tabs>
          <w:tab w:leader="none" w:pos="13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1960" w:right="20" w:hanging="1304"/>
        <w:spacing w:after="0" w:line="291" w:lineRule="auto"/>
        <w:tabs>
          <w:tab w:leader="none" w:pos="13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ind w:left="1960" w:right="80" w:hanging="655"/>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20" w:hanging="655"/>
        <w:spacing w:after="0" w:line="264"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960" w:right="460" w:hanging="1304"/>
        <w:spacing w:after="0" w:line="264" w:lineRule="auto"/>
        <w:tabs>
          <w:tab w:leader="none" w:pos="13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760" w:val="left"/>
          <w:tab w:leader="none" w:pos="7440" w:val="left"/>
        </w:tabs>
        <w:rPr>
          <w:sz w:val="20"/>
          <w:szCs w:val="20"/>
          <w:color w:val="auto"/>
        </w:rPr>
      </w:pPr>
      <w:r>
        <w:rPr>
          <w:rFonts w:ascii="Arial" w:cs="Arial" w:eastAsia="Arial" w:hAnsi="Arial"/>
          <w:sz w:val="18"/>
          <w:szCs w:val="18"/>
          <w:color w:val="auto"/>
        </w:rPr>
        <w:t>Date: March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31750</wp:posOffset>
            </wp:positionV>
            <wp:extent cx="2667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I, Stephen Christopher Linthwaite,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left="1060" w:right="460" w:firstLine="1"/>
        <w:spacing w:after="0" w:line="277" w:lineRule="auto"/>
        <w:tabs>
          <w:tab w:leader="none" w:pos="12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2017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060" w:right="480" w:firstLine="1"/>
        <w:spacing w:after="0" w:line="277" w:lineRule="auto"/>
        <w:tabs>
          <w:tab w:leader="none" w:pos="1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678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Stephen Christopher Linthwaite</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Date: March 8, 2018</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left="900" w:right="620" w:hanging="1"/>
        <w:spacing w:after="0" w:line="277" w:lineRule="auto"/>
        <w:tabs>
          <w:tab w:leader="none" w:pos="11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2017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900" w:right="640" w:hanging="1"/>
        <w:spacing w:after="0" w:line="277" w:lineRule="auto"/>
        <w:tabs>
          <w:tab w:leader="none" w:pos="11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6500"/>
        <w:spacing w:after="0"/>
        <w:tabs>
          <w:tab w:leader="none" w:pos="7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31750</wp:posOffset>
            </wp:positionV>
            <wp:extent cx="23926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Date: March 8,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lvl w:ilvl="1">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lvl w:ilvl="1">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2"/>
    </w:lvl>
  </w:abstractNum>
  <w:abstractNum w:abstractNumId="24">
    <w:nsid w:val="7C3DBD3D"/>
    <w:multiLevelType w:val="hybridMultilevel"/>
    <w:lvl w:ilvl="0">
      <w:lvlJc w:val="left"/>
      <w:lvlText w:val="%1."/>
      <w:numFmt w:val="decimal"/>
      <w:start w:val="3"/>
    </w:lvl>
  </w:abstractNum>
  <w:abstractNum w:abstractNumId="25">
    <w:nsid w:val="737B8DDC"/>
    <w:multiLevelType w:val="hybridMultilevel"/>
    <w:lvl w:ilvl="0">
      <w:lvlJc w:val="left"/>
      <w:lvlText w:val="%1."/>
      <w:numFmt w:val="decimal"/>
      <w:start w:val="5"/>
    </w:lvl>
  </w:abstractNum>
  <w:abstractNum w:abstractNumId="26">
    <w:nsid w:val="6CEAF087"/>
    <w:multiLevelType w:val="hybridMultilevel"/>
    <w:lvl w:ilvl="0">
      <w:lvlJc w:val="left"/>
      <w:lvlText w:val="%1."/>
      <w:numFmt w:val="decimal"/>
      <w:start w:val="7"/>
    </w:lvl>
  </w:abstractNum>
  <w:abstractNum w:abstractNumId="27">
    <w:nsid w:val="22221A70"/>
    <w:multiLevelType w:val="hybridMultilevel"/>
    <w:lvl w:ilvl="0">
      <w:lvlJc w:val="left"/>
      <w:lvlText w:val="%1."/>
      <w:numFmt w:val="decimal"/>
      <w:start w:val="8"/>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
      <w:numFmt w:val="bullet"/>
      <w:start w:val="1"/>
    </w:lvl>
    <w:lvl w:ilvl="1">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77" Type="http://schemas.openxmlformats.org/officeDocument/2006/relationships/image" Target="media/image15.png"/><Relationship Id="rId78" Type="http://schemas.openxmlformats.org/officeDocument/2006/relationships/image" Target="media/image16.png"/><Relationship Id="rId79" Type="http://schemas.openxmlformats.org/officeDocument/2006/relationships/image" Target="media/image17.png"/><Relationship Id="rId80" Type="http://schemas.openxmlformats.org/officeDocument/2006/relationships/image" Target="media/image18.png"/><Relationship Id="rId81" Type="http://schemas.openxmlformats.org/officeDocument/2006/relationships/image" Target="media/image19.png"/><Relationship Id="rId82" Type="http://schemas.openxmlformats.org/officeDocument/2006/relationships/image" Target="media/image20.png"/><Relationship Id="rId83" Type="http://schemas.openxmlformats.org/officeDocument/2006/relationships/image" Target="media/image21.png"/><Relationship Id="rId84" Type="http://schemas.openxmlformats.org/officeDocument/2006/relationships/image" Target="media/image22.png"/><Relationship Id="rId85" Type="http://schemas.openxmlformats.org/officeDocument/2006/relationships/image" Target="media/image23.png"/><Relationship Id="rId86" Type="http://schemas.openxmlformats.org/officeDocument/2006/relationships/image" Target="media/image24.png"/><Relationship Id="rId87" Type="http://schemas.openxmlformats.org/officeDocument/2006/relationships/image" Target="media/image25.png"/><Relationship Id="rId88" Type="http://schemas.openxmlformats.org/officeDocument/2006/relationships/image" Target="media/image26.png"/><Relationship Id="rId89" Type="http://schemas.openxmlformats.org/officeDocument/2006/relationships/image" Target="media/image27.png"/><Relationship Id="rId90" Type="http://schemas.openxmlformats.org/officeDocument/2006/relationships/image" Target="media/image28.png"/><Relationship Id="rId91" Type="http://schemas.openxmlformats.org/officeDocument/2006/relationships/image" Target="media/image29.png"/><Relationship Id="rId22" Type="http://schemas.openxmlformats.org/officeDocument/2006/relationships/hyperlink" Target="http://www.sec.gov/Archives/edgar/data/1162194/000119312514025284/d661498dex21.htm" TargetMode="External"/><Relationship Id="rId23" Type="http://schemas.openxmlformats.org/officeDocument/2006/relationships/hyperlink" Target="http://www.sec.gov/Archives/edgar/data/1162194/000119312511078412/dex31.htm" TargetMode="External"/><Relationship Id="rId24" Type="http://schemas.openxmlformats.org/officeDocument/2006/relationships/hyperlink" Target="http://www.sec.gov/Archives/edgar/data/1162194/000119312511078412/dex32.htm" TargetMode="External"/><Relationship Id="rId25" Type="http://schemas.openxmlformats.org/officeDocument/2006/relationships/hyperlink" Target="http://www.sec.gov/Archives/edgar/data/1162194/000119312516774501/d294669dex31.htm" TargetMode="External"/><Relationship Id="rId26" Type="http://schemas.openxmlformats.org/officeDocument/2006/relationships/hyperlink" Target="http://www.sec.gov/Archives/edgar/data/1162194/000114420417039703/v471897_ex3-1.htm" TargetMode="External"/><Relationship Id="rId27" Type="http://schemas.openxmlformats.org/officeDocument/2006/relationships/hyperlink" Target="http://www.sec.gov/Archives/edgar/data/1162194/000119312517009947/d305495dex41.htm" TargetMode="External"/><Relationship Id="rId28" Type="http://schemas.openxmlformats.org/officeDocument/2006/relationships/hyperlink" Target="http://www.sec.gov/Archives/edgar/data/1162194/000119312514034901/d669277dex41.htm" TargetMode="External"/><Relationship Id="rId29" Type="http://schemas.openxmlformats.org/officeDocument/2006/relationships/hyperlink" Target="http://www.sec.gov/Archives/edgar/data/1162194/000119312514034901/d669277dex42.htm" TargetMode="External"/><Relationship Id="rId30" Type="http://schemas.openxmlformats.org/officeDocument/2006/relationships/hyperlink" Target="http://www.sec.gov/Archives/edgar/data/1162194/000119312516774501/d294669dex41.htm" TargetMode="External"/><Relationship Id="rId31" Type="http://schemas.openxmlformats.org/officeDocument/2006/relationships/hyperlink" Target="http://www.sec.gov/Archives/edgar/data/1162194/000117184318001740/exh_42.htm" TargetMode="External"/><Relationship Id="rId32" Type="http://schemas.openxmlformats.org/officeDocument/2006/relationships/hyperlink" Target="http://www.sec.gov/Archives/edgar/data/1162194/000119312511016501/dex101.htm" TargetMode="External"/><Relationship Id="rId33" Type="http://schemas.openxmlformats.org/officeDocument/2006/relationships/hyperlink" Target="http://www.sec.gov/Archives/edgar/data/1162194/000119312510273807/dex102.htm" TargetMode="External"/><Relationship Id="rId34" Type="http://schemas.openxmlformats.org/officeDocument/2006/relationships/hyperlink" Target="http://www.sec.gov/Archives/edgar/data/1162194/000119312510273807/dex102a.htm" TargetMode="External"/><Relationship Id="rId35" Type="http://schemas.openxmlformats.org/officeDocument/2006/relationships/hyperlink" Target="http://www.sec.gov/Archives/edgar/data/1162194/000119312510273807/dex103.htm" TargetMode="External"/><Relationship Id="rId36" Type="http://schemas.openxmlformats.org/officeDocument/2006/relationships/hyperlink" Target="http://www.sec.gov/Archives/edgar/data/1162194/000119312510273807/dex103a.htm" TargetMode="External"/><Relationship Id="rId37" Type="http://schemas.openxmlformats.org/officeDocument/2006/relationships/hyperlink" Target="http://www.sec.gov/Archives/edgar/data/1162194/000119312511016501/dex104.htm" TargetMode="External"/><Relationship Id="rId38" Type="http://schemas.openxmlformats.org/officeDocument/2006/relationships/hyperlink" Target="http://www.sec.gov/Archives/edgar/data/1162194/000119312511016501/dex104a.htm" TargetMode="External"/><Relationship Id="rId39" Type="http://schemas.openxmlformats.org/officeDocument/2006/relationships/hyperlink" Target="http://www.sec.gov/Archives/edgar/data/1162194/000114420417039703/v471897_ex10-2.htm" TargetMode="External"/><Relationship Id="rId40" Type="http://schemas.openxmlformats.org/officeDocument/2006/relationships/hyperlink" Target="http://www.sec.gov/Archives/edgar/data/1162194/000157104917007659/t1702415_ex-d2.htm" TargetMode="External"/><Relationship Id="rId41" Type="http://schemas.openxmlformats.org/officeDocument/2006/relationships/hyperlink" Target="http://www.sec.gov/Archives/edgar/data/1162194/000157104917007659/t1702415_ex-d3.htm" TargetMode="External"/><Relationship Id="rId42" Type="http://schemas.openxmlformats.org/officeDocument/2006/relationships/hyperlink" Target="http://www.sec.gov/Archives/edgar/data/1162194/000157104917007659/t1702415_ex-d4.htm" TargetMode="External"/><Relationship Id="rId43" Type="http://schemas.openxmlformats.org/officeDocument/2006/relationships/hyperlink" Target="http://www.sec.gov/Archives/edgar/data/1162194/000157104917007659/t1702415_ex-d5.htm" TargetMode="External"/><Relationship Id="rId44" Type="http://schemas.openxmlformats.org/officeDocument/2006/relationships/hyperlink" Target="http://www.sec.gov/Archives/edgar/data/1162194/000157104917007659/t1702415_ex-d6.htm" TargetMode="External"/><Relationship Id="rId45" Type="http://schemas.openxmlformats.org/officeDocument/2006/relationships/hyperlink" Target="http://www.sec.gov/Archives/edgar/data/1162194/000157104917007659/t1702415_ex-d7.htm" TargetMode="External"/><Relationship Id="rId46" Type="http://schemas.openxmlformats.org/officeDocument/2006/relationships/hyperlink" Target="http://www.sec.gov/Archives/edgar/data/1162194/000119312510273807/dex105.htm" TargetMode="External"/><Relationship Id="rId47" Type="http://schemas.openxmlformats.org/officeDocument/2006/relationships/hyperlink" Target="http://www.sec.gov/Archives/edgar/data/1162194/000119312510273807/dex105a.htm" TargetMode="External"/><Relationship Id="rId48" Type="http://schemas.openxmlformats.org/officeDocument/2006/relationships/hyperlink" Target="http://www.sec.gov/Archives/edgar/data/1162194/000119312510273807/dex106.htm" TargetMode="External"/><Relationship Id="rId49" Type="http://schemas.openxmlformats.org/officeDocument/2006/relationships/hyperlink" Target="http://www.sec.gov/Archives/edgar/data/1162194/000119312510273807/dex106a.htm" TargetMode="External"/><Relationship Id="rId50" Type="http://schemas.openxmlformats.org/officeDocument/2006/relationships/hyperlink" Target="http://www.sec.gov/Archives/edgar/data/1162194/000119312510273807/dex107.htm" TargetMode="External"/><Relationship Id="rId51" Type="http://schemas.openxmlformats.org/officeDocument/2006/relationships/hyperlink" Target="http://www.sec.gov/Archives/edgar/data/1162194/000119312510273807/dex108.htm" TargetMode="External"/><Relationship Id="rId52" Type="http://schemas.openxmlformats.org/officeDocument/2006/relationships/hyperlink" Target="http://www.sec.gov/Archives/edgar/data/1162194/000119312510273807/dex109.htm" TargetMode="External"/><Relationship Id="rId53" Type="http://schemas.openxmlformats.org/officeDocument/2006/relationships/hyperlink" Target="http://www.sec.gov/Archives/edgar/data/1162194/000119312517007811/d257858dex101.htm" TargetMode="External"/><Relationship Id="rId54" Type="http://schemas.openxmlformats.org/officeDocument/2006/relationships/hyperlink" Target="http://www.sec.gov/Archives/edgar/data/1162194/000119312516599194/d197866dex101.htm" TargetMode="External"/><Relationship Id="rId55" Type="http://schemas.openxmlformats.org/officeDocument/2006/relationships/hyperlink" Target="http://www.sec.gov/Archives/edgar/data/1162194/000162828017002137/exhibit1013-stevemcphailof.htm" TargetMode="External"/><Relationship Id="rId56" Type="http://schemas.openxmlformats.org/officeDocument/2006/relationships/hyperlink" Target="http://www.sec.gov/Archives/edgar/data/1162194/000119312512498523/d453881dex1014.htm" TargetMode="External"/><Relationship Id="rId57" Type="http://schemas.openxmlformats.org/officeDocument/2006/relationships/hyperlink" Target="http://www.sec.gov/Archives/edgar/data/1162194/000116219416000248/ex-101xq32016form10xqlinth.htm" TargetMode="External"/><Relationship Id="rId58" Type="http://schemas.openxmlformats.org/officeDocument/2006/relationships/hyperlink" Target="http://www.sec.gov/Archives/edgar/data/1162194/000116219416000248/ex-102xq32016form10xq.htm" TargetMode="External"/><Relationship Id="rId59" Type="http://schemas.openxmlformats.org/officeDocument/2006/relationships/hyperlink" Target="http://www.sec.gov/Archives/edgar/data/1162194/000119312510273807/dex1017.htm" TargetMode="External"/><Relationship Id="rId60" Type="http://schemas.openxmlformats.org/officeDocument/2006/relationships/hyperlink" Target="http://www.sec.gov/Archives/edgar/data/1162194/000119312511003819/dex1019.htm" TargetMode="External"/><Relationship Id="rId61" Type="http://schemas.openxmlformats.org/officeDocument/2006/relationships/hyperlink" Target="http://www.sec.gov/Archives/edgar/data/1162194/000119312513210608/d514707dex1019a.htm" TargetMode="External"/><Relationship Id="rId62" Type="http://schemas.openxmlformats.org/officeDocument/2006/relationships/hyperlink" Target="http://www.sec.gov/Archives/edgar/data/1162194/000116219414000063/ex103-fourthleaseamendment.htm" TargetMode="External"/><Relationship Id="rId63" Type="http://schemas.openxmlformats.org/officeDocument/2006/relationships/hyperlink" Target="http://www.sec.gov/Archives/edgar/data/1162194/000116219414000106/exhibit102-fifthamendmentt.htm" TargetMode="External"/><Relationship Id="rId64" Type="http://schemas.openxmlformats.org/officeDocument/2006/relationships/hyperlink" Target="http://www.sec.gov/Archives/edgar/data/1162194/000119312515402507/d90931dex101.htm" TargetMode="External"/><Relationship Id="rId65" Type="http://schemas.openxmlformats.org/officeDocument/2006/relationships/hyperlink" Target="http://www.sec.gov/Archives/edgar/data/1162194/000119312510273807/dex1020.htm" TargetMode="External"/><Relationship Id="rId66" Type="http://schemas.openxmlformats.org/officeDocument/2006/relationships/hyperlink" Target="http://www.sec.gov/Archives/edgar/data/1162194/000116219414000010/exhibit1021-singaporelease.htm" TargetMode="External"/><Relationship Id="rId67" Type="http://schemas.openxmlformats.org/officeDocument/2006/relationships/hyperlink" Target="http://www.sec.gov/Archives/edgar/data/1162194/000116219415000139/exhibit1012015q2.htm" TargetMode="External"/><Relationship Id="rId68" Type="http://schemas.openxmlformats.org/officeDocument/2006/relationships/hyperlink" Target="http://www.sec.gov/Archives/edgar/data/1162194/000116219415000154/ex101candalease93015.htm" TargetMode="External"/><Relationship Id="rId69" Type="http://schemas.openxmlformats.org/officeDocument/2006/relationships/hyperlink" Target="http://www.sec.gov/Archives/edgar/data/1162194/000116219417000004/fldm-ex101formofretentionl.htm" TargetMode="External"/><Relationship Id="rId70" Type="http://schemas.openxmlformats.org/officeDocument/2006/relationships/hyperlink" Target="http://www.sec.gov/Archives/edgar/data/1162194/000119312511078412/dex1025.htm" TargetMode="External"/><Relationship Id="rId71" Type="http://schemas.openxmlformats.org/officeDocument/2006/relationships/hyperlink" Target="http://www.sec.gov/Archives/edgar/data/1162194/000116219414000087/ex103-licenseagreementwith.htm" TargetMode="External"/><Relationship Id="rId72" Type="http://schemas.openxmlformats.org/officeDocument/2006/relationships/hyperlink" Target="http://www.sec.gov/Archives/edgar/data/1162194/000116219414000087/ex104-dvssublicenseagreeme.htm" TargetMode="External"/><Relationship Id="rId73" Type="http://schemas.openxmlformats.org/officeDocument/2006/relationships/hyperlink" Target="http://www.sec.gov/Archives/edgar/data/1162194/000119312516744133/d255099dex991.htm" TargetMode="External"/><Relationship Id="rId74" Type="http://schemas.openxmlformats.org/officeDocument/2006/relationships/hyperlink" Target="http://www.sec.gov/Archives/edgar/data/1162194/000117184317005215/exh_101.htm" TargetMode="External"/><Relationship Id="rId75" Type="http://schemas.openxmlformats.org/officeDocument/2006/relationships/hyperlink" Target="http://www.sec.gov/Archives/edgar/data/1162194/000116219417000159/fluidigm-splitdollarlifein.htm" TargetMode="External"/><Relationship Id="rId76" Type="http://schemas.openxmlformats.org/officeDocument/2006/relationships/hyperlink" Target="http://www.sec.gov/Archives/edgar/data/1162194/000162828017002137/exhibit1211-subsidiaryli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2019-12-29T00:38:52Z</dcterms:created>
  <dcterms:modified xsi:type="dcterms:W3CDTF">2019-12-29T00:38:52Z</dcterms:modified>
</cp:coreProperties>
</file>