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right="880" w:hanging="325"/>
        <w:spacing w:after="0" w:line="256"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126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7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6800" w:space="720"/>
            <w:col w:w="386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182245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060" w:space="720"/>
            <w:col w:w="4660" w:space="720"/>
            <w:col w:w="2220" w:space="720"/>
            <w:col w:w="280"/>
          </w:cols>
          <w:pgMar w:left="240" w:top="233"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060" w:space="720"/>
            <w:col w:w="160" w:space="80"/>
            <w:col w:w="4420" w:space="720"/>
            <w:col w:w="2220" w:space="720"/>
            <w:col w:w="280"/>
          </w:cols>
          <w:pgMar w:left="240" w:top="233" w:right="27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20"/>
          </w:cols>
          <w:pgMar w:left="240" w:top="233" w:right="27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As of April 30, 2014, there were 28,060,958 shares of the Registrant’s common stock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60" w:type="dxa"/>
            <w:vAlign w:val="bottom"/>
            <w:tcBorders>
              <w:bottom w:val="single" w:sz="8" w:color="0000FF"/>
            </w:tcBorders>
            <w:gridSpan w:val="5"/>
          </w:tcPr>
          <w:p>
            <w:pPr>
              <w:jc w:val="cente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3120" w:type="dxa"/>
            <w:vAlign w:val="bottom"/>
            <w:gridSpan w:val="5"/>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1680" w:type="dxa"/>
            <w:vAlign w:val="bottom"/>
            <w:gridSpan w:val="4"/>
          </w:tcPr>
          <w:p>
            <w:pPr>
              <w:jc w:val="right"/>
              <w:ind w:righ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4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 - March 31, 2014 and December 31, 2013</w:t>
            </w: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3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Operations and Comprehensive Loss for the three months ended March 31,</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80" w:type="dxa"/>
            <w:vAlign w:val="bottom"/>
            <w:gridSpan w:val="4"/>
          </w:tcPr>
          <w:p>
            <w:pPr>
              <w:spacing w:after="0" w:line="196" w:lineRule="exact"/>
              <w:rPr>
                <w:sz w:val="20"/>
                <w:szCs w:val="20"/>
                <w:color w:val="auto"/>
              </w:rPr>
            </w:pPr>
            <w:r>
              <w:rPr>
                <w:rFonts w:ascii="Arial" w:cs="Arial" w:eastAsia="Arial" w:hAnsi="Arial"/>
                <w:sz w:val="18"/>
                <w:szCs w:val="18"/>
                <w:color w:val="0000FF"/>
                <w:w w:val="88"/>
              </w:rPr>
              <w:t>2014 and 2013</w:t>
            </w:r>
          </w:p>
        </w:tc>
        <w:tc>
          <w:tcPr>
            <w:tcW w:w="7400" w:type="dxa"/>
            <w:vAlign w:val="bottom"/>
            <w:gridSpan w:val="14"/>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7600" w:type="dxa"/>
            <w:vAlign w:val="bottom"/>
            <w:gridSpan w:val="16"/>
          </w:tcPr>
          <w:p>
            <w:pPr>
              <w:spacing w:after="0"/>
              <w:rPr>
                <w:sz w:val="20"/>
                <w:szCs w:val="20"/>
                <w:color w:val="auto"/>
              </w:rPr>
            </w:pPr>
            <w:r>
              <w:rPr>
                <w:rFonts w:ascii="Arial" w:cs="Arial" w:eastAsia="Arial" w:hAnsi="Arial"/>
                <w:sz w:val="18"/>
                <w:szCs w:val="18"/>
                <w:color w:val="0000FF"/>
                <w:w w:val="89"/>
              </w:rPr>
              <w:t>Condensed Consolidated Statements of Cash Flows for the three months ended March 31, 2014 and 2013</w:t>
            </w:r>
          </w:p>
        </w:tc>
        <w:tc>
          <w:tcPr>
            <w:tcW w:w="88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760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Condensed Consolidated Financial Statements</w:t>
              </w:r>
            </w:hyperlink>
          </w:p>
        </w:tc>
        <w:tc>
          <w:tcPr>
            <w:tcW w:w="88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18"/>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Management’s Discussion and Analysis of Financial Condition and Results of Operations</w:t>
              </w:r>
            </w:hyperlink>
          </w:p>
        </w:tc>
        <w:tc>
          <w:tcPr>
            <w:tcW w:w="1680" w:type="dxa"/>
            <w:vAlign w:val="bottom"/>
            <w:gridSpan w:val="4"/>
          </w:tcPr>
          <w:p>
            <w:pPr>
              <w:jc w:val="right"/>
              <w:ind w:right="40"/>
              <w:spacing w:after="0"/>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Quantitative and Qualitative Disclosures About Market Risk</w:t>
              </w:r>
            </w:hyperlink>
          </w:p>
        </w:tc>
        <w:tc>
          <w:tcPr>
            <w:tcW w:w="20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1"/>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412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22</w:t>
              </w:r>
            </w:hyperlink>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Borders>
              <w:bottom w:val="single" w:sz="8" w:color="0000FF"/>
            </w:tcBorders>
            <w:gridSpan w:val="3"/>
          </w:tcPr>
          <w:p>
            <w:pPr>
              <w:jc w:val="center"/>
              <w:spacing w:after="0"/>
              <w:rPr>
                <w:rFonts w:ascii="Arial" w:cs="Arial" w:eastAsia="Arial" w:hAnsi="Arial"/>
                <w:sz w:val="18"/>
                <w:szCs w:val="18"/>
                <w:color w:val="0000FF"/>
                <w:w w:val="97"/>
              </w:rPr>
            </w:pPr>
            <w:hyperlink w:anchor="page23">
              <w:r>
                <w:rPr>
                  <w:rFonts w:ascii="Arial" w:cs="Arial" w:eastAsia="Arial" w:hAnsi="Arial"/>
                  <w:sz w:val="18"/>
                  <w:szCs w:val="18"/>
                  <w:color w:val="0000FF"/>
                  <w:w w:val="97"/>
                </w:rPr>
                <w:t>OTHER INFORMATION</w:t>
              </w:r>
            </w:hyperlink>
          </w:p>
        </w:tc>
        <w:tc>
          <w:tcPr>
            <w:tcW w:w="3300" w:type="dxa"/>
            <w:vAlign w:val="bottom"/>
            <w:gridSpan w:val="6"/>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1680" w:type="dxa"/>
            <w:vAlign w:val="bottom"/>
            <w:gridSpan w:val="4"/>
          </w:tcPr>
          <w:p>
            <w:pPr>
              <w:jc w:val="right"/>
              <w:ind w:right="4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Risk Factors</w:t>
              </w:r>
            </w:hyperlink>
          </w:p>
        </w:tc>
        <w:tc>
          <w:tcPr>
            <w:tcW w:w="420" w:type="dxa"/>
            <w:vAlign w:val="bottom"/>
            <w:gridSpan w:val="2"/>
          </w:tcPr>
          <w:p>
            <w:pPr>
              <w:spacing w:after="0"/>
              <w:rPr>
                <w:sz w:val="24"/>
                <w:szCs w:val="24"/>
                <w:color w:val="auto"/>
              </w:rPr>
            </w:pPr>
          </w:p>
        </w:tc>
        <w:tc>
          <w:tcPr>
            <w:tcW w:w="714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1"/>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Unregistered Sales of Equity Securities and Use of Proceeds</w:t>
              </w:r>
            </w:hyperlink>
          </w:p>
        </w:tc>
        <w:tc>
          <w:tcPr>
            <w:tcW w:w="412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412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SIGNATURES</w:t>
              </w:r>
            </w:hyperlink>
          </w:p>
        </w:tc>
        <w:tc>
          <w:tcPr>
            <w:tcW w:w="8380" w:type="dxa"/>
            <w:vAlign w:val="bottom"/>
            <w:gridSpan w:val="1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48</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48">
              <w:r>
                <w:rPr>
                  <w:rFonts w:ascii="Arial" w:cs="Arial" w:eastAsia="Arial" w:hAnsi="Arial"/>
                  <w:sz w:val="18"/>
                  <w:szCs w:val="18"/>
                  <w:color w:val="0000FF"/>
                  <w:w w:val="93"/>
                </w:rPr>
                <w:t>EXHIBIT LIST</w:t>
              </w:r>
            </w:hyperlink>
          </w:p>
        </w:tc>
        <w:tc>
          <w:tcPr>
            <w:tcW w:w="8380" w:type="dxa"/>
            <w:vAlign w:val="bottom"/>
            <w:gridSpan w:val="1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r>
      <w:tr>
        <w:trPr>
          <w:trHeight w:val="20"/>
        </w:trPr>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4"/>
                <w:szCs w:val="14"/>
                <w:color w:val="auto"/>
              </w:rPr>
            </w:pPr>
          </w:p>
        </w:tc>
        <w:tc>
          <w:tcPr>
            <w:tcW w:w="15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7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21"/>
                <w:szCs w:val="21"/>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(Note 2)</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35,261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42,123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49,083</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Accounts receivable (net of allowances of $54 and $36 at March 31, 2014 and December 31,</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2013,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13,426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8,148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1,540</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178,813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104,584</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9,377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6,818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104,245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424,723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116,915</w:t>
            </w:r>
          </w:p>
        </w:tc>
      </w:tr>
      <w:tr>
        <w:trPr>
          <w:trHeight w:val="67"/>
        </w:trPr>
        <w:tc>
          <w:tcPr>
            <w:tcW w:w="7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5,485</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5,331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2,721</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195,249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1,899</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257,292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20,501</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March 31, 2014 and December 31, 2013</w:t>
            </w: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1"/>
              </w:rPr>
              <w:t>Common stock: $0.001 par value, 200,000 shares authorized at March 31, 2014 and December 31,</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3"/>
              </w:rPr>
              <w:t>2013; 28,016 and 25,811 shares issued and outstanding as of March 31, 2014 and December 31,</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2013, respectively</w:t>
            </w:r>
          </w:p>
        </w:tc>
        <w:tc>
          <w:tcPr>
            <w:tcW w:w="340" w:type="dxa"/>
            <w:vAlign w:val="bottom"/>
          </w:tcPr>
          <w:p>
            <w:pPr>
              <w:spacing w:after="0"/>
              <w:rPr>
                <w:sz w:val="20"/>
                <w:szCs w:val="20"/>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354,465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(257,347)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167,431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96,414</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424,723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116,915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25,449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Grant revenue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14,535</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7,646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Acquisition-related expenses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26,900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25,242</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Acquisition-related share-based awards acceleration expense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developed technology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Non-cash charges for sale of inventory revalued at the date of acquisition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 net of cash acquired</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(113,190)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8,775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7,390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in Verinata</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convertible notes,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1,767</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35,261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58,649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61,815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4"/>
        </w:trPr>
        <w:tc>
          <w:tcPr>
            <w:tcW w:w="7900" w:type="dxa"/>
            <w:vAlign w:val="bottom"/>
          </w:tcPr>
          <w:p>
            <w:pPr>
              <w:ind w:left="180"/>
              <w:spacing w:after="0"/>
              <w:rPr>
                <w:sz w:val="20"/>
                <w:szCs w:val="20"/>
                <w:color w:val="auto"/>
              </w:rPr>
            </w:pPr>
            <w:r>
              <w:rPr>
                <w:rFonts w:ascii="Arial" w:cs="Arial" w:eastAsia="Arial" w:hAnsi="Arial"/>
                <w:sz w:val="18"/>
                <w:szCs w:val="18"/>
                <w:color w:val="auto"/>
              </w:rPr>
              <w:t>Issuance of common stock and options related to acquisition</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78,196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9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 We develop, manufacture, and market life science analytical and preparatory systems for growth markets such as single-cell biology and production genomics. We sell to leading academic institutions, clinical laboratories, and pharmaceutical, biotechnology, and agricultural biotechnology (Ag-Bio) companies worldwide. Our systems are based on proprietary microfluidics and multi-parameter mass cytometry technology, and are designed to significantly simplify experimental workflow, increase throughput, and reduce costs, while providing excellent data quality.</w:t>
      </w:r>
    </w:p>
    <w:p>
      <w:pPr>
        <w:spacing w:after="0" w:line="256" w:lineRule="exact"/>
        <w:rPr>
          <w:sz w:val="20"/>
          <w:szCs w:val="20"/>
          <w:color w:val="auto"/>
        </w:rPr>
      </w:pPr>
    </w:p>
    <w:p>
      <w:pPr>
        <w:ind w:right="784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2013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presentation of our financial information. The results of operations for the three months ended March 31, 2014 are not necessarily indicative of the results to be expected for the year ending December 31, 2014 or for any other interim period or for any other future year.</w:t>
      </w:r>
    </w:p>
    <w:p>
      <w:pPr>
        <w:spacing w:after="0" w:line="12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2013 included in our Annual Report on Form 10-K filed with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Certain items previously reported in the condensed consolidated statement of cash flows have been reclassified to conform to the current period presentation. Such reclassifications do not impact previously reported net cash used in operating activities, net cash provided by investing activities, net cash provided by financing activities, or change in 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Options to purchase common stock are considered to be potentially dilutive common shares but have been excluded from the calculation of diluted net loss per share as their effect is anti-dilutive for all periods presented.</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including them would have been anti-dilutive (in thousands):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3,731</w:t>
            </w:r>
          </w:p>
        </w:tc>
      </w:tr>
      <w:tr>
        <w:trPr>
          <w:trHeight w:val="27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459"/>
        </w:trPr>
        <w:tc>
          <w:tcPr>
            <w:tcW w:w="82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8240" w:type="dxa"/>
            <w:vAlign w:val="bottom"/>
          </w:tcPr>
          <w:p>
            <w:pPr>
              <w:ind w:left="440"/>
              <w:spacing w:after="0"/>
              <w:rPr>
                <w:sz w:val="20"/>
                <w:szCs w:val="20"/>
                <w:color w:val="auto"/>
              </w:rPr>
            </w:pPr>
            <w:r>
              <w:rPr>
                <w:rFonts w:ascii="Arial" w:cs="Arial" w:eastAsia="Arial" w:hAnsi="Arial"/>
                <w:sz w:val="18"/>
                <w:szCs w:val="18"/>
                <w:color w:val="auto"/>
              </w:rPr>
              <w:t>The following is a summary of comprehensive loss (in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88"/>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980" w:firstLine="432"/>
        <w:spacing w:after="0" w:line="438" w:lineRule="auto"/>
        <w:rPr>
          <w:sz w:val="20"/>
          <w:szCs w:val="20"/>
          <w:color w:val="auto"/>
        </w:rPr>
      </w:pPr>
      <w:r>
        <w:rPr>
          <w:rFonts w:ascii="Arial" w:cs="Arial" w:eastAsia="Arial" w:hAnsi="Arial"/>
          <w:sz w:val="18"/>
          <w:szCs w:val="18"/>
          <w:color w:val="auto"/>
        </w:rPr>
        <w:t xml:space="preserve">Comprehensive loss is comprised of net loss, unrealized gains and losses on our investments, and foreign currency translation adjustments. </w:t>
      </w:r>
      <w:r>
        <w:rPr>
          <w:rFonts w:ascii="Arial" w:cs="Arial" w:eastAsia="Arial" w:hAnsi="Arial"/>
          <w:sz w:val="18"/>
          <w:szCs w:val="18"/>
          <w:b w:val="1"/>
          <w:bCs w:val="1"/>
          <w:color w:val="auto"/>
        </w:rPr>
        <w:t>Investment, at cost</w:t>
      </w:r>
    </w:p>
    <w:p>
      <w:pPr>
        <w:spacing w:after="0" w:line="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February 2013, Illumina, Inc. acquired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75"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values. If the fair values of our reporting unit exceed the carrying value of the net assets, goodwill is not considered impaired and no further analysis is required. If the carrying values of the net assets exceed the fair values of the reporting unit, then the second step of the impairment test must be performed in order to determine the implied fair value of the goodwill. If the carrying value of the goodwill exceeds the implied fair value, then an impairment loss equal to the difference would be recorded.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94"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9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June 2013, the Financial Accounting Standards Board ratified Emerging Issues Task Force (EITF) Issue 13-C, “Presentation of an Unrecognized Tax Benefit When a Net Operating Loss Carryforward, a Similar Tax Loss, or a Tax Credit Carryforward Exists” which concludes an unrecognized tax benefit should be presented as a reduction of a deferred tax asset when settlement in this manner is available under the tax law. This guidance is effective for our interim and annual periods beginning January 1, 2014. We do not believe the adoption of this guidance will have a material impact on our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will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8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received $195.2 million, net of underwriting discounts, from the issuance of the Notes and incurred $1.1 million in offering-related expenses. We used $126.0 million of the net proceeds to fund the cash portion of the consideration payable by us in connection with our acquisition of DVS Sciences, Inc. (now Fluidigm Sciences Inc.) (See Note 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February 13, 2014 (Acquisition Date), we acquired DVS Sciences, Inc. (DVS) primarily to broaden our addressable single-cell biology market opportunity and complement our existing product offerings. DVS develops, manufactures, markets, and sells multi-parameter single-cell protein analysis systems and related reagents and data analysis tools. DVS’s principal market is the life sciences research market consisting of drug development companies, government research centers, and universities worldwide.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aggregate purchase price was determined to be $199.9 million, as detailed in the table below:</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Estimated Fair Value (in</w:t>
            </w:r>
          </w:p>
        </w:tc>
      </w:tr>
      <w:tr>
        <w:trPr>
          <w:trHeight w:val="234"/>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Pr>
          <w:p>
            <w:pPr>
              <w:jc w:val="right"/>
              <w:ind w:right="71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Issued 1,759,007 shares of Fluidigm common stock</w:t>
            </w:r>
          </w:p>
        </w:tc>
        <w:tc>
          <w:tcPr>
            <w:tcW w:w="1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76,805</w:t>
            </w: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1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12"/>
                <w:szCs w:val="12"/>
                <w:color w:val="auto"/>
              </w:rPr>
              <w:t>(1)</w:t>
            </w:r>
          </w:p>
        </w:tc>
        <w:tc>
          <w:tcPr>
            <w:tcW w:w="1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12"/>
                <w:szCs w:val="12"/>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1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Aggregate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0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condensed consolidated statements of operations.</w:t>
      </w:r>
    </w:p>
    <w:p>
      <w:pPr>
        <w:ind w:left="660" w:right="20" w:hanging="328"/>
        <w:spacing w:after="0" w:line="2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conjunction with the acquisition, we assumed all outstanding DVS stock options and unvested shares of restricted stock and converted, as of the Acquisition Date, the unvested stock options outstanding under the DVS stock option plan into unvested stock options to purchase approximately 143,000 shares of Fluidigm common stock and approximately 186,000 shares of restricted Fluidigm common stock, retaining the original vesting schedules. The fair value of all converted share-based awards was $14.6 million, of which $4.0 million was attributed to the pre-combination service period and was included in the calculation of purchase price. The remaining fair value will be recognized over the awards’ remaining vesting periods subsequent to the acquisition. The fair value of the Fluidigm equivalent share-based awards as of the Acquisition Date was estimated using the Black-Scholes valuation model.</w:t>
      </w:r>
    </w:p>
    <w:p>
      <w:pPr>
        <w:spacing w:after="0" w:line="8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Approximately 885,000 shares of Fluidigm common stock, with a fair value of $38.6 million, representing 50.3030% of the shares otherwise payable to the former stockholders of DVS, was deposited into escrow. These shares comprise a portion of the merger consideration and will be held in escrow to secure indemnification obligations under the merger agreement, if any, for a period of 13 to 18 months following the Acquisition Date, subject to any then pending indemnification claims.</w:t>
      </w:r>
    </w:p>
    <w:p>
      <w:pPr>
        <w:spacing w:after="0" w:line="7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Prior to the closing of the acquisition, we closed an underwritten public offering of $201.3 million aggregate principal amount of our Notes (See Note 3) to fund a portion of the cash consideration payable in connection with the acquisition. The results of DVS's operations have been included in the condensed consolidated financial statements for the period from February 13, 2014 to March 31, 2014.</w:t>
      </w:r>
    </w:p>
    <w:p>
      <w:pPr>
        <w:spacing w:after="0" w:line="73"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As of March 31, 2014, the accounting for the Acquisition is preliminary due to the ongoing analysis of the developed technology relating to intellectual property rights acquired in connection with the acquisition, associated royalty obligations pursuant to third-party license agreements, and certain tax liabilities. Upon completion of this analysis and during the measurement period, we may record adjustments to the estimated amounts recorded.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Allocation of purchase price (in</w:t>
            </w:r>
          </w:p>
        </w:tc>
      </w:tr>
      <w:tr>
        <w:trPr>
          <w:trHeight w:val="234"/>
        </w:trPr>
        <w:tc>
          <w:tcPr>
            <w:tcW w:w="6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jc w:val="right"/>
              <w:ind w:right="73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6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6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6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4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6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104,245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238,609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6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4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6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4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4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4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6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6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fair value estimate of the identifiable intangible asset and its useful life:</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2"/>
              </w:rPr>
              <w:t>Estimated Fair Value (in</w:t>
            </w:r>
          </w:p>
        </w:tc>
      </w:tr>
      <w:tr>
        <w:trPr>
          <w:trHeight w:val="234"/>
        </w:trPr>
        <w:tc>
          <w:tcPr>
            <w:tcW w:w="53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6"/>
              </w:rPr>
              <w:t>thousands)</w:t>
            </w:r>
          </w:p>
        </w:tc>
      </w:tr>
      <w:tr>
        <w:trPr>
          <w:trHeight w:val="27"/>
        </w:trPr>
        <w:tc>
          <w:tcPr>
            <w:tcW w:w="53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w:t>
            </w:r>
          </w:p>
        </w:tc>
      </w:tr>
      <w:tr>
        <w:trPr>
          <w:trHeight w:val="27"/>
        </w:trPr>
        <w:tc>
          <w:tcPr>
            <w:tcW w:w="5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$104.2 million of goodwill recognized as part of the transaction is attributable primarily to expected synergies and other benefits from the acquisition and is not expected to be deductible for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Costs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Acquisition-related expenses were $10.7 million for the three months ended March 31, 2014 and primarily included accelerated vesting of certain DVS restricted stock and options, and consulting, legal, and investing banking fees. These costs are included within the acquisition-related expenses line of the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and Pro Forma Results</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amounts of total revenue and net loss of DVS included in our condensed consolidated statement of operations from the Acquisition Date to March 31, 2014 are as follows:</w:t>
      </w:r>
    </w:p>
    <w:p>
      <w:pPr>
        <w:spacing w:after="0" w:line="329"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Acquisition Date to</w:t>
      </w:r>
    </w:p>
    <w:p>
      <w:pPr>
        <w:spacing w:after="0" w:line="27"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March 31, 2014 (in</w:t>
      </w:r>
    </w:p>
    <w:p>
      <w:pPr>
        <w:spacing w:after="0" w:line="9"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thousands)</w:t>
      </w:r>
    </w:p>
    <w:p>
      <w:pPr>
        <w:spacing w:after="0" w:line="232" w:lineRule="exact"/>
        <w:rPr>
          <w:sz w:val="20"/>
          <w:szCs w:val="20"/>
          <w:color w:val="auto"/>
        </w:rPr>
      </w:pPr>
    </w:p>
    <w:tbl>
      <w:tblPr>
        <w:tblLayout w:type="fixed"/>
        <w:tblInd w:w="1380" w:type="dxa"/>
        <w:tblCellMar>
          <w:top w:w="0" w:type="dxa"/>
          <w:left w:w="0" w:type="dxa"/>
          <w:bottom w:w="0" w:type="dxa"/>
          <w:right w:w="0" w:type="dxa"/>
        </w:tblCellMar>
      </w:tblPr>
      <w:tr>
        <w:trPr>
          <w:trHeight w:val="264"/>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(1,597)</w:t>
            </w:r>
          </w:p>
        </w:tc>
      </w:tr>
    </w:tbl>
    <w:p>
      <w:pPr>
        <w:spacing w:after="0" w:line="200" w:lineRule="exact"/>
        <w:rPr>
          <w:sz w:val="20"/>
          <w:szCs w:val="20"/>
          <w:color w:val="auto"/>
        </w:rPr>
      </w:pPr>
    </w:p>
    <w:p>
      <w:pPr>
        <w:spacing w:after="0" w:line="24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unaudited pro forma results presented below include the effects of the DVS acquisition as if it had been consummated as of January 1, 2013. The pro forma results below include adjustments related to depreciation and amortization to reflect the fair value of acquired property and equipment and identifiable intangible assets, stock-based compensation, and the associated income</w:t>
      </w:r>
    </w:p>
    <w:p>
      <w:pPr>
        <w:sectPr>
          <w:pgSz w:w="11900" w:h="16838" w:orient="portrait"/>
          <w:cols w:equalWidth="0" w:num="1">
            <w:col w:w="11300"/>
          </w:cols>
          <w:pgMar w:left="240" w:top="125" w:right="359" w:bottom="1440" w:gutter="0" w:footer="0" w:header="0"/>
        </w:sect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00"/>
          </w:cols>
          <w:pgMar w:left="240" w:top="125"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tax impacts. Share-based compensation associated with accelerated vesting and acquisition related costs, which are not expected to occur in future quarters, are not reflected in the pro forma calculation. The pro forma information does not necessarily reflect the actual results of operations had the acquisition been consummated at the beginning of the fiscal reporting period indicated nor is it indicative of future operating results. The pro forma information does not include any adjustment for (i) potential revenue enhancements, cost synergies or other operating efficiencies that could result from the acquisition. or (ii) transaction or integration costs relating to the acquisition.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31, 2013 (in</w:t>
            </w: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March 31, 2014 (in</w:t>
            </w:r>
          </w:p>
        </w:tc>
      </w:tr>
      <w:tr>
        <w:trPr>
          <w:trHeight w:val="234"/>
        </w:trPr>
        <w:tc>
          <w:tcPr>
            <w:tcW w:w="1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thousands)</w:t>
            </w:r>
          </w:p>
        </w:tc>
        <w:tc>
          <w:tcPr>
            <w:tcW w:w="12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thousands)</w:t>
            </w:r>
          </w:p>
        </w:tc>
      </w:tr>
      <w:tr>
        <w:trPr>
          <w:trHeight w:val="243"/>
        </w:trPr>
        <w:tc>
          <w:tcPr>
            <w:tcW w:w="1100" w:type="dxa"/>
            <w:vAlign w:val="bottom"/>
          </w:tcPr>
          <w:p>
            <w:pPr>
              <w:spacing w:after="0"/>
              <w:rPr>
                <w:sz w:val="21"/>
                <w:szCs w:val="21"/>
                <w:color w:val="auto"/>
              </w:rPr>
            </w:pPr>
          </w:p>
        </w:tc>
        <w:tc>
          <w:tcPr>
            <w:tcW w:w="56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r>
      <w:tr>
        <w:trPr>
          <w:trHeight w:val="244"/>
        </w:trPr>
        <w:tc>
          <w:tcPr>
            <w:tcW w:w="110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Unaudited pro forma 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29,509</w:t>
            </w:r>
          </w:p>
        </w:tc>
      </w:tr>
      <w:tr>
        <w:trPr>
          <w:trHeight w:val="243"/>
        </w:trPr>
        <w:tc>
          <w:tcPr>
            <w:tcW w:w="110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Unaudited pro forma 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(10,297)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(18,986)</w:t>
            </w:r>
          </w:p>
        </w:tc>
      </w:tr>
      <w:tr>
        <w:trPr>
          <w:trHeight w:val="459"/>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5. Goodwill and Intangible Assets</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6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Upon the acquisition of DVS, we acquired $104.2 million of goodwill. There were no changes in goodwill balance between the Acquisition Date and March 31,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details of our intangible assets related to the DVS acquisition as of March 31, 2014 (in thousands, except years):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ind w:left="140"/>
              <w:spacing w:after="0"/>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Useful Life</w:t>
            </w:r>
          </w:p>
        </w:tc>
      </w:tr>
      <w:tr>
        <w:trPr>
          <w:trHeight w:val="174"/>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5"/>
                <w:szCs w:val="15"/>
                <w:color w:val="auto"/>
              </w:rPr>
            </w:pPr>
          </w:p>
        </w:tc>
        <w:tc>
          <w:tcPr>
            <w:tcW w:w="170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Amortization</w:t>
            </w:r>
          </w:p>
        </w:tc>
        <w:tc>
          <w:tcPr>
            <w:tcW w:w="26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Arial" w:cs="Arial" w:eastAsia="Arial" w:hAnsi="Arial"/>
                <w:sz w:val="13"/>
                <w:szCs w:val="13"/>
                <w:b w:val="1"/>
                <w:bCs w:val="1"/>
                <w:color w:val="auto"/>
              </w:rPr>
              <w:t>Net</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(years)</w:t>
            </w:r>
          </w:p>
        </w:tc>
      </w:tr>
      <w:tr>
        <w:trPr>
          <w:trHeight w:val="243"/>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112,000</w:t>
            </w:r>
          </w:p>
        </w:tc>
        <w:tc>
          <w:tcPr>
            <w:tcW w:w="4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4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110,600</w:t>
            </w:r>
          </w:p>
        </w:tc>
        <w:tc>
          <w:tcPr>
            <w:tcW w:w="44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recognized $1.4 million in intangible asset amortization expense during the quarter ended March 31, 2014. The estimated future amortization expense of intangible assets as of March 31, 2014 is as follows (in thousands):</w:t>
      </w:r>
    </w:p>
    <w:p>
      <w:pPr>
        <w:spacing w:after="0" w:line="383" w:lineRule="exact"/>
        <w:rPr>
          <w:sz w:val="20"/>
          <w:szCs w:val="20"/>
          <w:color w:val="auto"/>
        </w:rPr>
      </w:pPr>
    </w:p>
    <w:tbl>
      <w:tblPr>
        <w:tblLayout w:type="fixed"/>
        <w:tblInd w:w="1460" w:type="dxa"/>
        <w:tblCellMar>
          <w:top w:w="0" w:type="dxa"/>
          <w:left w:w="0" w:type="dxa"/>
          <w:bottom w:w="0" w:type="dxa"/>
          <w:right w:w="0" w:type="dxa"/>
        </w:tblCellMar>
      </w:tblPr>
      <w:tr>
        <w:trPr>
          <w:trHeight w:val="174"/>
        </w:trPr>
        <w:tc>
          <w:tcPr>
            <w:tcW w:w="7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Amount</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(remainder of year)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11,200</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11,200</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57,400</w:t>
            </w:r>
          </w:p>
        </w:tc>
      </w:tr>
      <w:tr>
        <w:trPr>
          <w:trHeight w:val="297"/>
        </w:trPr>
        <w:tc>
          <w:tcPr>
            <w:tcW w:w="7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57"/>
        </w:trPr>
        <w:tc>
          <w:tcPr>
            <w:tcW w:w="7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110,600</w:t>
            </w:r>
          </w:p>
        </w:tc>
      </w:tr>
      <w:tr>
        <w:trPr>
          <w:trHeight w:val="20"/>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560" w:type="dxa"/>
            <w:vAlign w:val="bottom"/>
          </w:tcPr>
          <w:p>
            <w:pPr>
              <w:jc w:val="right"/>
              <w:ind w:right="4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2,650</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1,627</w:t>
            </w:r>
          </w:p>
        </w:tc>
      </w:tr>
      <w:tr>
        <w:trPr>
          <w:trHeight w:val="27"/>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3,871</w:t>
            </w:r>
          </w:p>
        </w:tc>
      </w:tr>
      <w:tr>
        <w:trPr>
          <w:trHeight w:val="237"/>
        </w:trPr>
        <w:tc>
          <w:tcPr>
            <w:tcW w:w="75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13,426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8,148</w:t>
            </w:r>
          </w:p>
        </w:tc>
      </w:tr>
      <w:tr>
        <w:trPr>
          <w:trHeight w:val="27"/>
        </w:trPr>
        <w:tc>
          <w:tcPr>
            <w:tcW w:w="7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 basis for considering fair value, we follow a three-tier value hierarchy, which prioritizes the inputs used in measuring fair value as follows: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cash equivalents, which include money market funds, are classified as Level I because they are valued using quoted market prices. Our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20" w:type="dxa"/>
            <w:vAlign w:val="bottom"/>
          </w:tcPr>
          <w:p>
            <w:pPr>
              <w:spacing w:after="0"/>
              <w:rPr>
                <w:sz w:val="22"/>
                <w:szCs w:val="22"/>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40" w:type="dxa"/>
            <w:vAlign w:val="bottom"/>
          </w:tcPr>
          <w:p>
            <w:pPr>
              <w:spacing w:after="0"/>
              <w:rPr>
                <w:sz w:val="22"/>
                <w:szCs w:val="22"/>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77,490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77,490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17,547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17,547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51,025</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Total assets measured at fair</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77,490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57,253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134,743</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17,547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51,025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68,572</w:t>
            </w:r>
          </w:p>
        </w:tc>
        <w:tc>
          <w:tcPr>
            <w:tcW w:w="0" w:type="dxa"/>
            <w:vAlign w:val="bottom"/>
          </w:tcPr>
          <w:p>
            <w:pPr>
              <w:spacing w:after="0"/>
              <w:rPr>
                <w:sz w:val="1"/>
                <w:szCs w:val="1"/>
                <w:color w:val="auto"/>
              </w:rPr>
            </w:pPr>
          </w:p>
        </w:tc>
      </w:tr>
      <w:tr>
        <w:trPr>
          <w:trHeight w:val="246"/>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investments at March 31, 2014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57,239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57,253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contractual maturity dates of $42.1 million of our investments are within one year from March 31, 2014. The contractual maturity dates of our remaining securities are less than eighteen months from March 31, 2014.</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cash and cash equivalents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December 31, 2013</w:t>
            </w:r>
          </w:p>
        </w:tc>
      </w:tr>
      <w:tr>
        <w:trPr>
          <w:trHeight w:val="250"/>
        </w:trPr>
        <w:tc>
          <w:tcPr>
            <w:tcW w:w="8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17,714</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77,490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17,547</w:t>
            </w: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35,261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 bank line of credit, as amended, provides us with the ability to borrow up to $10.0 million, of which $6.0 million is available on a non-formula basis, subject to certain covenants and other restrictions. The balance of $4.0 million is available based on eligible receivables. The line of credit expires in December 2014 and is collateralized by our assets, excluding our intellectual property, and bears interest at a rate equal to the greater of (i) 3.75% or (ii) the prime rate plus 0.50% per year. At March 31, 2014, there was no outstanding balance on the line of credit. On May 9, 2014, we entered into a modification agreement with the lender to amend and waive certain financial covenants under the financing agreement, effective as of March 31, 2014. Except to the extent specifically amended pursuant to the modification agreement, the financing agreement remains in full force and effect. We are in compliance with all applicable covenants under the financing agreement.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On April 9, 2013, we entered into an amendment (the Amendment) to the lease agreement dated September 4, 2010 (as amended, the Lease) relating to the lease of office and laboratory space at our headquarters located at 7000 Shoreline Court, South San Francisco, California. The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Amendment also provided for an allowance of approximately $0.7 million 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24"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October 14, 2013, Fluidigm Singapore accepted an offer of tenancy (Lease) from HSBC Institutional Trust Services (Singapore) Limited, as trustee of Ascendas Real Estate Investment Trust (Landlord), relating to the lease of a facility located at Block 5008, Ang Mo Kio Avenue 5, TECHplace II, Singapore 569874. Pursuant to the terms of the Lease, Fluidigm Singapore took possession of the facility commencing on March 3, 2014 for a term of 99 months, and the Lease and rental obligations thereunder will commence on June 3, 2014. The Lease also provides Fluidigm Singapore with an option to renew the Lease for an additional 60 months at the then prevailing market rent, and on similar terms as the existing Lease, and a right of first refusal on certain additional space in the building beginning June 2, 2014 until June 1, 2015. The leases for Fluidigm Singapore’s existing facilities terminate on August 31, 2014. Fluidigm Singapore intends to consolidate its manufacturing operations in the new space in the third quarter of 2014.</w:t>
      </w:r>
    </w:p>
    <w:p>
      <w:pPr>
        <w:spacing w:after="0" w:line="3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connection with our acquisition of DVS (See Note 4), we assumed the operating leases for facilities in Sunnyvale, California and Markham, Ontario, Canada, which expire in January 2016 and July 2016, respectively. The Canada lease includes an option to renew the lease for an additional five years at the then prevailing market rent, and on similar terms as the existing lease. We recognize rent expense on a straight-line basis over the non-cancelable lease term. Rent expense for the period February 13, 2014 to March 31, 2014 was $44,000. The total operating lease obligations for the assumed operating leases in Sunnyvale, California and Markham, Ontario, Canada are $716,000 as of March 31,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9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During the three months ended March 31, 2014, we granted to certain employees options to purchase 352,000 shares of common stock with exercise prices ranging from $44.07 to $47.55 per share. These options had a total grant date fair value of $9.2 million that will be recognized as expense over their respective 4-year vesting periods. We also granted 285,000 restricted stock units to certain employees with fair market values ranging from $42.43 to $47.55 per share. These restricted stock units had a total grant date fair value of $13.2 million that will be recognized as expense over the respective 4-year vesting periods.</w:t>
      </w:r>
    </w:p>
    <w:p>
      <w:pPr>
        <w:spacing w:after="0" w:line="134"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We recognized stock-based compensation expense of $3.4 million and $1.3 million during the three months ended March 31, 2014 and 2013, respectively. As of March 31, 2014, we had $25.2 million and $20.1 million of unrecognized stock-based compensation costs related to stock options and restricted stock units, respectively, which are expected to be recognized over a weighted average period of 2.9 years and 3.9 years, respectively.</w:t>
      </w:r>
    </w:p>
    <w:p>
      <w:pPr>
        <w:spacing w:after="0" w:line="93"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In conjunction with the DVS acquisition, we assumed all outstanding DVS stock options and unvested shares of restricted stock. (See Note 4.) As of March 31, 2014, we had $2.2 million and $7.0 million of unrecognized stock-based compensation costs related to these stock options and restricted stock, respectively, which are expected to be recognized over a weighted average period of 2.0 years and 0.8 years,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Income taxes are primarily comprised of state and foreign income taxes. The provision or benefit for income taxes for the periods presented differs from the 34% U.S. Federal statutory rate primarily due to maintaining a valuation allowance for U.S. losses and tax assets, which we do not consider to be realizable. Income tax expense primarily consists of amounts payable in foreign jurisdictions. As a result of the intangible assets arising from the DVS acquisition (See Note 4), we recorded foreign and California deferred tax liabilities of $30.0 million and $2.0 million, respectively. The related valuation allowance associated with our California deferred tax assets was released and recorded as an income tax benefit in the quarter ended March 31,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Information About Geographic Areas</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operate in one reporting segment, which is the development, manufacturing, and commercialization of life science analytical and preparatory systems consisting of instruments and consumables for academic institutions, clinical laboratories, and pharmaceutical, biotechnology, and Ag-Bio companies in growth markets, such as single-cell biology and production genomics.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product revenue by geography based on the billing address of our customers for each period presented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3,501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1,915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14,254</w:t>
            </w:r>
          </w:p>
        </w:tc>
      </w:tr>
      <w:tr>
        <w:trPr>
          <w:trHeight w:val="27"/>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license and grant revenues are primarily generated in the United States.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business strategies, financing plans, expansion of our business,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i w:val="1"/>
          <w:iCs w:val="1"/>
          <w:color w:val="auto"/>
        </w:rPr>
        <w:t>“Fluidigm,” the Fluidigm logo, “BioMark,” “Access Array,” “C</w:t>
      </w:r>
      <w:r>
        <w:rPr>
          <w:rFonts w:ascii="Arial" w:cs="Arial" w:eastAsia="Arial" w:hAnsi="Arial"/>
          <w:sz w:val="12"/>
          <w:szCs w:val="12"/>
          <w:i w:val="1"/>
          <w:iCs w:val="1"/>
          <w:color w:val="auto"/>
        </w:rPr>
        <w:t>1</w:t>
      </w:r>
      <w:r>
        <w:rPr>
          <w:rFonts w:ascii="Arial" w:cs="Arial" w:eastAsia="Arial" w:hAnsi="Arial"/>
          <w:sz w:val="18"/>
          <w:szCs w:val="18"/>
          <w:i w:val="1"/>
          <w:iCs w:val="1"/>
          <w:color w:val="auto"/>
        </w:rPr>
        <w:t>,” “CyTOF,” “EP1,” “SNPtype,” and “DELTAgene” are trademarks or registered trademarks of Fluidigm Corporation. Other service marks, trademarks, and trade names referred to in this Form 10-Q are the property of their respective owners.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develop, manufacture, and market life science analytical and preparatory systems for growth markets such as single-cell biology and production genomics. We sell to leading academic institutions, clinical laboratories, and pharmaceutical, biotechnology, and agricultural biotechnology, or Ag-Bio, companies worldwide. Our systems are based on proprietary microfluidics and multi-parameter mass cytometry technology, and are designed to significantly simplify experimental workflow, increase throughput, and reduce costs, while providing excellent data quality. We have sold approximately 1,000 systems to customers in over 30 countries worldwide.</w:t>
      </w:r>
    </w:p>
    <w:p>
      <w:pPr>
        <w:spacing w:after="0" w:line="13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have launched several product lines since 2006, including systems for gene expression analysis, genotyping, digital polymerase chain reaction, or digital PCR, single nucleotide polymorphism genotyping, or SNP genotyping, target enrichment, high-throughput gene expression analysis, targeted single-cell gene expression analysis, and single-cell sample preparation. In May 2011, we launched assay products for gene expression and genotyping, and primers for targeted next-generation DNA sequencing. Our systems utilize one or more integrated fluidic circuits, or IFCs, designed for particular applications and include specialized instrumentation and software, as well as assays and other reagents for certain applications. Additionally, pursuant to our acquisition of DVS Sciences, Inc. (now Fluidigm Sciences Inc.), or DVS, on February 13, 2014, we now also develop, manufacture, market, and sell multi-parameter single-cell protein analysis systems and related reagents and data analysis tools.</w:t>
      </w:r>
    </w:p>
    <w:p>
      <w:pPr>
        <w:spacing w:after="0" w:line="12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genomics analytical and preparatory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are manufactured at our facility in Canada, and our assays and reagents for commercial sale and IFCs for our research and development purposes are manufactured at our facilities in South San Francisco and Sunnyvale, California.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Our total revenue grew from $52.3 million in 2012 to $71.2 million in 2013, and for the three months ended March 31, 2014, our total revenue was $25.7 million. We have incurred significant net losses since our inception in 1999 and, as of March 31, 2014, our accumulated deficit was $272.8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months ended March 31, 2014 compared to those disclosed in our Annual Report on Form 10-K for the year ended December 31, 2013, as filed with the SEC on March 12,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generate revenue from sales of our products, license agreements, and government grants. Our product revenue consists of sales of instruments and related services, and consumables, including IFCs, assays, and other reagents. We have entered into license agreements and have received government grants to conduct research and development activities.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352"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15,107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7,905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25,449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14,254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 revenue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25,724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14,535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0"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37465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3,501</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1,915</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686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25,449</w:t>
            </w: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customers include academic research institutions, clinical laboratories, and pharmaceutical, biotechnology, and Ag-Bio companies worldwide.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Total revenue from our five largest customers in each of the periods presented comprised 19% and 21% of our total revenue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2014 and March 31, 2013</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Total revenue increased by $11.2 million, or 77%, to $25.7 million for the three months ended March 31, 2014, compared to $14.5 million for the three months ended March 31, 2013.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Product revenue increased by $11.2 million, or 79%, to $25.4 million for the three months ended March 31, 2014, compared to $14.3 million for the three months ended March 31, 2013.</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Instrument revenue increased by $7.2 million, or 91%, primarily driven by increased unit sales of our preparatory systems, which include our C</w:t>
      </w:r>
      <w:r>
        <w:rPr>
          <w:rFonts w:ascii="Arial" w:cs="Arial" w:eastAsia="Arial" w:hAnsi="Arial"/>
          <w:sz w:val="12"/>
          <w:szCs w:val="12"/>
          <w:color w:val="auto"/>
        </w:rPr>
        <w:t>1</w:t>
      </w:r>
      <w:r>
        <w:rPr>
          <w:rFonts w:ascii="Arial" w:cs="Arial" w:eastAsia="Arial" w:hAnsi="Arial"/>
          <w:sz w:val="18"/>
          <w:szCs w:val="18"/>
          <w:color w:val="auto"/>
        </w:rPr>
        <w:t xml:space="preserve"> Single-Cell Auto Prep System; to a lesser extent, increases in unit sales of our BioMark HD System; and unit sale contributions from our recently acquired CyTOF 2 system. Higher sales of service offerings, including service related to CyTOF 2 systems, and higher average selling prices of our instrument systems also contributed to the increase in instrument revenue. The revenue increase was slightly offset by lower unit sales of our Access Array System and lower accessory sales.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Consumables revenue increased by $4.0 million, or 63%, primarily due to growth in overall IFC unit volume, driven mainly by increased sales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production genomics customers. Annualized IFC pull-through for our genomics analytical systems was slightly above our historical range of $40,000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 per system and within our expected range of $15,000 to $25,000 per system for genomics preparatory systems. Annualized IFC pull-through for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proteomics analytical systems was within our historical range of $50,000 to $70,000 per system. To a lesser extent, sales from our recently acquired antibody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consumables, and higher sales of our assays and reagents also contributed to the overall increases in consumables revenue.</w:t>
      </w:r>
    </w:p>
    <w:p>
      <w:pPr>
        <w:spacing w:after="0" w:line="15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Grant revenue consists of a grant from California Institute for Regenerative Medicine, or CIRM. Our CIRM grant was awarded in 2011 in the amount of $1.9 million to be earned over a three-year period. The CIRM grant revenue is recognized as the related research and development services are performed and costs associated with the grants are recognized as research and development expense during the period incurred.</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Grant revenue was $0.2 million for each of the three months ended March 31, 2014 and 2013.</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revenue and product margin for each period presented (in thousands, other than percentages):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16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March 31,</w:t>
            </w:r>
          </w:p>
        </w:tc>
        <w:tc>
          <w:tcPr>
            <w:tcW w:w="11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8,704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4,259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133" w:lineRule="exact"/>
        <w:rPr>
          <w:sz w:val="20"/>
          <w:szCs w:val="20"/>
          <w:color w:val="auto"/>
        </w:rPr>
      </w:pPr>
    </w:p>
    <w:p>
      <w:pPr>
        <w:ind w:right="600" w:firstLine="432"/>
        <w:spacing w:after="0" w:line="308" w:lineRule="auto"/>
        <w:rPr>
          <w:sz w:val="20"/>
          <w:szCs w:val="20"/>
          <w:color w:val="auto"/>
        </w:rPr>
      </w:pPr>
      <w:r>
        <w:rPr>
          <w:rFonts w:ascii="Arial" w:cs="Arial" w:eastAsia="Arial" w:hAnsi="Arial"/>
          <w:sz w:val="17"/>
          <w:szCs w:val="17"/>
          <w:color w:val="auto"/>
        </w:rPr>
        <w:t>Cost of product revenue increased by $4.4 million, or 104%, to $8.7 million for the three months ended March 31, 2014. Overall cost of product revenue as a percentage of related revenue was 34% and 30% for the three months ended March 31, 2014 and 2013, respectively.</w:t>
      </w:r>
    </w:p>
    <w:p>
      <w:pPr>
        <w:spacing w:after="0" w:line="93"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Non-cash charges resulting from the acquisition of DVS increased the cost of product revenue as a percentage of related revenue by approximately 7 percentage points. These charges included amortization of developed technology and step-up in the basis of acquired inventory.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The unfavorable impact of these charges was partially offset by lower IFC costs resulting from higher production volumes related to higher sales volumes and inventory build-up in preparation for the transition of our Singapore manufacturing operations to a new site. In addition, instrument margins improved mainly due to favorable average unit sales prices; a higher mix of C</w:t>
      </w:r>
      <w:r>
        <w:rPr>
          <w:rFonts w:ascii="Arial" w:cs="Arial" w:eastAsia="Arial" w:hAnsi="Arial"/>
          <w:sz w:val="12"/>
          <w:szCs w:val="12"/>
          <w:color w:val="auto"/>
        </w:rPr>
        <w:t>1</w:t>
      </w:r>
      <w:r>
        <w:rPr>
          <w:rFonts w:ascii="Arial" w:cs="Arial" w:eastAsia="Arial" w:hAnsi="Arial"/>
          <w:sz w:val="18"/>
          <w:szCs w:val="18"/>
          <w:color w:val="auto"/>
        </w:rPr>
        <w:t xml:space="preserve"> Single-Cell Auto Prep Systems, which have a higher margin compared to other instruments; and lower freight and service costs as a percentage of revenues.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61"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March 31,</w:t>
            </w:r>
          </w:p>
        </w:tc>
        <w:tc>
          <w:tcPr>
            <w:tcW w:w="1280" w:type="dxa"/>
            <w:vAlign w:val="bottom"/>
          </w:tcPr>
          <w:p>
            <w:pPr>
              <w:spacing w:after="0"/>
              <w:rPr>
                <w:sz w:val="18"/>
                <w:szCs w:val="18"/>
                <w:color w:val="auto"/>
              </w:rPr>
            </w:pPr>
          </w:p>
        </w:tc>
      </w:tr>
      <w:tr>
        <w:trPr>
          <w:trHeight w:val="25"/>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15,257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11,146</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22,903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15,343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Research and development expense increased $3.4 million, or 82%, to $7.6 million for the three months ended March 31, 2014, compared to $4.2 million for the three months ended March 31, 2013. The acquisition of DVS contributed approximately $2.0 million. The remainder of the increase was attributable to headcount and other compensation-related costs of $1.0 million; and an increase in facility expenses of $0.2 million. We incurred these costs to support our development and commercialization of new and existing products and services.</w:t>
      </w:r>
    </w:p>
    <w:p>
      <w:pPr>
        <w:spacing w:after="0" w:line="117"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Selling, general and administrative expense increased $4.1 million, or 37%, to $15.3 million for the three months ended March 31, 2014, compared to $11.1 million for the three months ended March 31, 2013. The increase related to the acquisition of DVS was $1.5 million. We also had higher headcount and other compensation-related costs of $1.4 million, an increase in legal and accounting fees of $0.7 million; and an increase in sales and marketing activities of $0.1 million. The increase was primarily driven by expansion of our worldwide commercial capabilities, and to a lesser extent, general and administrative expense to support our growth.</w:t>
      </w:r>
    </w:p>
    <w:p>
      <w:pPr>
        <w:spacing w:after="0" w:line="13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Acquisition-related expenses were $10.7 million for the three months ended March 31, 2014 and primarily included accelerated vesting of certain DVS restricted stock and options, and consulting, legal, and investing banking fees.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income and expense items for each period presented (in thousands):</w:t>
      </w:r>
    </w:p>
    <w:p>
      <w:pPr>
        <w:spacing w:after="0" w:line="306"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March 31,</w:t>
            </w:r>
          </w:p>
        </w:tc>
        <w:tc>
          <w:tcPr>
            <w:tcW w:w="118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Gain from sales of investment in Verinata</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1,777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7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will accrue interest at a rate of 2.75% per year, payable semi-annually in arrears on February 1 and August 1 of each year, commencing August 1, 2014. The Notes will mature on February 1, 2034, unless earlier converted, redeemed, or repurchased in accordance with the terms of the Notes. As a result of the issuance of the Notes, we expect interest expense to be higher in future quarters as the expense will accrue over the full quarter as opposed to the partial quarter in the first quarter of 2014.</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Interest expense increased by $1.0 million for the three months ended March 31, 2014 compared to the three months ended March 31, 2013 related to the Notes, including amortization of underwriting commission and other debt related costs.</w:t>
      </w:r>
    </w:p>
    <w:p>
      <w:pPr>
        <w:spacing w:after="0" w:line="11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Other income, net increased by $0.3 million for the three months ended March 31, 2014 compared to other expense, net of $213,000 for the three months ended March 31, 2013. In 2013, the loss was due primarily to an unfavorable rate change in the Japanese Yen against the U.S. dollar, which did not recur in the current period.</w:t>
      </w:r>
    </w:p>
    <w:p>
      <w:pPr>
        <w:spacing w:after="0" w:line="127"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 The $1.8 million gain we recognized did not include any amounts that may be received upon the achievement of future milestones.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March 31, 2014, our principal sources of liquidity consisted of $101.0 million of cash and cash equivalents and $57.3 million of investments. As of March 31, 2014, our working capital totaled $158.4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61"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March 31,</w:t>
            </w:r>
          </w:p>
        </w:tc>
        <w:tc>
          <w:tcPr>
            <w:tcW w:w="1280" w:type="dxa"/>
            <w:vAlign w:val="bottom"/>
          </w:tcPr>
          <w:p>
            <w:pPr>
              <w:spacing w:after="0"/>
              <w:rPr>
                <w:sz w:val="18"/>
                <w:szCs w:val="18"/>
                <w:color w:val="auto"/>
              </w:rPr>
            </w:pPr>
          </w:p>
        </w:tc>
      </w:tr>
      <w:tr>
        <w:trPr>
          <w:trHeight w:val="25"/>
        </w:trPr>
        <w:tc>
          <w:tcPr>
            <w:tcW w:w="76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(10,547)</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(121,231)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197,499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1,767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65,763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3,166</w:t>
            </w:r>
          </w:p>
        </w:tc>
      </w:tr>
      <w:tr>
        <w:trPr>
          <w:trHeight w:val="27"/>
        </w:trPr>
        <w:tc>
          <w:tcPr>
            <w:tcW w:w="7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Net cash used in operating activities was $10.5 million for the three months ended March 31, 2014, compared to $0.9 million for the three months ended March 31, 2013, an increase of $9.7 million. Cash used for working capital purposes increased by $3.9 million, driven primarily by higher accounts receivable and inventory, partially offset by increase in accounts payable. Our net loss, adjusted for non-cash and non-operating items and deferred revenue, for the three months ended March 31, 2014 increased by $5.8 million, compared to the same period in 2013 primarily due to acquisition-related expenses of $6.5 million.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Our primary investing activities consist of purchases, sales, and maturities of our short-term and long-term investments, and capital expenditures for manufacturing, laboratory, and computer equipment and software to support our expanding infrastructure and work force. We expect to continue to expand our manufacturing capability,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3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Net cash used in investing activities was $121.2 million during the three months ended March 31, 2014. Net cash used in investing activities primarily consisted of $113.2 million related to the acquisition of DVS, net of acquired cash of $8.4 million, and excluding $4.1 million attributed to the acceleration of DVS share-based awards and classified as cash used in operating activities; purchases of investments of $15.0 million; and capital expenditures of $1.8 million primarily to support growth in our manufacturing operations; partially offset by proceeds from sales and maturities of investments of $8.8 million.</w:t>
      </w:r>
    </w:p>
    <w:p>
      <w:pPr>
        <w:spacing w:after="0" w:line="10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Net cash provided by investing activities was $2.4 million during the three months ended March 31, 2013. Net cash provided by investing activities primarily consisted of proceeds from sales and maturities of investments of $7.4 million and proceeds from sale of investment in Verinata of $3.1 million, partially offset by purchases of investments of $7.4 million and purchases of capital equipment of $0.7 million to support growth in our commercial and manufacturing operations.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Net cash provided by financing activities was $197.5 million during the three months ended March 31, 2014 and consists of net proceeds of $195.2 million from the issuance of senior convertible notes and proceeds received in connection with the exercise of options for our common stock of $2.3 million.</w:t>
      </w:r>
    </w:p>
    <w:p>
      <w:pPr>
        <w:spacing w:after="0" w:line="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Net cash provided by financing activities was $1.8 million during the three months ended March 31, 2013 from proceeds received in connection with the exercise of options for our common stock.</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At March 31, 2014, our working capital was $158.4 million, including cash, cash equivalents, and investments of $158.3 million. On February 4, 2014, we closed an underwritten public offering of approximately $201.3 million aggregate principal amount of our 2.75% Senior Convertible Notes due 2034, or the Notes. We received cash proceeds of $195.2 million, net of underwriting discounts. Debt issuance costs were approximately $1.1 million. We used $126.0 million of the net proceeds to fund the cash portion of the consideration payable by us in connection with our acquisition of DVS.</w:t>
      </w:r>
    </w:p>
    <w:p>
      <w:pPr>
        <w:spacing w:after="0" w:line="36"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color w:val="auto"/>
        </w:rPr>
        <w:t>We have a bank line of credit agreement that is collateralized by our assets, excluding intellectual property, and provides us the ability to draw up to $10.0 million, of which $6.0 million is available on a non-formula basis, subject to certain covenants and other restrictions. The balance of $4.0 million is available based on eligible receivables. At March 31, 2014, we had no borrowing outstanding under the bank line of credit.</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estimating capital expenditures to be higher in 2014 primarily for leasehold improvements at our new Singapore manufacturing facility.</w:t>
      </w:r>
    </w:p>
    <w:p>
      <w:pPr>
        <w:spacing w:after="0" w:line="183"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March 31, 2014, we did not have any off-balance sheet arrangements as defined in Item 303(a)(4) of Regulation S-K promulgated under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On April 9, 2013, we entered into an amendment (the Amendment) to the lease agreement dated as of September 4, 2010 (as amended, the Lease) relating to the lease of office and laboratory space at our headquarters located at 7000 Shoreline Court, South San Francisco, California. The Amendment provided for an expansion of the premises covered under the Lease, effective as of April 1, 2014; an extension of the term of the Lease to April 30, 2020 with an option to renew for an additional five years; payment of base rent with rent escalation; and payment of certain operating expenses during the term of the Lease. The Amendment also provided for an allowance of approximately $0.7 million 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32"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Fluidigm Singapore Pte. Ltd. (Fluidigm Singapore), our wholly-owned subsidiary, is currently party to leases for manufacturing and office space in Singapore, which were scheduled to terminate on September 30, 2014 as previously disclosed. On May 6, 2014, Fluidigm Singapore and the landlord of the existing manufacturing and office space in Singapore agreed to terminate the leases on August 31, 2014. On October 14, 2013, Fluidigm Singapore accepted an offer of tenancy (the Lease) from HSBC Institutional Trust Services (Singapore) Limited, as trustee of Ascendas Real Estate Investment Trust (the Landlord), relating to the lease of a facility located at Block 5008, Ang Mo Kio Avenue 5, TECHplace II, Singapore 569874. Pursuant to the Lease, we took possession of the facility commencing on March 3, 2014 for a term of 99 months. Aggregate gross rent (including service charges) due under the Lease will be SG$6.4 million (approximately US$5.1 million using the March 31, 2014 exchange rate). The Lease also provides Fluidigm Singapore with an option to renew the Lease for an additional 60 months at the then prevailing market rent, and on similar terms as the existing Lease, and a right of first refusal on certain additional space in the building beginning June 2, 2014 until June 1, 2015. Fluidigm Singapore intends to relocate its Singapore facilities to its new manufacturing and office space located at Block 5008, Ang Mo Kio Avenue 5 TECHplace II, Singapore in the third quarter of 2014.</w:t>
      </w:r>
    </w:p>
    <w:p>
      <w:pPr>
        <w:spacing w:after="0" w:line="3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connection with our acquisition of DVS (See Note 4), we assumed the operating leases for facilities in Sunnyvale, California and Markham, Ontario, Canada, which expire in January 2016 and July 2016, respectively. The Canada lease includes an option to renew the lease for an additional five years at the then prevailing market rent, and on similar terms as the existing lease. We recognize rent expense on a straight-line basis over the non-cancelable lease term. The total operating lease obligations for the assumed operating leases in Sunnyvale, California and Markham, Ontario, Canada are $716,000 as of March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currency denominated cash, receivables and payables as of March 31, 2014 would not have been material. To date, we have not entered into any foreign currency hedging contracts although we may do so in the future.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had cash and cash equivalents of $101.0 million at March 31, 2014. These amounts were held primarily in cash on deposit with banks and cash equivalents. We had $57.3 million in investments at March 31, 2014 held primarily in U.S. government and agency securities. The contractual maturity dates of $42.1 million of our U.S. government and agency securities are within one year from March 31, 2014. The contractual maturity dates of our remaining U.S. government and agency securities are less than eighteen months from March 31, 2014.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2014, our Chief Executive Officer and Chief Financial Officer concluded that, as of such date, our disclosure controls and procedures were effective at the reasonable assurance level.</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There were no changes in our internal control over financial reporting that occurred during the three months ended March 31, 2014 that have materially affected, or are reasonably likely to materially affect, our internal control over financial reporting. However, during the quarter ended March 31, 2014, we completed our acquisition of DVS Sciences Inc. (now Fluidigm Sciences Inc.), or DVS, which is now our wholly-owned subsidiary and a "significant subsidiary" as defined by Rule 1-02 of Regulation S-X promulgated by the Securities and Exchange Commission. We are in the process of integrating DVS's operations with our operations, including integration of financial reporting processes and procedures and internal controls over financing reporting. In the course of integrating DVS's financial reporting processes and procedures with ours, we may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implement changes to financial reporting processes and procedures and internal controls over financing reporting and will disclose any such changes if material as required by the rules of the SEC.</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125" w:right="4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52"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i w:val="1"/>
          <w:iCs w:val="1"/>
          <w:color w:val="auto"/>
        </w:rPr>
        <w:t>On February 13, 2014, we completed the acquisition of DVS Sciences, Inc., or DVS (now Fluidigm Sciences Inc., or Fluidigm Sciences), which develops, manufactures, markets, and sells multi-parameter single-cell protein analysis systems. For purposes of the risk factors below, Fluidigm Sciences refers to Fluidigm Sciences and its wholly-owned Canadian subsidiary, Fluidigm Canada Inc., or Fluidigm Canada (formerly DVS Sciences Inc.).</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17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Emerging market opportunities may not develop as quickly as we expect, limiting our ability to successfully market and sell our products, or our product development and strategic plans relating to such markets may change and our entry into these emerging markets may be delayed, if it occurs at all.</w:t>
      </w:r>
    </w:p>
    <w:p>
      <w:pPr>
        <w:spacing w:after="0" w:line="4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For example, we launched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in June 2012, which applies our technology to, among other things, improve single-cell analytic workflow for single-cell genomics.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emerging markets may depend to a large extent on our ability to successfully market and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emerging markets.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may vary significantly from quarter-to-quarter due to a number of factors, which may lead to volatility in our stock price.</w:t>
      </w:r>
    </w:p>
    <w:p>
      <w:pPr>
        <w:spacing w:after="0" w:line="10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quarterly revenue and results of operations have varied in the past and may continue to vary significantly from quarter-to-quarter. For example, in 2011 and 2012, we experienced higher sales in the fourth quarter than in the first quarter of the next fiscal year. In addition, revenue from sales of our instruments 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quarter-to-quarter financial results could be significantly impacted.</w:t>
      </w:r>
    </w:p>
    <w:p>
      <w:pPr>
        <w:spacing w:after="0" w:line="13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will continue to fluctuate on a quarterly basis and that our financial results for some periods may be below those projected by securities analysts, which could significantly decrease the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$15.4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$16.5 million, $19.0 million, and $22.5 million during the three months ended March 31, 2014 and years 2013, 2012, and 2011, respectively. As of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we had an accumulated deficit of $272.8 million. These losses have resulted principally from costs incurred in our research and development programs,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from our manufacturing costs and selling, general, and administrative expenses. We may continue to incur substantial operating and net losses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negative cash flow from operations. We expect that our selling, general, and administrative expenses will continue to increase due to the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operational and reporting costs associated with being a public company. We anticipate that our business will generate operating losses until we successfully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implement our commercial development strategy and generate significant additional revenue to support our level of operating expenses. Because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numerous risks and uncertainties associated with our commercialization efforts and future product development, we are unable to predict when we will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become profitable, and we may never become profitable. Even if we do achieve profitability, we may not be able to sustain or increase our profitability.</w:t>
      </w:r>
    </w:p>
    <w:p>
      <w:pPr>
        <w:spacing w:after="0" w:line="11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Actual results relating to Fluidigm Sciences (formerly DVS Sciences, Inc.) may differ from any guidance issued by us concerning future revenue and revenue growth of Fluidigm Sciences or the anticipated impact of the acquisition on the operating results of the combined company, and these differences could be material.</w:t>
      </w:r>
    </w:p>
    <w:p>
      <w:pPr>
        <w:spacing w:after="0" w:line="45"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color w:val="auto"/>
        </w:rPr>
        <w:t>We cannot provide assurances with respect to the future revenues or revenue growth rates we may realize as a result of our acquisition of DVS and sales of its CyTOF mass spectrometer and associated consumables for the proteomics market. Fluidigm Sciences’ revenues increased substantially through fiscal 2013, but we recently reduced our revenue expectations for 2014 and do not expect revenue from sales of Fluidigm Sciences’ proteomics products to grow, if at all, at the same rates experienced in recent periods. We currently expect 2014 revenues from sales of our proteomics products to be less than our 2013 revenues. In addition, although its revenues have grown on an annual basis in recent years, Fluidigm Sciences has experienced substantial quarter-to-quarter variations in levels of demand and revenue growth for its instruments and consumables, and we expect that these variances may continue in the future. Additional risks and uncertainties that could cause actual results from our proteomics product line to differ materially from currently anticipated results include, but are not limited to, risks relating to our ability to successfully integrate Fluidigm Sciences; our ability to commercialize Fluidigm Sciences products; market acceptance of Fluidigm Sciences products; our ability to successfully launch new products and applications in Fluidigm Sciences’ target markets; competition; our sales, marketing and distribution capabilities; our planned sales, marketing, and research and development activities; reduction in research and development spending or changes in budget priorities by customers; interruptions or delays in the supply of components or materials for, or manufacturing of, Fluidigm Sciences’ products, which in certain cases are purchased through sole and single source suppliers; seasonal variations in customer operations; unanticipated increases in costs or expenses; risks associated with international operations; and the other risks identified in this report. Other unknown or unpredictable factors also could harm our results. Consequently, actual results or developments from our proteomics product line that are currently anticipated by us may not be realized or, even if substantially realized, may not have the expected consequences to, or effects on, us. Any failure to meet any proteomics guidance that we have provided or may provide in the future could have a material adverse effect on the trading price or volume of our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made certain assumptions relating to our recent acquisition which may prove to be materially inaccurate.</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have made certain assumptions relating to the acquisition of DVS, which assumptions may be inaccurate, including as the result of the failure to realize the expected benefits of the acquisition, failure to realize expected revenue growth rates, higher than expected operating, transaction and integration costs, as well as general economic and business conditions that adversely affect the combined company following the acquisition. These assumptions relate to numerous matters, including:</w:t>
      </w:r>
    </w:p>
    <w:p>
      <w:pPr>
        <w:spacing w:after="0" w:line="7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of Fluidigm Sciences’ revenue growth, if any, and future revenues;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goodwill and intangibles that will result from the acquisition;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other purchase accounting adjustments that we expect will be recorded in our financial statements in connection with the acquisition;</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develop and deepen relationships with customers of Fluidigm Sciences;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financial and strategic risks of the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carrying value of long-lived and intangible assets may become impaired and result in an impairment charge.</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As of March 31, 2014, we had approximately $214.8 million of net intangible assets, net of amortization, and goodwill, all of which relates to the acquisition. In addition, if in the future we acquire additional complementary businesses or technologies, a substantial portion of the value of such assets may be recorded as intangible assets or goodwill. The carrying amounts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intangible assets and goodwill are affected whenever events or changes in circumstances indicate that the carrying amount of any asset may not be recoverable. Such events or changes might include a significant decline in market share, a significant decline in revenues, a significant increase in losses or decrease in profits, rapid changes in technology, failure to achieve the benefits of capacity increases and utilization, significant litigation arising out of an acquisition or other matters. Adverse events or changes in circumstances may affect the estimated undiscounted future operating cash flows expected to be derived from intangible assets and goodwill. If at any time we determine that an impairment has occurred, we will be required to reflect the impaired value as a charge, resulting in a reduction in earnings in the quarter such impairment is identified and a corresponding reduction in our net asset value. The potential recognition of impairment in the carrying value, if any, could have a material and adverse effect on our financial condition and results of operations.</w:t>
      </w:r>
    </w:p>
    <w:p>
      <w:pPr>
        <w:spacing w:after="0" w:line="10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3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one or more of our manufacturing facilities become unavailable or inoperable, we will be unable to continue manufacturing our instruments, IFCs, and/or assays and, as a result, our business will be harmed until we are able to secure a new facility.</w:t>
      </w:r>
    </w:p>
    <w:p>
      <w:pPr>
        <w:spacing w:after="0" w:line="3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for commercial sale at our facilities in South San Francisco and Sunnyvale, California. No other manufacturing facilities are currently available to us, particularly facilities of the size and scope required by our Singapore and Canada operations. Our facilities and the equipment we use to manufacture our instruments, IFCs, and assays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3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current leases for our manufacturing facility in Singapore will terminate on August 31, 2014. On October 14, 2013, Fluidigm Singapore Pte. Ltd., or Fluidigm Singapore, our wholly-owned subsidiary, accepted an offer of tenancy relating to the lease of a new manufacturing facility in Singapore, which expires on June 1, 2022. We expect to consolidate our manufacturing operations in the new space in the third quarter of 2014. Such a move will involve significant expense in connection with the establishment of new clean rooms, the movement and installation of key manufacturing equipment, and qualification of the new facility, and we cannot assure you that such a move would not delay or otherwise adversely affect our manufacturing activities. If our manufacturing capabilities are impaired by our move, we may not be able to manufacture and ship our products in a timely manner, which would adversely impact our business.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10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For example, we expect to consolidate our Singapore manufacturing operations in a new facility in the third quarter of 2014. Such a move will involve significant expense, and we cannot assure you that such a move would not delay or otherwise adversely affect our manufacturing activities. In addition, our production processes and assembly methods may have to change to accommodate any significant future expansion of our manufacturing capacity, which may increase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manufacturing costs, delay production of our products, reduce our product margin, and adversely impact our business. If our manufacturing activities are adversely impacted by our move,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5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2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In addition,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products, and the loss of any of these suppliers could harm our business.</w:t>
      </w:r>
    </w:p>
    <w:p>
      <w:pPr>
        <w:spacing w:after="0" w:line="3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rely on single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the single source suppliers of any of the following components and/or materials would require significant time and effort to locate and qualify an alternative source of supply:</w:t>
      </w:r>
    </w:p>
    <w:p>
      <w:pPr>
        <w:spacing w:after="0" w:line="79" w:lineRule="exact"/>
        <w:rPr>
          <w:sz w:val="20"/>
          <w:szCs w:val="20"/>
          <w:color w:val="auto"/>
        </w:rPr>
      </w:pPr>
    </w:p>
    <w:p>
      <w:pPr>
        <w:ind w:left="1300" w:right="2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w:t>
      </w:r>
      <w:r>
        <w:rPr>
          <w:rFonts w:ascii="Arial" w:cs="Arial" w:eastAsia="Arial" w:hAnsi="Arial"/>
          <w:sz w:val="11"/>
          <w:szCs w:val="11"/>
          <w:color w:val="auto"/>
        </w:rPr>
        <w:t>1</w:t>
      </w:r>
      <w:r>
        <w:rPr>
          <w:rFonts w:ascii="Arial" w:cs="Arial" w:eastAsia="Arial" w:hAnsi="Arial"/>
          <w:sz w:val="16"/>
          <w:szCs w:val="16"/>
          <w:color w:val="auto"/>
        </w:rPr>
        <w:t xml:space="preserve"> Single-Cell Auto Prep System are available from a limited number of sources.</w:t>
      </w:r>
    </w:p>
    <w:p>
      <w:pPr>
        <w:spacing w:after="0" w:line="140" w:lineRule="exact"/>
        <w:rPr>
          <w:rFonts w:ascii="Arial" w:cs="Arial" w:eastAsia="Arial" w:hAnsi="Arial"/>
          <w:sz w:val="16"/>
          <w:szCs w:val="16"/>
          <w:color w:val="auto"/>
        </w:rPr>
      </w:pPr>
    </w:p>
    <w:p>
      <w:pPr>
        <w:ind w:left="1300" w:right="5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electron multiplier included in the CyTOF system, and the nickel sampler cone and certain metal isotopes used with the CyTOF system, are purchased from single source suppliers and are available from a limited number of sources.</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raw materials for our DELTAgene and SNPtype assays and Access Array Target-Specific primers are available from a limited number of sources.</w:t>
      </w:r>
    </w:p>
    <w:p>
      <w:pPr>
        <w:spacing w:after="0" w:line="3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Our reliance on single source suppliers and assembly service providers also subjects us to other risks that could harm our business, including the following:</w:t>
      </w:r>
    </w:p>
    <w:p>
      <w:pPr>
        <w:spacing w:after="0" w:line="6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3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relationships, including customer relationships, may be subject to disruption due to uncertainty associated with our recent acquisition.</w:t>
      </w:r>
    </w:p>
    <w:p>
      <w:pPr>
        <w:spacing w:after="0" w:line="117" w:lineRule="exact"/>
        <w:rPr>
          <w:sz w:val="20"/>
          <w:szCs w:val="20"/>
          <w:color w:val="auto"/>
        </w:rPr>
      </w:pPr>
    </w:p>
    <w:p>
      <w:pPr>
        <w:jc w:val="both"/>
        <w:ind w:right="260" w:firstLine="432"/>
        <w:spacing w:after="0" w:line="276" w:lineRule="auto"/>
        <w:rPr>
          <w:sz w:val="20"/>
          <w:szCs w:val="20"/>
          <w:color w:val="auto"/>
        </w:rPr>
      </w:pPr>
      <w:r>
        <w:rPr>
          <w:rFonts w:ascii="Arial" w:cs="Arial" w:eastAsia="Arial" w:hAnsi="Arial"/>
          <w:sz w:val="17"/>
          <w:szCs w:val="17"/>
          <w:color w:val="auto"/>
        </w:rPr>
        <w:t>Parties with which we or Fluidigm Sciences do business may experience uncertainty associated with the recent acquisition, including with respect to current or future business relationships with us, Fluidigm Sciences, or the combined business. These business relationships may be subject to disruption as customers and others may attempt to negotiate changes in existing business relationships or consider entering into business relationships with parties other than us, Fluidigm Sciences, or the combined business, including our competitors. These disruptions could have a material adverse effect on the businesses, operating results, and financial condition of the combined business.</w:t>
      </w:r>
    </w:p>
    <w:p>
      <w:pPr>
        <w:spacing w:after="0" w:line="115"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3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analysis ,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Becton, Dickinson and Company, Bio-Rad Laboratories, Inc., Danaher Corporation, Illumina, Inc., Life Technologies Corporation (now part of Thermo Fisher Scientific), LGC Limited, Luminex Corporation, Millipore Corporation, NanoString Technologies, Inc., PerkinElmer, Inc. (through its acquisition of Caliper Life Sciences, Inc.), RainDance Technologies, Inc., Roche Applied Science (a division of Roche Diagnostics Corporation), Sequenom, Inc., Sony Corporation (through its P5 joint venture), Thermo Fisher Scientific Inc., and WaferGen Bio-systems, Inc. have products that compete in certain segments of the market in which we sell our products.</w:t>
      </w:r>
    </w:p>
    <w:p>
      <w:pPr>
        <w:spacing w:after="0" w:line="13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2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4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the federal government budget sequestration,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6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the regulatory environment affecting life science and Ag-Bio companies engaged in research and commercial activities;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12" w:lineRule="exact"/>
        <w:rPr>
          <w:sz w:val="20"/>
          <w:szCs w:val="20"/>
          <w:color w:val="auto"/>
        </w:rPr>
      </w:pPr>
    </w:p>
    <w:p>
      <w:pPr>
        <w:ind w:right="120"/>
        <w:spacing w:after="0" w:line="33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Our products could become subject to regulation as medical devices by the U.S. Food and Drug Administration, or FDA, or other regulatory agencies in the future.</w:t>
      </w:r>
    </w:p>
    <w:p>
      <w:pPr>
        <w:spacing w:after="0" w:line="31"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Our products are currently labeled, promoted and sold to academic institutions, life sciences laboratories, and pharmaceutical, biotechnology, and Ag-Bio companies for research purposes only, and not as diagnostic tests or medical devices. As products labeled and intended for research use only, they are not subject to regulation as medical devices by the FDA. Products labeled and intended for research use only are not currently subject to regulation as medical devices by comparable agencies of other countries. However, the FDA could disagree with our conclusion that our products are for research use only or deem our current marketing and promotional efforts as being inconsistent with research use only products. In addition, if we change the labeling or promotion of our products in the future to include indications for human diagnostic applications or medical uses, or we have knowledge that our customers are using our products for clinical diagnostic or therapeutic purposes, our products or related applications could be subject to additional regulation as in vitro diagnostic devices, such as under the FDA’s pre- and post-market regulations for medical devices. For example, if we wish to label, promote or advertise our products for use in performing clinical diagnostics, we would first need to obtain FDA pre-market clearance or approval (depending on any product’s specific intended use and any such modified labeling claims),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clearance or approval. Even if we were to obtain regulatory approval or clearance, it may not be for the uses we believe are important or commercially attractive.</w:t>
      </w:r>
    </w:p>
    <w:p>
      <w:pPr>
        <w:spacing w:after="0" w:line="40"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Further, the FDA may expand its regulatory oversight of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laboratories offering LDTs. However, the FDA could assert jurisdiction over some or all LDTs, which may impact our customers’ uses of our products. A significant change in the way that the FDA regulates our products, the use of our products or any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Recent comments by FDA Commissioner Margaret Hamburg in June 2013 indicate that the FDA is working on a new risk-based framework to regulate LDTs. We cannot predict the ultimate timing or form of any FDA guidance or regulation on LTDs.</w:t>
      </w:r>
    </w:p>
    <w:p>
      <w:pPr>
        <w:spacing w:after="0" w:line="4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offered for clinical diagnostic uses. These circumstances may include written or verbal marketing claims or links to articles regarding a product’s performance in clinical applications and a manufacturer’s provision of technical support for clinical applications. If the FDA imposes significant changes to the regulation of LDTs, or modifies its approach to our products labeled and intended for research use only, it could reduce our revenue or increase our costs and adversely affect our business, prospects, results of operations or financial condition. In addition, if the FDA determined that our products labeled for research use only were intended, based on a review of the totality of circumstances, for use in clinical investigation or diagnosis, those products could be considered misbranded or adulterated under the Federal Food, Drug, and Cosmetic Act.</w:t>
      </w:r>
    </w:p>
    <w:p>
      <w:pPr>
        <w:spacing w:after="0" w:line="4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may be required to proactively achieve compliance with certain FDA regulations and to conform our manufacturing operations to the FDA’s good manufacturing practice regulations for medical devices, known as the Quality System Regulation, or QSR, as part of our contracts with customers or as part of our collaborations with third parties. In addition, we may voluntarily seek to conform our manufacturing operations to QSR requirements. For clinical diagnostic products that are regulated as medical devices, the FDA enforces the QSR through pre-approved inspections and periodic unannounced inspections of registered manufacturing facilities. If we are subject to QSR requirements, the failure to comply with those requirements or take satisfactory corrective action in response to an adverse QSR inspection could result in enforcement actions, including a public warning letter or an untitled letter, a delay in approving or clearing, or a refusal to approve or clear, our products, a shutdown of manufacturing operations, a product recall, civil or criminal penalties or other sanctions, which could in turn cause our sales and business to suffer.</w:t>
      </w:r>
    </w:p>
    <w:p>
      <w:pPr>
        <w:spacing w:after="0" w:line="175"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 We may have difficulty attracting, motivating and retaining executives and other key employees in light of our recent acquisition.</w:t>
      </w:r>
    </w:p>
    <w:p>
      <w:pPr>
        <w:spacing w:after="0" w:line="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performance is substantially dependent on the performance of our senior management, particularly Gajus V. Worthington, our president and chief executive officer. Additionally, to expand our research and product development efforts, we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34"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19" w:lineRule="exact"/>
        <w:rPr>
          <w:sz w:val="20"/>
          <w:szCs w:val="20"/>
          <w:color w:val="auto"/>
        </w:rPr>
      </w:pPr>
    </w:p>
    <w:p>
      <w:pPr>
        <w:ind w:right="180" w:firstLine="432"/>
        <w:spacing w:after="0" w:line="287" w:lineRule="auto"/>
        <w:rPr>
          <w:sz w:val="20"/>
          <w:szCs w:val="20"/>
          <w:color w:val="auto"/>
        </w:rPr>
      </w:pPr>
      <w:r>
        <w:rPr>
          <w:rFonts w:ascii="Arial" w:cs="Arial" w:eastAsia="Arial" w:hAnsi="Arial"/>
          <w:sz w:val="16"/>
          <w:szCs w:val="16"/>
          <w:color w:val="auto"/>
        </w:rPr>
        <w:t>Uncertainty about the effect of the recent acquisition on our employees may have an adverse effect on us and, consequently, the combined business resulting from the acquisition. This uncertainty may impair our ability to attract, retain and motivate key personnel in the months after the merger for the combined entity. Employee retention may be particularly challenging as employees may experience uncertainty about their future roles with the combined business. Additionally, as a result of the acquisition, key Fluidigm Sciences employees became entitled to receive a portion of the acquisition consideration, the payment of which could provide sufficient financial incentive for certain officers and employees to no longer pursue employment with the combined business. In particular, we have identified several key Fluidigm Sciences employees, including key scientific and technical employees, who have been important to the development of Fluidigm Sciences’ products and technologies, and we have implemented employment compensation arrangements in connection with the acquisition to ensure these individuals’ continued employment with us. We cannot provide assurances that these arrangements will sufficiently incentivize these key employees to remain with us. If key employees depart because of issues relating to the uncertainty and difficulty of integration, financial incentives or a desire not to remain employees of the combined business, we may incur significant costs in identifying, hiring and retaining replacements for departing employees, which could substantially reduce or delay our ability to realize the anticipated benefits of the acquisition.</w:t>
      </w:r>
    </w:p>
    <w:p>
      <w:pPr>
        <w:spacing w:after="0" w:line="169"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Any failure to successfully integrate Fluidigm Sciences’ business and operations or fully realize potential synergies from the acquisition in the expected time frame would adversely affect our business, operating results, and financial condition.</w:t>
      </w:r>
    </w:p>
    <w:p>
      <w:pPr>
        <w:spacing w:after="0" w:line="3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do not have a history of acquiring other companies, and the success of our recent acquisition will depend, in part, on our ability to successfully integrate the acquired business and operations and fully realize the anticipated benefits and potential synergies from the combined business. If we are unable to achieve these objectives, the anticipated benefits and potential synergies from the acquisition may not be realized fully or at all, or may take longer to realize than expected. Any failure to timely realize these anticipated benefits would have a material adverse effect on our business, operating results, and financial condition.</w:t>
      </w:r>
    </w:p>
    <w:p>
      <w:pPr>
        <w:spacing w:after="0" w:line="53"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color w:val="auto"/>
        </w:rPr>
        <w:t>We completed our acquisition of DVS in February 2014 and have only begun the integration process. In connection with the integration process, we could experience the loss of key employees, loss of key customers, decreases in revenues and increases in operating costs, as well as the disruption of our ongoing businesses, any or all of which could limit our ability to achieve the anticipated benefits and potential synergies from the acquisition and have a material adverse effect on our business, operating results,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significant acquisition-related integration costs in connection with the acquisition.</w:t>
      </w:r>
    </w:p>
    <w:p>
      <w:pPr>
        <w:spacing w:after="0" w:line="9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have developed and are executing on a plan to integrate the operations of Fluidigm Sciences with our business. In connection with the integration, we anticipate that we will incur certain non-recurring charges; however, we cannot identify the timing, nature and amount of all such charges as of the date of this report. These integration costs will be charged as an expense in the period incurred and could materially affect our results of operations in the period in which such charges are recorded. Although we believe that the elimination of duplicative costs, as well as the realization of other efficiencies related to the integration of the business, will offset incremental acquisition-related costs over time, this net benefit may not be achieved in the near term, or at all.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our recent acquisition,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8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3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0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the three months ended March 31, 2014 and years 2013, 2012, and 2011, approximately 56%, 48%, 47%, and 47%, respectively, of our product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7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17" w:lineRule="exact"/>
        <w:rPr>
          <w:rFonts w:ascii="Arial" w:cs="Arial" w:eastAsia="Arial" w:hAnsi="Arial"/>
          <w:sz w:val="18"/>
          <w:szCs w:val="18"/>
          <w:color w:val="auto"/>
        </w:rPr>
      </w:pPr>
    </w:p>
    <w:p>
      <w:pPr>
        <w:ind w:left="1300" w:right="9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it would become more costly in U.S. dollars for us to manufacture our products in Singapore.</w:t>
      </w:r>
    </w:p>
    <w:p>
      <w:pPr>
        <w:spacing w:after="0" w:line="13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2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believe our facilities located in Singapore, Canada, and California, are sufficient to meet our short-term manufacturing needs. The current leases for our facilities in Singapore will terminate on August 31, 2014. On October 14, 2013, Fluidigm Singapore accepted an offer of tenancy relating to the lease of a new manufacturing facility in Singapore, which expires on June 1, 2022. We expect to consolidate our manufacturing operations in the new space in the third quarter of 2014. Such a move will involve significant expense in connection with the establishment of new clean rooms, the movement and installation of key manufacturing equipment, and qualification of our new facility, and we cannot assure you that such a move would not delay or otherwise adversely affect our manufacturing activities. If our ability to utilize the new facility for manufacturing operations is delayed, we may not be able to meet demand for our microfluidic systems, which could adversely impact our business. We cannot provide assurances that we will be able to secure a lease on a different manufacturing facility on acceptable terms and on a timely basis, if at all, to meet our future manufacturing needs.</w:t>
      </w:r>
    </w:p>
    <w:p>
      <w:pPr>
        <w:spacing w:after="0" w:line="125"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31"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We also provide warranties relating to other parts of our systems. The costs incurred in correcting any defects or errors may be substantial and could adversely affect our operating margins.</w:t>
      </w:r>
    </w:p>
    <w:p>
      <w:pPr>
        <w:spacing w:after="0" w:line="10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11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17"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 claims against us, including product liability claims, which could be costly and time consuming to defend and result in substantial damages.</w:t>
      </w:r>
    </w:p>
    <w:p>
      <w:pPr>
        <w:spacing w:after="0" w:line="11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16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To use our products, our BioMark and CyTOF systems in particular, customers typically need to purchase specialized reagents. Any interruption in the availability of these reagents for use in our products could limit our ability to market our products.</w:t>
      </w:r>
    </w:p>
    <w:p>
      <w:pPr>
        <w:spacing w:after="0" w:line="3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products, our BioMark and CyTOF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2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31"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We have limited experience in marketing, selling, and distributing our products. 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2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1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2"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Additionally, on February 13, 2014 we completed our acquisition of DVS, which is now our wholly-owned subsidiary and a "significant subsidiary" as defined by Rule 1-02 of Regulation S-X promulgated by the Securities and Exchange Commission. DVS was a private company and was not required to maintain internal controls over financial reporting to the same degree as public companies subject to the Sarbanes- Oxley Act. We are in the process of integrating DVS's operations with ours, including integration of financial reporting processes and procedures and internal controls over financing reporting. In the course of integration, we may identify internal control deficiencies or material weaknesses that require remediation.</w:t>
      </w:r>
    </w:p>
    <w:p>
      <w:pPr>
        <w:spacing w:after="0" w:line="12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Market, or NASDAQ, the SEC or other regulatory authorities, which would require additional financial and management resources.</w:t>
      </w:r>
    </w:p>
    <w:p>
      <w:pPr>
        <w:spacing w:after="0" w:line="12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3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it could adversely affect the effectiveness of our internal controls over financial reporting.</w:t>
      </w:r>
    </w:p>
    <w:p>
      <w:pPr>
        <w:spacing w:after="0" w:line="13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for various purposes, including:</w:t>
      </w:r>
    </w:p>
    <w:p>
      <w:pPr>
        <w:spacing w:after="0" w:line="4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1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300" w:right="7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22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34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6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64"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18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or financial position. Further, we could encounter delays in product introductions, or interruptions in product sales, as we develop alternative methods or products.</w:t>
      </w:r>
    </w:p>
    <w:p>
      <w:pPr>
        <w:spacing w:after="0" w:line="12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2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3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and multi-layer soft lithography technologies. In some cases, we do not control the prosecution, maintenance, or filing of the patents to which we hold licenses, or the enforcement of these patents against third parties.</w:t>
      </w:r>
    </w:p>
    <w:p>
      <w:pPr>
        <w:spacing w:after="0" w:line="127"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For example, pursuant to the terms of a license agreement entered into with Life in June 2011, we were obligated to make a $1.0 million payment to Life upon satisfaction of certain conditions. On October 16, 2013, Life provided notice that the $1.0 million payment was due and payable under the license agreement. We believe that at least one of the conditions of the milestone payment remains unmet; however, we paid Life the amount due while reserving our rights with respect to such matter to, among other reasons, avoid what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would have been, in our view, an improper termination of our license to certain Life patent filings under the agreement, which could have subject our relevant product lines to risks associated with patent infringement litigation.</w:t>
      </w:r>
    </w:p>
    <w:p>
      <w:pPr>
        <w:spacing w:after="0" w:line="16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Fluidigm Sciences licenses core intellectual property rights covering its products under agreements with several third parties. Termination of or disputes relating to any of these license agreements would have a material adverse effect on our business, operating results, and financial condition and could result in our inability to sell Fluidigm Sciences’ flow cytometry products and otherwise to realize the benefits associated with the acquisition.</w:t>
      </w:r>
    </w:p>
    <w:p>
      <w:pPr>
        <w:spacing w:after="0" w:line="4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intellectual property rights covering Fluidigm Sciences’ products depend in substantial part on license agreements with third parties, in particular MDS, Inc., or MDS, and also with other third parties such as Nodality, Inc., or Nodality. The licensed intellectual property rights of MDS as well as MDS’s rights and obligations under the license agreement between Fluidigm Canada and MDS were subsequently assigned to and are now held by PerkinElmer Health Sciences, Inc., or PerkinElmer. Under the PerkinElmer license agreement, Fluidigm Canada received an exclusive, royalty bearing, worldwide license to certain patents that are now owned by PerkinElmer in the field of ICP-based flow cytometry, including the analysis of elemental tagged materials in connection therewith, and a non-exclusive license for reagents outside the field of ICP-based flow cytometry. Fluidigm Canada was also party to an interim license agreement, now expired, under which Nodality granted Fluidigm Canada a worldwide, non-exclusive, research use only, royalty bearing license to certain cytometric reagents, instruments, and other products. Fluidigm Canada and Nodality are currently in negotiations with respect to reinstating the license agreement and we cannot provide assurances that we will be able to reinstate or secure a new license agreement on acceptable terms, if at all. In addition, Fluidigm Sciences is party to additional in-license agreements with parties such as Stanford University that relate to significant intellectual property rights, and Fluidigm Sciences’ business and product development plans anticipate and will substantially depend on future in-license agreements with additional third parties, some of which are currently in the early discussion phase.</w:t>
      </w:r>
    </w:p>
    <w:p>
      <w:pPr>
        <w:spacing w:after="0" w:line="45"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relating to ownership and enforcement of intellectual property rights. For example, under the PerkinElmer license, Fluidigm Canada is not granted any right, and we do not have any right to bring enforcement actions with respect to the patents licensed from PerkinElmer, which could materially impair our ability to preclude competitors and other third parties from activities that we consider to infringe on our exclusively licensed rights. In other cases such as with Nodality,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43"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In addition, Fluidigm Sciences’ licensors may generally terminate the applicable license agreement for uncured material breaches or if Fluidigm Sciences becomes insolvent, makes an assignment for the benefit of creditors, or has a petition in bankruptcy filed against it. In the case of Nodality, the existing license recently has expired and our acquisition of Fluidigm Sciences could adversely affect Fluidigm Sciences’ ability to negotiate a definitive license on the currently anticipated terms. Termination of material license agreements for any reason, including as a result of failure to obtain a required consent to assignment or as a result of an inability to negotiate a new or extended license where required, would result in a material loss of rights by us and Fluidigm Sciences and would be expected to have a material adverse effect on our business, operating results, and financial condition. In particular, any such termination could prevent us from manufacturing and selling Fluidigm Sciences’ products unless we can negotiate new license terms or develop or acquire alternative intellectual property rights that cover or enable similar functionality. While we do not believe that any existing material in-license agreements require the consent of the licensor in order for us to rely on these licenses, the question is not free from doubt, and one or more of Fluidigm Sciences’ licensors could contend that the failure to obtain their consent constituted a breach or default under the applicable license agreement or require the negotiation of a new license. In particular, in May 2014, we received a written notice of PerkinElmer’s position that the license agreement between Fluidigm Canada and PerkinElmer requires, as a result of the acquisition, that PerkinElmer consent to negotiate a commercially reasonable license to Fluidigm. We expect negotiations with PerkinElmer to ensue.</w:t>
      </w:r>
    </w:p>
    <w:p>
      <w:pPr>
        <w:spacing w:after="0" w:line="52"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In the case of a dispute over these or other terms of the applicable license agreements with any of Fluidigm Sciences’ licensors, including with respect to the license with PerkinElmer, we cannot provide assurances that we will be able to negotiate a new or amended license on commercially reasonable terms, if at all. Our potential dispute with PerkinElmer as well as any other disputes between us and one of Fluidigm Sciences’ existing licensors concerning the terms or conditions of the applicable license agreement, including with respect to its continued application following the acquisition, could result, among other risks, in substantial management distraction at a time when our management needs to focus on the integration of Fluidigm and Fluidigm Sciences; increased expenses associated with litigation or efforts to resolve disputes; substantial customer uncertainty concerning the direction of our proteomics product line; potential infringement claims against us and/or our customers, which could include efforts by a licensor to enjoin sales of Fluidigm Sciences products; customer requests for indemnification by Fluidigm; and, in the event of an adverse determination, our inability to operate the business of Fluidigm Sciences as currently operated or at all. Any of these factors would be expected to have a material adverse effect on our business, operating results, and financial condition and could result in a substantial decline in our stock price.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5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6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Fluidigm Sciences is subject to certain obligations and restrictions relating to technologies developed in cooperation with Canadian government agencies.</w:t>
      </w:r>
    </w:p>
    <w:p>
      <w:pPr>
        <w:spacing w:after="0" w:line="31" w:lineRule="exact"/>
        <w:rPr>
          <w:sz w:val="20"/>
          <w:szCs w:val="20"/>
          <w:color w:val="auto"/>
        </w:rPr>
      </w:pPr>
    </w:p>
    <w:p>
      <w:pPr>
        <w:ind w:right="80" w:firstLine="405"/>
        <w:spacing w:after="0" w:line="285" w:lineRule="auto"/>
        <w:rPr>
          <w:sz w:val="20"/>
          <w:szCs w:val="20"/>
          <w:color w:val="auto"/>
        </w:rPr>
      </w:pPr>
      <w:r>
        <w:rPr>
          <w:rFonts w:ascii="Arial" w:cs="Arial" w:eastAsia="Arial" w:hAnsi="Arial"/>
          <w:sz w:val="16"/>
          <w:szCs w:val="16"/>
          <w:color w:val="auto"/>
        </w:rPr>
        <w:t>Some of Fluidigm Sciences’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Fluidigm Sciences’ intellectual property, including confidential information, and may reduce its competitive advantage in commercializing intellectual property developed through these projects. In certain projects Fluidigm Sciences has also agreed to use commercially reasonable efforts to commercialize intellectual property in Canada, or more specifically in the province of Ontario, for the economic benefit of Canada and the province of Ontario. These restrictions will limit its choice of business and manufacturing locations, business partners and corporate structure and may, in certain circumstances, restrict its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Fluidigm Sciences’ Canadian government funded projects is also subject to certain limited “march-in” rights in favor of the government of the Province of Ontario, under which Fluidigm Sciences may be required to grant a license to its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Fluidigm Sciences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Fluidigm Sciences’ business, operations and financial condition.</w:t>
      </w:r>
    </w:p>
    <w:p>
      <w:pPr>
        <w:spacing w:after="0" w:line="336" w:lineRule="exact"/>
        <w:rPr>
          <w:sz w:val="20"/>
          <w:szCs w:val="20"/>
          <w:color w:val="auto"/>
        </w:rPr>
      </w:pPr>
    </w:p>
    <w:p>
      <w:pPr>
        <w:ind w:right="660"/>
        <w:spacing w:after="0" w:line="33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Many of our employees were previously employed at universities or other life science or Ag-Bio companies, including our competitors or potential competitors. Although no claims against us are currently pending, Fluidigm Sciences has in the past received notices from third parties alleging potential disclosures of confidential information. We may become subject to claims that our employees or we have inadvertently or otherwise used or disclosed trade secrets or other proprietary information of their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former employers or other third parties or institutions with whom Fluidigm Sciences employees may have been previously affiliated.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45"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March 31, 2014, we had 28,015,938 shares of common stock outstanding, and stockholders holding at least 5% of our stock, individually or with affiliated persons or entities, collectively beneficially owned or controlled approximately 45%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62"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117"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3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3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directors, executive officers, and large stockholders have substantial control over and could limit your ability to influence the outcome of key transactions, including changes of control.</w:t>
      </w:r>
    </w:p>
    <w:p>
      <w:pPr>
        <w:spacing w:after="0" w:line="3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of March 31, 2014, our current executive officers, directors, stockholders holding at least 5% of our outstanding stock, and their respective affiliates, collectively beneficially owned or controlled approximately 45%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45"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62" w:lineRule="exact"/>
        <w:rPr>
          <w:sz w:val="20"/>
          <w:szCs w:val="20"/>
          <w:color w:val="auto"/>
        </w:rPr>
      </w:pPr>
    </w:p>
    <w:p>
      <w:pPr>
        <w:ind w:left="1300" w:right="4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10,000,000 shares of undesignated preferred stock;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40"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each class serving staggered three year terms;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00" w:firstLine="432"/>
        <w:spacing w:after="0" w:line="258"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117"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117"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junior in right of payment to any of our secured indebtedness to the extent of the value of the assets securing such indebtedness; and</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3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94"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3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the prospectus,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currently have a financing arrangement pursuant to which we may incur up to $10 million of revolver borrowings and our subsidiaries may be able to incur substantial additional debt, subject to the restrictions contained in such arrangement or our future debt instruments, some of which may be secured debt. 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3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31"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made only limited covenants in the indenture governing the notes, and these limited covenants may not protect your investment.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117" w:lineRule="exact"/>
        <w:rPr>
          <w:sz w:val="20"/>
          <w:szCs w:val="20"/>
          <w:color w:val="auto"/>
        </w:rPr>
      </w:pPr>
    </w:p>
    <w:p>
      <w:pPr>
        <w:ind w:left="1300" w:right="22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117"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 our ability to make investments or pay dividends or make other payments in respect of our common stock or our other indebtedness.</w:t>
      </w:r>
    </w:p>
    <w:p>
      <w:pPr>
        <w:spacing w:after="0" w:line="11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your investment in the notes.</w:t>
      </w:r>
    </w:p>
    <w:p>
      <w:pPr>
        <w:spacing w:after="0" w:line="18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increase in the conversion rate for notes converted in connection with a make-whole fundamental change or provisional redemption may not adequately compensate you for any lost value of your notes as a result of such transaction or redemption.</w:t>
      </w:r>
    </w:p>
    <w:p>
      <w:pPr>
        <w:spacing w:after="0" w:line="3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such events. The increase in the conversion rate for notes converted in connection with such events may not adequately compensate you for any lost value of your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3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3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58"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that an active trading market will develop or be maintained for the notes.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performance or prospects or in the prospects for companies in our industry generally. As a result, we cannot assure you that an active trading market will develop or be maintained for the notes. If an active trading market does not develop or is not maintained, the market price and liquidity of the notes may be adversely affected. In that case you may not be able to sell your notes at a particular time or you may not be able to sell your notes at a favorable price.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9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you do not receive a corresponding cash distribution.</w:t>
      </w:r>
    </w:p>
    <w:p>
      <w:pPr>
        <w:spacing w:after="0" w:line="31" w:lineRule="exact"/>
        <w:rPr>
          <w:sz w:val="20"/>
          <w:szCs w:val="20"/>
          <w:color w:val="auto"/>
        </w:rPr>
      </w:pPr>
    </w:p>
    <w:p>
      <w:pPr>
        <w:ind w:right="180"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you may be deemed to have received a dividend subject to U.S. federal income tax without the receipt of any cash. In addition, a failure to adjust (or to adjust adequately) the conversion rate after an event that increases your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31"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January 28, 2014, we entered into an Agreement and Plan of Merger with DVS Sciences, Inc., a Delaware corporation (“DVS US”), Dawid Merger Sub, Inc., a Delaware corporation and our wholly-owned subsidiary (“Merger Sub”), and Shareholder Representative Services LLC, a Colorado limited liability company, as stockholder representative. Pursuant to the terms of the Merger Agreement, on February 13, 2014, Merger Sub merged with and into DVS US (the “Merger”), with DVS US surviving the Merger and becoming our wholly-owned subsidiary. Upon consummation of the Merger, all outstanding shares of capital stock of DVS US were canceled and converted into the right to receive merger consideration consisting of cash and shares of our common stock. In accordance with the Merger Agreement, 1,759,007 shares of our common stock were issued pursuant to exemptions from registration provided by Section 4(a)(2) and/or Regulation S of the Securities Act of 1933, as amended.</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20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3121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6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Agreement and Plan of Merger dated January 28, 2014 by and among Fluidigm Corporation, DVS Sciences, Inc., Dawid Merger Sub, Inc. and Shareholder Representative Services LLC</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Indenture, dated as of February 4, 2014, by and between Fluidigm Corporation and U.S. Bank National Association</w:t>
      </w:r>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First Supplemental Indenture, dated as of February 4, 2014, by and between Fluidigm Corporation and U.S. Bank National Association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Form of Global Note (included in Exhibit 4.2)</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Business Financing Modification Agreement dated January 29, 2014, by and between Bridge Bank, National Association and Fluidigm Corporation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Letter Agreement between Fluidigm Corporation and William M. Smith, the registrant's Executive Vice President of Legal Affairs and General Counsel, dated March 4, 2014</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License Agreement between MDS Analytical Technologies, a business unit of MDS INC., and DVS Sciences Inc., dated July 17, 2008</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Sublicense Agreement between DVS Sciences Inc. and Fluidigm Corporation, dated January 28, 2014</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Business Financing Modification Agreement dated May 9, 2014, by and between Bridge Bank, National Association and Fluidigm Corporation</w:t>
      </w:r>
    </w:p>
    <w:p>
      <w:pPr>
        <w:spacing w:after="0" w:line="10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Certification Pursuant to 18 U.S.C. Section 1350, as Adopted Pursuant to Section 302 of the Sarbanes-Oxley Act of 2002 of President and Chief Executive Officer</w:t>
      </w:r>
    </w:p>
    <w:p>
      <w:pPr>
        <w:spacing w:after="0" w:line="1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Certification Pursuant to 18 U.S.C. Section 1350, as Adopted Pursuant to Section 302 of the Sarbanes-Oxley Act of 2002 of Chief Financial Officer</w:t>
      </w:r>
    </w:p>
    <w:p>
      <w:pPr>
        <w:spacing w:after="0" w:line="14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 of President and Chief Executive Officer</w:t>
      </w:r>
    </w:p>
    <w:p>
      <w:pPr>
        <w:spacing w:after="0" w:line="1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of 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486"/>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1/29/2014</w:t>
            </w:r>
          </w:p>
        </w:tc>
        <w:tc>
          <w:tcPr>
            <w:tcW w:w="0" w:type="dxa"/>
            <w:vAlign w:val="bottom"/>
          </w:tcPr>
          <w:p>
            <w:pPr>
              <w:spacing w:after="0"/>
              <w:rPr>
                <w:sz w:val="1"/>
                <w:szCs w:val="1"/>
                <w:color w:val="auto"/>
              </w:rPr>
            </w:pPr>
          </w:p>
        </w:tc>
      </w:tr>
      <w:tr>
        <w:trPr>
          <w:trHeight w:val="864"/>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1026"/>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1242"/>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32"/>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1/29/2014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Furnished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herewith</w:t>
      </w:r>
    </w:p>
    <w:p>
      <w:pPr>
        <w:spacing w:after="0" w:line="3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Furnished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herewith</w:t>
      </w:r>
    </w:p>
    <w:p>
      <w:pPr>
        <w:spacing w:after="0" w:line="3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ectPr>
          <w:pgSz w:w="11900" w:h="16838" w:orient="portrait"/>
          <w:cols w:equalWidth="0" w:num="3">
            <w:col w:w="1280" w:space="720"/>
            <w:col w:w="4820" w:space="420"/>
            <w:col w:w="4180"/>
          </w:cols>
          <w:pgMar w:left="240" w:top="125"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1500" w:type="dxa"/>
            <w:vAlign w:val="bottom"/>
          </w:tcPr>
          <w:p>
            <w:pPr>
              <w:ind w:left="460"/>
              <w:spacing w:after="0"/>
              <w:rPr>
                <w:sz w:val="20"/>
                <w:szCs w:val="20"/>
                <w:color w:val="auto"/>
              </w:rPr>
            </w:pPr>
            <w:r>
              <w:rPr>
                <w:rFonts w:ascii="Arial" w:cs="Arial" w:eastAsia="Arial" w:hAnsi="Arial"/>
                <w:sz w:val="18"/>
                <w:szCs w:val="18"/>
                <w:color w:val="auto"/>
                <w:w w:val="91"/>
              </w:rPr>
              <w:t>Filed herewith</w:t>
            </w:r>
          </w:p>
        </w:tc>
      </w:tr>
      <w:tr>
        <w:trPr>
          <w:trHeight w:val="392"/>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30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1500" w:type="dxa"/>
            <w:vAlign w:val="bottom"/>
          </w:tcPr>
          <w:p>
            <w:pPr>
              <w:ind w:left="460"/>
              <w:spacing w:after="0"/>
              <w:rPr>
                <w:sz w:val="20"/>
                <w:szCs w:val="20"/>
                <w:color w:val="auto"/>
              </w:rPr>
            </w:pPr>
            <w:r>
              <w:rPr>
                <w:rFonts w:ascii="Arial" w:cs="Arial" w:eastAsia="Arial" w:hAnsi="Arial"/>
                <w:sz w:val="18"/>
                <w:szCs w:val="18"/>
                <w:color w:val="auto"/>
                <w:w w:val="91"/>
              </w:rPr>
              <w:t>Filed herewith</w:t>
            </w:r>
          </w:p>
        </w:tc>
      </w:tr>
      <w:tr>
        <w:trPr>
          <w:trHeight w:val="392"/>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30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1500" w:type="dxa"/>
            <w:vAlign w:val="bottom"/>
          </w:tcPr>
          <w:p>
            <w:pPr>
              <w:ind w:left="460"/>
              <w:spacing w:after="0"/>
              <w:rPr>
                <w:sz w:val="20"/>
                <w:szCs w:val="20"/>
                <w:color w:val="auto"/>
              </w:rPr>
            </w:pPr>
            <w:r>
              <w:rPr>
                <w:rFonts w:ascii="Arial" w:cs="Arial" w:eastAsia="Arial" w:hAnsi="Arial"/>
                <w:sz w:val="18"/>
                <w:szCs w:val="18"/>
                <w:color w:val="auto"/>
                <w:w w:val="91"/>
              </w:rPr>
              <w:t>Filed herewith</w:t>
            </w:r>
          </w:p>
        </w:tc>
      </w:tr>
      <w:tr>
        <w:trPr>
          <w:trHeight w:val="392"/>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3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1500" w:type="dxa"/>
            <w:vAlign w:val="bottom"/>
          </w:tcPr>
          <w:p>
            <w:pPr>
              <w:ind w:left="460"/>
              <w:spacing w:after="0"/>
              <w:rPr>
                <w:sz w:val="20"/>
                <w:szCs w:val="20"/>
                <w:color w:val="auto"/>
              </w:rPr>
            </w:pPr>
            <w:r>
              <w:rPr>
                <w:rFonts w:ascii="Arial" w:cs="Arial" w:eastAsia="Arial" w:hAnsi="Arial"/>
                <w:sz w:val="18"/>
                <w:szCs w:val="18"/>
                <w:color w:val="auto"/>
                <w:w w:val="91"/>
              </w:rPr>
              <w:t>Filed herewith</w:t>
            </w:r>
          </w:p>
        </w:tc>
      </w:tr>
      <w:tr>
        <w:trPr>
          <w:trHeight w:val="392"/>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300" w:type="dxa"/>
            <w:vAlign w:val="bottom"/>
          </w:tcPr>
          <w:p>
            <w:pPr>
              <w:ind w:left="360"/>
              <w:spacing w:after="0"/>
              <w:rPr>
                <w:sz w:val="20"/>
                <w:szCs w:val="20"/>
                <w:color w:val="auto"/>
              </w:rPr>
            </w:pPr>
            <w:r>
              <w:rPr>
                <w:rFonts w:ascii="Arial" w:cs="Arial" w:eastAsia="Arial" w:hAnsi="Arial"/>
                <w:sz w:val="18"/>
                <w:szCs w:val="18"/>
                <w:color w:val="auto"/>
              </w:rPr>
              <w:t>XBRL Taxonomy Extension Definition Document</w:t>
            </w:r>
          </w:p>
        </w:tc>
        <w:tc>
          <w:tcPr>
            <w:tcW w:w="1500" w:type="dxa"/>
            <w:vAlign w:val="bottom"/>
          </w:tcPr>
          <w:p>
            <w:pPr>
              <w:ind w:left="460"/>
              <w:spacing w:after="0"/>
              <w:rPr>
                <w:sz w:val="20"/>
                <w:szCs w:val="20"/>
                <w:color w:val="auto"/>
              </w:rPr>
            </w:pPr>
            <w:r>
              <w:rPr>
                <w:rFonts w:ascii="Arial" w:cs="Arial" w:eastAsia="Arial" w:hAnsi="Arial"/>
                <w:sz w:val="18"/>
                <w:szCs w:val="18"/>
                <w:color w:val="auto"/>
                <w:w w:val="91"/>
              </w:rPr>
              <w:t>Filed herewith</w:t>
            </w:r>
          </w:p>
        </w:tc>
      </w:tr>
    </w:tbl>
    <w:p>
      <w:pPr>
        <w:spacing w:after="0" w:line="179" w:lineRule="exact"/>
        <w:rPr>
          <w:sz w:val="20"/>
          <w:szCs w:val="20"/>
          <w:color w:val="auto"/>
        </w:rPr>
      </w:pPr>
    </w:p>
    <w:p>
      <w:pPr>
        <w:ind w:left="600" w:right="140" w:hanging="565"/>
        <w:spacing w:after="0" w:line="293"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Confidential treatment has been requested for portions of this exhibit. These portions have been omitted from this Quarterly Report on Form 10-Q and have been filed separately with the Securities and Exchange Commission.</w:t>
      </w:r>
    </w:p>
    <w:p>
      <w:pPr>
        <w:spacing w:after="0" w:line="10" w:lineRule="exact"/>
        <w:rPr>
          <w:sz w:val="20"/>
          <w:szCs w:val="20"/>
          <w:color w:val="auto"/>
        </w:rPr>
      </w:pPr>
    </w:p>
    <w:p>
      <w:pPr>
        <w:ind w:left="600" w:hanging="565"/>
        <w:spacing w:after="0" w:line="271"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108" w:right="4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May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President and Chief Executive Officer</w:t>
      </w:r>
    </w:p>
    <w:p>
      <w:pPr>
        <w:spacing w:after="0" w:line="196"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May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20"/>
          </w:cols>
          <w:pgMar w:left="240" w:top="125" w:right="9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20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101.SCH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EXHIBIT LIST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3121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4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Agreement and Plan of Merger dated January 28, 2014 by and among Fluidigm Corporation, DVS Sciences, Inc., Dawid Merger Sub, Inc. and Shareholder Representative Services LLC</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Indenture, dated as of February 4, 2014, by and between Fluidigm Corporation and U.S. Bank National Association</w:t>
      </w:r>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First Supplemental Indenture, dated as of February 4, 2014, by and between Fluidigm Corporation and U.S. Bank National Association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Form of Global Note (included in Exhibit 4.2)</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Business Financing Modification Agreement dated January 29, 2014, by and between Bridge Bank, National Association and Fluidigm Corporation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Letter Agreement between Fluidigm Corporation and William M. Smith, the registrant's Executive Vice President of Legal Affairs and General Counsel, dated March 4, 2014</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License Agreement between MDS Analytical Technologies, a business unit of MDS INC., and DVS Sciences Inc., dated July 17, 2008</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Sublicense Agreement between DVS Sciences Inc. and Fluidigm Corporation, dated January 28, 2014</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Business Financing Modification Agreement dated May 9, 2014, by and between Bridge Bank, National Association and Fluidigm Corporation</w:t>
      </w:r>
    </w:p>
    <w:p>
      <w:pPr>
        <w:spacing w:after="0" w:line="10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Certification Pursuant to 18 U.S.C. Section 1350, as Adopted Pursuant to Section 302 of the Sarbanes-Oxley Act of 2002 of President and Chief Executive Officer</w:t>
      </w:r>
    </w:p>
    <w:p>
      <w:pPr>
        <w:spacing w:after="0" w:line="1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Certification Pursuant to 18 U.S.C. Section 1350, as Adopted Pursuant to Section 302 of the Sarbanes-Oxley Act of 2002 of Chief Financial Officer</w:t>
      </w:r>
    </w:p>
    <w:p>
      <w:pPr>
        <w:spacing w:after="0" w:line="14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 of President and Chief Executive Officer</w:t>
      </w:r>
    </w:p>
    <w:p>
      <w:pPr>
        <w:spacing w:after="0" w:line="1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of 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364"/>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1/29/2014</w:t>
            </w:r>
          </w:p>
        </w:tc>
        <w:tc>
          <w:tcPr>
            <w:tcW w:w="0" w:type="dxa"/>
            <w:vAlign w:val="bottom"/>
          </w:tcPr>
          <w:p>
            <w:pPr>
              <w:spacing w:after="0"/>
              <w:rPr>
                <w:sz w:val="1"/>
                <w:szCs w:val="1"/>
                <w:color w:val="auto"/>
              </w:rPr>
            </w:pPr>
          </w:p>
        </w:tc>
      </w:tr>
      <w:tr>
        <w:trPr>
          <w:trHeight w:val="864"/>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1026"/>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1242"/>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32"/>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1/29/2014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Furnished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herewith</w:t>
      </w:r>
    </w:p>
    <w:p>
      <w:pPr>
        <w:spacing w:after="0" w:line="3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Furnished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herewith</w:t>
      </w:r>
    </w:p>
    <w:p>
      <w:pPr>
        <w:spacing w:after="0" w:line="3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ectPr>
          <w:pgSz w:w="11900" w:h="16838" w:orient="portrait"/>
          <w:cols w:equalWidth="0" w:num="3">
            <w:col w:w="1280" w:space="720"/>
            <w:col w:w="4820" w:space="420"/>
            <w:col w:w="4180"/>
          </w:cols>
          <w:pgMar w:left="240" w:top="125"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1500" w:type="dxa"/>
            <w:vAlign w:val="bottom"/>
          </w:tcPr>
          <w:p>
            <w:pPr>
              <w:ind w:left="460"/>
              <w:spacing w:after="0"/>
              <w:rPr>
                <w:sz w:val="20"/>
                <w:szCs w:val="20"/>
                <w:color w:val="auto"/>
              </w:rPr>
            </w:pPr>
            <w:r>
              <w:rPr>
                <w:rFonts w:ascii="Arial" w:cs="Arial" w:eastAsia="Arial" w:hAnsi="Arial"/>
                <w:sz w:val="18"/>
                <w:szCs w:val="18"/>
                <w:color w:val="auto"/>
                <w:w w:val="91"/>
              </w:rPr>
              <w:t>Filed herewith</w:t>
            </w:r>
          </w:p>
        </w:tc>
      </w:tr>
      <w:tr>
        <w:trPr>
          <w:trHeight w:val="392"/>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30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1500" w:type="dxa"/>
            <w:vAlign w:val="bottom"/>
          </w:tcPr>
          <w:p>
            <w:pPr>
              <w:ind w:left="460"/>
              <w:spacing w:after="0"/>
              <w:rPr>
                <w:sz w:val="20"/>
                <w:szCs w:val="20"/>
                <w:color w:val="auto"/>
              </w:rPr>
            </w:pPr>
            <w:r>
              <w:rPr>
                <w:rFonts w:ascii="Arial" w:cs="Arial" w:eastAsia="Arial" w:hAnsi="Arial"/>
                <w:sz w:val="18"/>
                <w:szCs w:val="18"/>
                <w:color w:val="auto"/>
                <w:w w:val="91"/>
              </w:rPr>
              <w:t>Filed herewith</w:t>
            </w:r>
          </w:p>
        </w:tc>
      </w:tr>
      <w:tr>
        <w:trPr>
          <w:trHeight w:val="392"/>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3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1500" w:type="dxa"/>
            <w:vAlign w:val="bottom"/>
          </w:tcPr>
          <w:p>
            <w:pPr>
              <w:ind w:left="460"/>
              <w:spacing w:after="0"/>
              <w:rPr>
                <w:sz w:val="20"/>
                <w:szCs w:val="20"/>
                <w:color w:val="auto"/>
              </w:rPr>
            </w:pPr>
            <w:r>
              <w:rPr>
                <w:rFonts w:ascii="Arial" w:cs="Arial" w:eastAsia="Arial" w:hAnsi="Arial"/>
                <w:sz w:val="18"/>
                <w:szCs w:val="18"/>
                <w:color w:val="auto"/>
                <w:w w:val="91"/>
              </w:rPr>
              <w:t>Filed herewith</w:t>
            </w:r>
          </w:p>
        </w:tc>
      </w:tr>
      <w:tr>
        <w:trPr>
          <w:trHeight w:val="392"/>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300" w:type="dxa"/>
            <w:vAlign w:val="bottom"/>
          </w:tcPr>
          <w:p>
            <w:pPr>
              <w:ind w:left="360"/>
              <w:spacing w:after="0"/>
              <w:rPr>
                <w:sz w:val="20"/>
                <w:szCs w:val="20"/>
                <w:color w:val="auto"/>
              </w:rPr>
            </w:pPr>
            <w:r>
              <w:rPr>
                <w:rFonts w:ascii="Arial" w:cs="Arial" w:eastAsia="Arial" w:hAnsi="Arial"/>
                <w:sz w:val="18"/>
                <w:szCs w:val="18"/>
                <w:color w:val="auto"/>
              </w:rPr>
              <w:t>XBRL Taxonomy Extension Definition Document</w:t>
            </w:r>
          </w:p>
        </w:tc>
        <w:tc>
          <w:tcPr>
            <w:tcW w:w="1500" w:type="dxa"/>
            <w:vAlign w:val="bottom"/>
          </w:tcPr>
          <w:p>
            <w:pPr>
              <w:ind w:left="460"/>
              <w:spacing w:after="0"/>
              <w:rPr>
                <w:sz w:val="20"/>
                <w:szCs w:val="20"/>
                <w:color w:val="auto"/>
              </w:rPr>
            </w:pPr>
            <w:r>
              <w:rPr>
                <w:rFonts w:ascii="Arial" w:cs="Arial" w:eastAsia="Arial" w:hAnsi="Arial"/>
                <w:sz w:val="18"/>
                <w:szCs w:val="18"/>
                <w:color w:val="auto"/>
                <w:w w:val="91"/>
              </w:rPr>
              <w:t>Filed herewith</w:t>
            </w:r>
          </w:p>
        </w:tc>
      </w:tr>
    </w:tbl>
    <w:p>
      <w:pPr>
        <w:spacing w:after="0" w:line="395" w:lineRule="exact"/>
        <w:rPr>
          <w:sz w:val="20"/>
          <w:szCs w:val="20"/>
          <w:color w:val="auto"/>
        </w:rPr>
      </w:pPr>
    </w:p>
    <w:p>
      <w:pPr>
        <w:ind w:left="600" w:hanging="565"/>
        <w:spacing w:after="0" w:line="293"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Confidential treatment has been requested for portions of this exhibit. These portions have been omitted from this Quarterly Report on Form 10-Q and have been filed separately with the Securities and Exchange Commission.</w:t>
      </w:r>
    </w:p>
    <w:p>
      <w:pPr>
        <w:spacing w:after="0" w:line="10" w:lineRule="exact"/>
        <w:rPr>
          <w:sz w:val="20"/>
          <w:szCs w:val="20"/>
          <w:color w:val="auto"/>
        </w:rPr>
      </w:pPr>
    </w:p>
    <w:p>
      <w:pPr>
        <w:ind w:left="600" w:right="60" w:hanging="565"/>
        <w:spacing w:after="0" w:line="271"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240" w:top="108" w:right="61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March 4, 2014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William M. Smith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95 Howard 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Atherton, CA 94027</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Secondment to Fluidigm Canada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Bill:</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is to confirm the terms and conditions relating to your secondment by Fluidigm Corporation (“Home Company”) to Fluidigm Canada Inc. (“Host Company”), a subsidiary of the Home Company. During the period of your secondment, the terms and conditions of your offer letter with Home Company dated May 2, 2000 (“the Offer Letter”) will remain applicable, including your at-will status, unless expressly modified by the contents of this letter.</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the end of your secondment to Host Company, the terms contained in this letter will cease to have effect and you will revert to the terms and conditions of the Offer Letter. In the event that this secondment is followed by another secondment, whether with Host Company or another entity, a new secondment letter will be sent to you setting out the terms and conditions for such subsequent secondment.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Your secondment is subject to your obtaining any required passport, visa, resident and/or work permits and any related documents, as well as compliance with any required medical or government clearances.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Secondment</w:t>
      </w:r>
    </w:p>
    <w:p>
      <w:pPr>
        <w:spacing w:after="0" w:line="220"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During the period of your secondment, you will perform the role of </w:t>
      </w:r>
      <w:r>
        <w:rPr>
          <w:rFonts w:ascii="Arial" w:cs="Arial" w:eastAsia="Arial" w:hAnsi="Arial"/>
          <w:sz w:val="19"/>
          <w:szCs w:val="19"/>
          <w:b w:val="1"/>
          <w:bCs w:val="1"/>
          <w:color w:val="auto"/>
        </w:rPr>
        <w:t>President and Acting General Manager</w:t>
      </w:r>
      <w:r>
        <w:rPr>
          <w:rFonts w:ascii="Arial" w:cs="Arial" w:eastAsia="Arial" w:hAnsi="Arial"/>
          <w:sz w:val="19"/>
          <w:szCs w:val="19"/>
          <w:color w:val="auto"/>
        </w:rPr>
        <w:t xml:space="preserve"> for Host Company. Your responsibilities will include, but are not limited to, overseeing operations and integration with Host Company. During the course of your secondment, you will remain an employee of Home Company, but your services will be temporarily seconded to Host Company. You will be based at the office of Host Company at 70 Esna Park Drive, Unit 12, Markham, ON L3R6E7 Canada.</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While you are in Canada during your secondment, you shall not have any authority to negotiate on behalf of Home Company, or to modify or accept contracts on behalf of Home Company, or to otherwise bind Home Company to any contract with any third party or to conduct any business in the name of or on behalf of Home Company. Further, any contract presented to you that is intended to bind Home Company must be entered into by a duly authorized officer of Home Company located in the principal business office of Home Company in South San Francisco, CA.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 and Benefits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During your secondment, you will receive the following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Annual Base salary</w:t>
      </w:r>
      <w:r>
        <w:rPr>
          <w:rFonts w:ascii="Arial" w:cs="Arial" w:eastAsia="Arial" w:hAnsi="Arial"/>
          <w:sz w:val="22"/>
          <w:szCs w:val="22"/>
          <w:color w:val="auto"/>
        </w:rPr>
        <w:t>: USD equivalent of $325,000.00</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Retirement Plans</w:t>
      </w:r>
      <w:r>
        <w:rPr>
          <w:rFonts w:ascii="Arial" w:cs="Arial" w:eastAsia="Arial" w:hAnsi="Arial"/>
          <w:sz w:val="22"/>
          <w:szCs w:val="22"/>
          <w:color w:val="auto"/>
        </w:rPr>
        <w:t>: You will continue to participate in Home Company’s 401k retirement plan while on secondment. The terms of</w:t>
      </w:r>
      <w:r>
        <w:rPr>
          <w:rFonts w:ascii="Arial" w:cs="Arial" w:eastAsia="Arial" w:hAnsi="Arial"/>
          <w:sz w:val="22"/>
          <w:szCs w:val="22"/>
          <w:i w:val="1"/>
          <w:iCs w:val="1"/>
          <w:color w:val="auto"/>
        </w:rPr>
        <w:t xml:space="preserve"> </w:t>
      </w:r>
      <w:r>
        <w:rPr>
          <w:rFonts w:ascii="Arial" w:cs="Arial" w:eastAsia="Arial" w:hAnsi="Arial"/>
          <w:sz w:val="22"/>
          <w:szCs w:val="22"/>
          <w:color w:val="auto"/>
        </w:rPr>
        <w:t>your participation will be consistent with plan rules and eligibility.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23" w:right="239" w:bottom="1440" w:gutter="0" w:footer="0" w:header="0"/>
        </w:sectPr>
      </w:pPr>
    </w:p>
    <w:bookmarkStart w:id="51" w:name="page52"/>
    <w:bookmarkEnd w:id="51"/>
    <w:p>
      <w:pPr>
        <w:jc w:val="both"/>
        <w:spacing w:after="0" w:line="253" w:lineRule="auto"/>
        <w:rPr>
          <w:sz w:val="20"/>
          <w:szCs w:val="20"/>
          <w:color w:val="auto"/>
        </w:rPr>
      </w:pPr>
      <w:r>
        <w:rPr>
          <w:rFonts w:ascii="Arial" w:cs="Arial" w:eastAsia="Arial" w:hAnsi="Arial"/>
          <w:sz w:val="22"/>
          <w:szCs w:val="22"/>
          <w:i w:val="1"/>
          <w:iCs w:val="1"/>
          <w:color w:val="auto"/>
        </w:rPr>
        <w:t>Health and Welfare Plans</w:t>
      </w:r>
      <w:r>
        <w:rPr>
          <w:rFonts w:ascii="Arial" w:cs="Arial" w:eastAsia="Arial" w:hAnsi="Arial"/>
          <w:sz w:val="22"/>
          <w:szCs w:val="22"/>
          <w:color w:val="auto"/>
        </w:rPr>
        <w:t>: When possible, and in accordance with plan rules and eligibility, you will be covered by Home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health and welfare plans. If international coverage is not available through Home Company’s plans, Human Resources will contact you to arrange for supplementary coverage.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Work and Holiday Schedule</w:t>
      </w:r>
      <w:r>
        <w:rPr>
          <w:rFonts w:ascii="Arial" w:cs="Arial" w:eastAsia="Arial" w:hAnsi="Arial"/>
          <w:sz w:val="19"/>
          <w:szCs w:val="19"/>
          <w:color w:val="auto"/>
        </w:rPr>
        <w:t>: Your work and holiday schedule will be in accordance with the work and holiday schedule of Canada.</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Vacation and Leaves</w:t>
      </w:r>
      <w:r>
        <w:rPr>
          <w:rFonts w:ascii="Arial" w:cs="Arial" w:eastAsia="Arial" w:hAnsi="Arial"/>
          <w:sz w:val="22"/>
          <w:szCs w:val="22"/>
          <w:color w:val="auto"/>
        </w:rPr>
        <w:t>: Vacation eligibility and accrual and entitlements to leaves of absence will be determined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Home Company policies.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Business Expenses</w:t>
      </w:r>
      <w:r>
        <w:rPr>
          <w:rFonts w:ascii="Arial" w:cs="Arial" w:eastAsia="Arial" w:hAnsi="Arial"/>
          <w:sz w:val="22"/>
          <w:szCs w:val="22"/>
          <w:color w:val="auto"/>
        </w:rPr>
        <w:t>: Home Company will be responsible for reimbursing you for all business expenses reasonably and properly</w:t>
      </w:r>
      <w:r>
        <w:rPr>
          <w:rFonts w:ascii="Arial" w:cs="Arial" w:eastAsia="Arial" w:hAnsi="Arial"/>
          <w:sz w:val="22"/>
          <w:szCs w:val="22"/>
          <w:i w:val="1"/>
          <w:iCs w:val="1"/>
          <w:color w:val="auto"/>
        </w:rPr>
        <w:t xml:space="preserve"> </w:t>
      </w:r>
      <w:r>
        <w:rPr>
          <w:rFonts w:ascii="Arial" w:cs="Arial" w:eastAsia="Arial" w:hAnsi="Arial"/>
          <w:sz w:val="22"/>
          <w:szCs w:val="22"/>
          <w:color w:val="auto"/>
        </w:rPr>
        <w:t>incurred on Host Company business. You should follow the applicable procedure for reimbursement of reasonable business expenses under your Home Company’s policies, including the requirement of producing appropriate supporting documentation for the reimbursement of such expenses.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Tax Equalization</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During the period of your secondment, you will pay approximately the same U.S. income (federal, state and local) and social security taxes that you would have paid had you remained in California, the United States. To accomplish this, there will be an amount deducted from your pay corresponding to the U.S. federal and California income tax, as well as U.S. social security tax, that you would have paid had you lived and worked in California (“Retained Hypothetical Tax”). This Retained Hypothetical Tax will be calculated and deducted from your compensation and will replace actual withholdings. After your tax returns are prepared, your hypothetical tax will be recomputed to reflect the actual facts for the year (“Final Hypothetical Tax”) and the difference between the Retained Hypothetical Tax and the Final Hypothetical Tax will be settled promptly thereafter.</w:t>
      </w:r>
    </w:p>
    <w:p>
      <w:pPr>
        <w:spacing w:after="0" w:line="15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You will be required to comply with all U.S., state and local and foreign laws regarding personal income and social taxes. You will be responsible and liable for the submission of tax returns for the United States and California and Canada. To assist you in this regard, Home Company will designate a tax return preparer and pay for the preparation of required tax returns and tax equalization settlement calculations for you for all tax years affected by the secondment. For purposes of Home Company’s tax equalization policy, you agree to either personally provide Home Company with a copy of your completed tax returns applicable to the years of your secondment or allow the tax return preparer to provide this information directly to Home Company for you.</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Without prejudice to the above, you further agree:</w:t>
      </w:r>
    </w:p>
    <w:p>
      <w:pPr>
        <w:spacing w:after="0" w:line="220" w:lineRule="exact"/>
        <w:rPr>
          <w:sz w:val="20"/>
          <w:szCs w:val="20"/>
          <w:color w:val="auto"/>
        </w:rPr>
      </w:pPr>
    </w:p>
    <w:p>
      <w:pPr>
        <w:ind w:left="660" w:hanging="652"/>
        <w:spacing w:after="0" w:line="251"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authorise Home Company to deduct the Retained Hypothetical Tax from your salary and other earnings on a monthly basis; and</w:t>
      </w:r>
    </w:p>
    <w:p>
      <w:pPr>
        <w:spacing w:after="0" w:line="2" w:lineRule="exact"/>
        <w:rPr>
          <w:rFonts w:ascii="Arial" w:cs="Arial" w:eastAsia="Arial" w:hAnsi="Arial"/>
          <w:sz w:val="22"/>
          <w:szCs w:val="22"/>
          <w:color w:val="auto"/>
        </w:rPr>
      </w:pPr>
    </w:p>
    <w:p>
      <w:pPr>
        <w:ind w:left="660" w:hanging="652"/>
        <w:spacing w:after="0"/>
        <w:tabs>
          <w:tab w:leader="none" w:pos="6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that any additional tax amounts due from you when the Final Hypothetical Tax is computed will be settled by you promptly.</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You also agree that Home Company or Host Company shall be entitled at any time during your employment, or in any event on termination, to deduct from your remuneration or from any other monies due to you from Home Company or from Host Company (or from any other group company), any amounts owing from you as a result of the application of these tax equalization provisions, whether in respect of hypothetical tax withholding or final tax equalization balances (including interest and penalties attributable to you).</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You agree that, if any amounts remain owing after termination of employment, and the Fluidigm group company in question is unable to recover the full amount due by making deductions from your remuneration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52" w:name="page53"/>
    <w:bookmarkEnd w:id="52"/>
    <w:p>
      <w:pPr>
        <w:jc w:val="both"/>
        <w:spacing w:after="0" w:line="253" w:lineRule="auto"/>
        <w:rPr>
          <w:sz w:val="20"/>
          <w:szCs w:val="20"/>
          <w:color w:val="auto"/>
        </w:rPr>
      </w:pPr>
      <w:r>
        <w:rPr>
          <w:rFonts w:ascii="Arial" w:cs="Arial" w:eastAsia="Arial" w:hAnsi="Arial"/>
          <w:sz w:val="22"/>
          <w:szCs w:val="22"/>
          <w:color w:val="auto"/>
        </w:rPr>
        <w:t>or from any other monies due to you from any Fluidigm group company, you will pay to Home Company or Host Company on demand and in full a sum equal to any amounts owing. You agree that this sum shall be recoverable as a debt, together with all costs, including legal costs, incurred by any Fluidigm group company in recovering the sum.</w:t>
      </w:r>
    </w:p>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Finally, if you were subject to social security charges in your host location and the host location permits you to apply for a refund of such charges, you agree to apply for such refund, and have such refund paid to Host Company or Home Company where possible. If refund directly to Host Company or Home Company is not possible, then you authorize Home Company or Host Company, as applicable, to deduct and set off any amounts refunded to you from any payments due from Home Company or Host Company to you, up to the maximum extent permitted by law. If the set-off is insufficient to cover the refund that you received, you agree to write a personal check for the amount still outstanding. The obligations under this clause continue after termination of your secondment and/or employment.</w:t>
      </w:r>
    </w:p>
    <w:p>
      <w:pPr>
        <w:spacing w:after="0" w:line="27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Any amounts paid to you in connection with tax equalization, that meet the requirements of Section 1.409A-1(b)(8)(iii) of the Treasury Regulations under Section 409A, shall be paid no later than the end of the second calendar year next following the calendar year to which the compensation subject to the tax equalizations relate. All reimbursements under this letter, including amounts paid for tax equalization that do not meet the requirements of Section 1.409A-1(b)(8)(iii) of the Treasury Regulations shall be made no later than the end of the calendar year next following the calendar year in which the applicable expenses are incurred.</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Benefits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the period of your secondment to Host Company, you shall be eligible to be provided with certain employee fringe benefits as you will be an expatriate working and living in Canada. Further details of these expatriate fringe benefits that you are eligible to receive are provided below.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These fringe benefits shall not be considered for purposes of determining any vacation pay or similar.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Pre-Secondment Support Services</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To ensure that you are prepared to assume your new role in Canada, you will be provided with pre-secondment services in accordance with the Relocation Policy prior to deployment to Canada.</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i w:val="1"/>
          <w:iCs w:val="1"/>
          <w:color w:val="auto"/>
        </w:rPr>
        <w:t>Passports, Visas, Residence and Work Permits</w:t>
      </w:r>
      <w:r>
        <w:rPr>
          <w:rFonts w:ascii="Arial" w:cs="Arial" w:eastAsia="Arial" w:hAnsi="Arial"/>
          <w:sz w:val="19"/>
          <w:szCs w:val="19"/>
          <w:color w:val="auto"/>
        </w:rPr>
        <w:t>. Home Company shall pay all costs for obtaining any required passports, visas,</w:t>
      </w:r>
      <w:r>
        <w:rPr>
          <w:rFonts w:ascii="Arial" w:cs="Arial" w:eastAsia="Arial" w:hAnsi="Arial"/>
          <w:sz w:val="19"/>
          <w:szCs w:val="19"/>
          <w:i w:val="1"/>
          <w:iCs w:val="1"/>
          <w:color w:val="auto"/>
        </w:rPr>
        <w:t xml:space="preserve"> </w:t>
      </w:r>
      <w:r>
        <w:rPr>
          <w:rFonts w:ascii="Arial" w:cs="Arial" w:eastAsia="Arial" w:hAnsi="Arial"/>
          <w:sz w:val="19"/>
          <w:szCs w:val="19"/>
          <w:color w:val="auto"/>
        </w:rPr>
        <w:t>resident and/or work permits for you and any related documents and all associated administrative fees imposed, as may be required in connection with your secondment to Host Company and your business activities on behalf of Host Company.</w:t>
      </w:r>
    </w:p>
    <w:p>
      <w:pPr>
        <w:spacing w:after="0" w:line="13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i w:val="1"/>
          <w:iCs w:val="1"/>
          <w:color w:val="auto"/>
        </w:rPr>
        <w:t>Pre-Secondment Trip</w:t>
      </w:r>
      <w:r>
        <w:rPr>
          <w:rFonts w:ascii="Arial" w:cs="Arial" w:eastAsia="Arial" w:hAnsi="Arial"/>
          <w:sz w:val="19"/>
          <w:szCs w:val="19"/>
          <w:color w:val="auto"/>
        </w:rPr>
        <w:t>. Home Company shall pay for two trips to include business class airfare, local transportation, per diem and</w:t>
      </w:r>
      <w:r>
        <w:rPr>
          <w:rFonts w:ascii="Arial" w:cs="Arial" w:eastAsia="Arial" w:hAnsi="Arial"/>
          <w:sz w:val="19"/>
          <w:szCs w:val="19"/>
          <w:i w:val="1"/>
          <w:iCs w:val="1"/>
          <w:color w:val="auto"/>
        </w:rPr>
        <w:t xml:space="preserve"> </w:t>
      </w:r>
      <w:r>
        <w:rPr>
          <w:rFonts w:ascii="Arial" w:cs="Arial" w:eastAsia="Arial" w:hAnsi="Arial"/>
          <w:sz w:val="19"/>
          <w:szCs w:val="19"/>
          <w:color w:val="auto"/>
        </w:rPr>
        <w:t>lodging per Home Company policy for a pre-assignment trip not exceeding five (5) days for you and your accompanying spouse.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International Secondment Allowances and Benefits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During your secondment, you shall be eligible for the following secondment allowances and benefits up to USD $125,000.00, but only for the duration of the secondment:</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i w:val="1"/>
          <w:iCs w:val="1"/>
          <w:color w:val="auto"/>
        </w:rPr>
        <w:t>Housing Assistance</w:t>
      </w:r>
      <w:r>
        <w:rPr>
          <w:rFonts w:ascii="Arial" w:cs="Arial" w:eastAsia="Arial" w:hAnsi="Arial"/>
          <w:sz w:val="22"/>
          <w:szCs w:val="22"/>
          <w:color w:val="auto"/>
        </w:rPr>
        <w:t>. You will be provided with suitable housing consistent with the local market, including furniture as needed and</w:t>
      </w:r>
      <w:r>
        <w:rPr>
          <w:rFonts w:ascii="Arial" w:cs="Arial" w:eastAsia="Arial" w:hAnsi="Arial"/>
          <w:sz w:val="22"/>
          <w:szCs w:val="22"/>
          <w:i w:val="1"/>
          <w:iCs w:val="1"/>
          <w:color w:val="auto"/>
        </w:rPr>
        <w:t xml:space="preserve"> </w:t>
      </w:r>
      <w:r>
        <w:rPr>
          <w:rFonts w:ascii="Arial" w:cs="Arial" w:eastAsia="Arial" w:hAnsi="Arial"/>
          <w:sz w:val="22"/>
          <w:szCs w:val="22"/>
          <w:color w:val="auto"/>
        </w:rPr>
        <w:t>all basic utilities (including telephone) and insurance. Standard house upkeep such as house cleaning will be at your personal expense.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22"/>
          <w:szCs w:val="22"/>
          <w:color w:val="auto"/>
        </w:rPr>
        <w:t>Where possible, Home Company will sign the apartment/home lease and will pay all rental expenses directly. The terms of any lease must be approved by Home Company prior to acceptance.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Home Company will provide property maintenance and upkeep services related to your vacant Atherton, CA property while you are on the secondment. You are responsible for the costs of mortgage, insurance and taxes on the property. In the event that the property is rented, you agree to turn over to Home Company the gross rents collected. You are responsible for costs of mortgage, insurance and taxes on the property.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If you are required to vacate your principal residence prior to departure for Canada, you will be reimbursed for reasonable costs for meals, lodging, laundry, and other incidentals for a maximum of seven days. You will also be reimbursed for temporary living expenses in order to provide for a maximum of seven days of temporary living if living accommodations are not ready when you arrive in your host location. Reasonable costs for meals, lodging, laundry, and other incidentals are reimbursable during this period.</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Health Club</w:t>
      </w:r>
      <w:r>
        <w:rPr>
          <w:rFonts w:ascii="Arial" w:cs="Arial" w:eastAsia="Arial" w:hAnsi="Arial"/>
          <w:sz w:val="19"/>
          <w:szCs w:val="19"/>
          <w:color w:val="auto"/>
        </w:rPr>
        <w:t>. You will be provided membership to a country club that is consistent with your current membership at home location.</w:t>
      </w: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Relocation Expenses</w:t>
      </w:r>
      <w:r>
        <w:rPr>
          <w:rFonts w:ascii="Arial" w:cs="Arial" w:eastAsia="Arial" w:hAnsi="Arial"/>
          <w:sz w:val="22"/>
          <w:szCs w:val="22"/>
          <w:color w:val="auto"/>
        </w:rPr>
        <w:t>. Home Company will reimburse business class air travel and incidental travel expenses for you and your</w:t>
      </w:r>
      <w:r>
        <w:rPr>
          <w:rFonts w:ascii="Arial" w:cs="Arial" w:eastAsia="Arial" w:hAnsi="Arial"/>
          <w:sz w:val="22"/>
          <w:szCs w:val="22"/>
          <w:i w:val="1"/>
          <w:iCs w:val="1"/>
          <w:color w:val="auto"/>
        </w:rPr>
        <w:t xml:space="preserve"> </w:t>
      </w:r>
      <w:r>
        <w:rPr>
          <w:rFonts w:ascii="Arial" w:cs="Arial" w:eastAsia="Arial" w:hAnsi="Arial"/>
          <w:sz w:val="22"/>
          <w:szCs w:val="22"/>
          <w:color w:val="auto"/>
        </w:rPr>
        <w:t>accompanying spouse to travel to Canada (pre-visa) and from Canada at the end of your secondment (except as indicated below under “Term and Termination”).</w:t>
      </w:r>
    </w:p>
    <w:p>
      <w:pPr>
        <w:spacing w:after="0" w:line="18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You will be reimbursed up to USD $5,000.00 for shipping your personal possessions to Canada in connection with the start and also the conclusion of your secondment (except as indicated below under “Term and Termination”).</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i w:val="1"/>
          <w:iCs w:val="1"/>
          <w:color w:val="auto"/>
        </w:rPr>
        <w:t>Transportation</w:t>
      </w:r>
      <w:r>
        <w:rPr>
          <w:rFonts w:ascii="Arial" w:cs="Arial" w:eastAsia="Arial" w:hAnsi="Arial"/>
          <w:sz w:val="21"/>
          <w:szCs w:val="21"/>
          <w:color w:val="auto"/>
        </w:rPr>
        <w:t>. To assist you and your spouse with transportation costs in Canada</w:t>
      </w:r>
      <w:r>
        <w:rPr>
          <w:rFonts w:ascii="Arial" w:cs="Arial" w:eastAsia="Arial" w:hAnsi="Arial"/>
          <w:sz w:val="21"/>
          <w:szCs w:val="21"/>
          <w:b w:val="1"/>
          <w:bCs w:val="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Home Company will provide you with an</w:t>
      </w:r>
      <w:r>
        <w:rPr>
          <w:rFonts w:ascii="Arial" w:cs="Arial" w:eastAsia="Arial" w:hAnsi="Arial"/>
          <w:sz w:val="21"/>
          <w:szCs w:val="21"/>
          <w:i w:val="1"/>
          <w:iCs w:val="1"/>
          <w:color w:val="auto"/>
        </w:rPr>
        <w:t xml:space="preserve"> </w:t>
      </w:r>
      <w:r>
        <w:rPr>
          <w:rFonts w:ascii="Arial" w:cs="Arial" w:eastAsia="Arial" w:hAnsi="Arial"/>
          <w:sz w:val="21"/>
          <w:szCs w:val="21"/>
          <w:color w:val="auto"/>
        </w:rPr>
        <w:t>automobile for use in the performance of your duties as well as an additional automobile for your spouse (which may be rented on occasions). In addition, Home Company will pay for all of the expenses of operating, maintaining and insuring such automobile[s] as well as applicable fees and taxes. You are responsible for fuel costs related to personal use. The automobile[s] will be the customary vehicle[s] in the host location for locals of your position.</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Home Trips</w:t>
      </w:r>
      <w:r>
        <w:rPr>
          <w:rFonts w:ascii="Arial" w:cs="Arial" w:eastAsia="Arial" w:hAnsi="Arial"/>
          <w:sz w:val="19"/>
          <w:szCs w:val="19"/>
          <w:color w:val="auto"/>
        </w:rPr>
        <w:t>. You and your accompanying family members are each eligible for several completed round trip per 9-months’ period</w:t>
      </w:r>
      <w:r>
        <w:rPr>
          <w:rFonts w:ascii="Arial" w:cs="Arial" w:eastAsia="Arial" w:hAnsi="Arial"/>
          <w:sz w:val="19"/>
          <w:szCs w:val="19"/>
          <w:i w:val="1"/>
          <w:iCs w:val="1"/>
          <w:color w:val="auto"/>
        </w:rPr>
        <w:t xml:space="preserve"> </w:t>
      </w:r>
      <w:r>
        <w:rPr>
          <w:rFonts w:ascii="Arial" w:cs="Arial" w:eastAsia="Arial" w:hAnsi="Arial"/>
          <w:sz w:val="19"/>
          <w:szCs w:val="19"/>
          <w:color w:val="auto"/>
        </w:rPr>
        <w:t>to Atherton, CA to maintain home location ties. Home Company will not allow the carryover of any unused home leave trips. Home Company will reimburse round-trip coach airfare for you and your accompanying family members. In accordance with company policy, you can use your frequent flyer miles to upgrade from coach airfare. You are expected to obtain pre-approval from Canada management for your specific travel dates and visit Home Company and coordinate your travel with business trips.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At the end of your secondment, all related allowances and benefits will terminate.</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i w:val="1"/>
          <w:iCs w:val="1"/>
          <w:color w:val="auto"/>
        </w:rPr>
        <w:t xml:space="preserve">Exemption from Code Section 409A for U.S. Taxpayers. </w:t>
      </w:r>
      <w:r>
        <w:rPr>
          <w:rFonts w:ascii="Arial" w:cs="Arial" w:eastAsia="Arial" w:hAnsi="Arial"/>
          <w:sz w:val="19"/>
          <w:szCs w:val="19"/>
          <w:color w:val="auto"/>
        </w:rPr>
        <w:t>If you are subject to U.S. income taxation, any amounts paid to you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tax equalization, that meet the requirements of Section 1.409A-1(b)(8)(iii) of the Treasury Regulations under U.S. Internal Revenue Code Section 409A, shall be paid no later than the end of the second calendar year next following the calendar year to which the compensation subject to the tax equalizations relate. All reimbursements under this letter, including amounts paid for tax equalization that do not meet the requirements of Section 1.409A-1(b)(8)(iii) of the Treasury Regulations shall be made no later than the end of the calendar year next following the calendar year in which the applicable expenses are incurred.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01"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u w:val="single" w:color="auto"/>
          <w:color w:val="auto"/>
        </w:rPr>
        <w:t>Standard of Conduct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the period of your secondment, you will comply with the rules and procedures of Host Company, in addition to those of Home Company applicable despite your secondment abroad. You will be subject to the day-to-day management and control of the President &amp; CEO of Home Company, from whom you will take instructions.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 are also expected to abide by the laws and regulations of Canada. Accordingly, you are required to maintain a standard of conduct that does not bring discredit upon yourself, your supervisors or upon Host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secondment will commence as soon as is reasonably practicable after the date hereof. This secondment is anticipated to last for up to one year. At its discretion, however, Home Company may terminate this secondment before the expiration of that period in accordance with this letter or extend the secondment as required. If your secondment goes beyond one year, the terms and conditions of your secondment will be reviewed by Home Company.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anything in this letter agreement to the contrary, Home Company may terminate this secondment at any time for any reason, however, we will attempt to give you one (1) month’s advance notice in order to assist you in preparing for the transition.</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Home Company’s intention is that you will return to work for Home Company in a suitable capacity, however, you remain at all times an at-will employee of Home Company and shall not have an entitlement or guarantee of any position with Home Company. For the avoidance of doubt, the termination of your employment with Home Company shall automatically terminate your secondment under this letter. The cost of relocating you back to your home location will be covered in accordance with the Relocation Policy.</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Notwithstanding the foregoing, Home Company may terminate your employment at any time if your conduct is such as to constitute Cause (as defined below) for summary dismissal. In the event your secondment or your underlying employment is terminated by reason of Cause, or if you voluntarily terminate employment or accept employment with another organization (unrelated to Home Company) within six months of the secondment start date, you will be solely responsible for any and all expenses related to the relocation of you and your family back to your home jurisdiction, including without limitation airfare, shipping costs, temporary housing expenses, and the like. For purposes of this letter agreement, “Cause” means (i) an act of dishonesty made by you in connection with your responsibilities as an employee, (ii) your conviction of, or pleading guilty to any indictable offense or any crime involving fraud, embezzlement or any other act of moral turpitude, (iii) your gross misconduct, (iv) your unauthorized use or disclosure of any proprietary information or trade secrets of Home Company, Host Company, or any other party to whom you owe an obligation of nondisclosure as a result of your relationship with Home Company or Host Company; (v) your willful breach of any obligations under any written agreement or covenant with Home Company or Host Company; or (vi) your continued failure to perform your employment duties after you have received a written demand of performance from Home Company which specifically sets forth the factual basis for Home Company’s belief that you have not substantially performed your duties and your failure to cure such non-performance to Home Company’s satisfaction within 10 business days after receiving such notice. In such circumstance, your employment shall end immediately without notice or pay in lieu thereof or any other form of compensation, except pay to your last day worked and any accrued vacation pay owing</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1"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u w:val="single" w:color="auto"/>
          <w:color w:val="auto"/>
        </w:rPr>
        <w:t>Third Party Beneficiary</w:t>
      </w:r>
    </w:p>
    <w:p>
      <w:pPr>
        <w:spacing w:after="0" w:line="22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Each of Home Company and Host Company is a third party beneficiary of this agreement and each of them has the full right and power to enforce rights, interests and obligations under this agreement without limitation or other restriction.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Governing Law</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temporary amendment to the Offer Letter will be governed by and construed in accordance with the laws of the State of California. You expressly agree that Canada law does not apply and waive all claims under Canada law. Notwithstanding the foregoing, to the extent that you are entitled to rights, benefits or compensation under the laws of both Canada and your home jurisdiction, you agree that you will be entitled to such rights, benefits, or compensation that are no greater than those provided to you under the terms of this letter agreement, so that any advantages that may accrue to you under the laws of both jurisdictions may not be combined.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Severability</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If any term herein is unenforceable in whole or in part, the remainder shall remain enforceable to the extent permitted by law.</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Please confirm your agreement to the terms of this secondment by signing and dating the duplicate copy of this letter, in the space provided.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Yours sincerely,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Gajus V. Worthington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Gajus V. Worthington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Home Company</w:t>
      </w:r>
    </w:p>
    <w:p>
      <w:pPr>
        <w:spacing w:after="0" w:line="200" w:lineRule="exact"/>
        <w:rPr>
          <w:sz w:val="20"/>
          <w:szCs w:val="20"/>
          <w:color w:val="auto"/>
        </w:rPr>
      </w:pPr>
    </w:p>
    <w:p>
      <w:pPr>
        <w:spacing w:after="0" w:line="218"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I agree to the terms and conditions of my secondment to Host Company in accordance with this letter. I understand that nothing contained herein shall be considered to be a guarantee of employment for the estimated duration of the secondment.</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gridSpan w:val="2"/>
          </w:tcPr>
          <w:p>
            <w:pPr>
              <w:spacing w:after="0"/>
              <w:rPr>
                <w:sz w:val="20"/>
                <w:szCs w:val="20"/>
                <w:color w:val="auto"/>
              </w:rPr>
            </w:pPr>
            <w:r>
              <w:rPr>
                <w:rFonts w:ascii="Arial" w:cs="Arial" w:eastAsia="Arial" w:hAnsi="Arial"/>
                <w:sz w:val="22"/>
                <w:szCs w:val="22"/>
                <w:color w:val="auto"/>
              </w:rPr>
              <w:t>/s/ William M. Smith</w:t>
            </w:r>
          </w:p>
        </w:tc>
        <w:tc>
          <w:tcPr>
            <w:tcW w:w="266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22"/>
                <w:szCs w:val="22"/>
                <w:color w:val="auto"/>
                <w:w w:val="88"/>
              </w:rPr>
              <w:t>March 4, 2014</w:t>
            </w:r>
          </w:p>
        </w:tc>
      </w:tr>
      <w:tr>
        <w:trPr>
          <w:trHeight w:val="20"/>
        </w:trPr>
        <w:tc>
          <w:tcPr>
            <w:tcW w:w="18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74"/>
        </w:trPr>
        <w:tc>
          <w:tcPr>
            <w:tcW w:w="3740" w:type="dxa"/>
            <w:vAlign w:val="bottom"/>
            <w:gridSpan w:val="2"/>
          </w:tcPr>
          <w:p>
            <w:pPr>
              <w:ind w:left="260"/>
              <w:spacing w:after="0"/>
              <w:rPr>
                <w:sz w:val="20"/>
                <w:szCs w:val="20"/>
                <w:color w:val="auto"/>
              </w:rPr>
            </w:pPr>
            <w:r>
              <w:rPr>
                <w:rFonts w:ascii="Arial" w:cs="Arial" w:eastAsia="Arial" w:hAnsi="Arial"/>
                <w:sz w:val="22"/>
                <w:szCs w:val="22"/>
                <w:color w:val="auto"/>
              </w:rPr>
              <w:t>William M. Smith</w:t>
            </w:r>
          </w:p>
        </w:tc>
        <w:tc>
          <w:tcPr>
            <w:tcW w:w="266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2"/>
                <w:szCs w:val="22"/>
                <w:color w:val="auto"/>
              </w:rPr>
              <w:t>Date</w:t>
            </w:r>
          </w:p>
        </w:tc>
      </w:tr>
      <w:tr>
        <w:trPr>
          <w:trHeight w:val="908"/>
        </w:trPr>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60" w:type="dxa"/>
            <w:vAlign w:val="bottom"/>
          </w:tcPr>
          <w:p>
            <w:pPr>
              <w:jc w:val="right"/>
              <w:ind w:right="590"/>
              <w:spacing w:after="0"/>
              <w:rPr>
                <w:sz w:val="20"/>
                <w:szCs w:val="20"/>
                <w:color w:val="auto"/>
              </w:rPr>
            </w:pPr>
            <w:r>
              <w:rPr>
                <w:rFonts w:ascii="Arial" w:cs="Arial" w:eastAsia="Arial" w:hAnsi="Arial"/>
                <w:sz w:val="18"/>
                <w:szCs w:val="18"/>
                <w:color w:val="auto"/>
              </w:rPr>
              <w:t>6</w:t>
            </w:r>
          </w:p>
        </w:tc>
        <w:tc>
          <w:tcPr>
            <w:tcW w:w="1260" w:type="dxa"/>
            <w:vAlign w:val="bottom"/>
          </w:tcPr>
          <w:p>
            <w:pPr>
              <w:spacing w:after="0"/>
              <w:rPr>
                <w:sz w:val="24"/>
                <w:szCs w:val="24"/>
                <w:color w:val="auto"/>
              </w:rPr>
            </w:pPr>
          </w:p>
        </w:tc>
      </w:tr>
    </w:tbl>
    <w:p>
      <w:pPr>
        <w:sectPr>
          <w:pgSz w:w="11900" w:h="16838" w:orient="portrait"/>
          <w:cols w:equalWidth="0" w:num="1">
            <w:col w:w="11420"/>
          </w:cols>
          <w:pgMar w:left="240" w:top="84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LICENSE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made this 17th day of July, 2008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jc w:val="both"/>
        <w:ind w:left="1960"/>
        <w:spacing w:after="0" w:line="256" w:lineRule="auto"/>
        <w:rPr>
          <w:sz w:val="20"/>
          <w:szCs w:val="20"/>
          <w:color w:val="auto"/>
        </w:rPr>
      </w:pPr>
      <w:r>
        <w:rPr>
          <w:rFonts w:ascii="Arial" w:cs="Arial" w:eastAsia="Arial" w:hAnsi="Arial"/>
          <w:sz w:val="22"/>
          <w:szCs w:val="22"/>
          <w:b w:val="1"/>
          <w:bCs w:val="1"/>
          <w:color w:val="auto"/>
        </w:rPr>
        <w:t>MDS Analytical Technologies, a business unit of MDS INC</w:t>
      </w:r>
      <w:r>
        <w:rPr>
          <w:rFonts w:ascii="Arial" w:cs="Arial" w:eastAsia="Arial" w:hAnsi="Arial"/>
          <w:sz w:val="22"/>
          <w:szCs w:val="22"/>
          <w:color w:val="auto"/>
        </w:rPr>
        <w:t>., a company incorporated pursuant to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Canada, </w:t>
      </w:r>
      <w:r>
        <w:rPr>
          <w:rFonts w:ascii="Arial" w:cs="Arial" w:eastAsia="Arial" w:hAnsi="Arial"/>
          <w:sz w:val="22"/>
          <w:szCs w:val="22"/>
          <w:b w:val="1"/>
          <w:bCs w:val="1"/>
          <w:color w:val="auto"/>
        </w:rPr>
        <w:t>through its Sciex division</w:t>
      </w:r>
      <w:r>
        <w:rPr>
          <w:rFonts w:ascii="Arial" w:cs="Arial" w:eastAsia="Arial" w:hAnsi="Arial"/>
          <w:sz w:val="22"/>
          <w:szCs w:val="22"/>
          <w:color w:val="auto"/>
        </w:rPr>
        <w:t>, having divisional offices at 71 Four Valley Drive, Concord, Ontario, Canada, L4K 4V8</w:t>
      </w:r>
    </w:p>
    <w:p>
      <w:pPr>
        <w:spacing w:after="0" w:line="18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(hereinafter, “MDS AT”)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jc w:val="both"/>
        <w:ind w:left="1960"/>
        <w:spacing w:after="0" w:line="269" w:lineRule="auto"/>
        <w:rPr>
          <w:sz w:val="20"/>
          <w:szCs w:val="20"/>
          <w:color w:val="auto"/>
        </w:rPr>
      </w:pPr>
      <w:r>
        <w:rPr>
          <w:rFonts w:ascii="Arial" w:cs="Arial" w:eastAsia="Arial" w:hAnsi="Arial"/>
          <w:sz w:val="22"/>
          <w:szCs w:val="22"/>
          <w:b w:val="1"/>
          <w:bCs w:val="1"/>
          <w:color w:val="auto"/>
        </w:rPr>
        <w:t>DVS Sciences Inc</w:t>
      </w:r>
      <w:r>
        <w:rPr>
          <w:rFonts w:ascii="Arial" w:cs="Arial" w:eastAsia="Arial" w:hAnsi="Arial"/>
          <w:sz w:val="22"/>
          <w:szCs w:val="22"/>
          <w:color w:val="auto"/>
        </w:rPr>
        <w:t>., a company incorporated pursuant to the laws of Ontario, having its head office at 70</w:t>
      </w:r>
      <w:r>
        <w:rPr>
          <w:rFonts w:ascii="Arial" w:cs="Arial" w:eastAsia="Arial" w:hAnsi="Arial"/>
          <w:sz w:val="22"/>
          <w:szCs w:val="22"/>
          <w:b w:val="1"/>
          <w:bCs w:val="1"/>
          <w:color w:val="auto"/>
        </w:rPr>
        <w:t xml:space="preserve"> </w:t>
      </w:r>
      <w:r>
        <w:rPr>
          <w:rFonts w:ascii="Arial" w:cs="Arial" w:eastAsia="Arial" w:hAnsi="Arial"/>
          <w:sz w:val="22"/>
          <w:szCs w:val="22"/>
          <w:color w:val="auto"/>
        </w:rPr>
        <w:t>Peninsula Crescent, Richmond Hill, Ontario, Canada, L4S 1Z5</w:t>
      </w:r>
    </w:p>
    <w:p>
      <w:pPr>
        <w:spacing w:after="0" w:line="1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(hereinafter, “DVS”)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p>
    <w:p>
      <w:pPr>
        <w:spacing w:after="0" w:line="226" w:lineRule="exact"/>
        <w:rPr>
          <w:sz w:val="20"/>
          <w:szCs w:val="20"/>
          <w:color w:val="auto"/>
        </w:rPr>
      </w:pPr>
    </w:p>
    <w:p>
      <w:pPr>
        <w:ind w:left="1300" w:hanging="644"/>
        <w:spacing w:after="0" w:line="263" w:lineRule="auto"/>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MDS AT is the owner by assignment of certain intellectual property rights, including, but not limited to, the Licensed IP as herein defined and specified in Schedule A hereto.</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MDS AT is willing to grant and DVS wishes to obtain a worldwide exclusive, royalty bearing license under the Licensed IP to [*****], as herein defined.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MDS AT is further willing to grant and DVS wishes to obtain a worldwide, non-exclusive, royalty bearing license under the Licensed IP, with the right to [*****], as herein defined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THEREFORE</w:t>
      </w:r>
      <w:r>
        <w:rPr>
          <w:rFonts w:ascii="Arial" w:cs="Arial" w:eastAsia="Arial" w:hAnsi="Arial"/>
          <w:sz w:val="22"/>
          <w:szCs w:val="22"/>
          <w:color w:val="auto"/>
        </w:rPr>
        <w:t>, in consideration of the mutual promises set forth below, it is agreed as follows:</w:t>
      </w:r>
    </w:p>
    <w:p>
      <w:pPr>
        <w:spacing w:after="0" w:line="220" w:lineRule="exact"/>
        <w:rPr>
          <w:sz w:val="20"/>
          <w:szCs w:val="20"/>
          <w:color w:val="auto"/>
        </w:rPr>
      </w:pPr>
    </w:p>
    <w:p>
      <w:pPr>
        <w:ind w:left="1460" w:hanging="804"/>
        <w:spacing w:after="0"/>
        <w:tabs>
          <w:tab w:leader="none" w:pos="1460"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jc w:val="center"/>
        <w:ind w:left="620"/>
        <w:spacing w:after="0"/>
        <w:rPr>
          <w:sz w:val="20"/>
          <w:szCs w:val="20"/>
          <w:color w:val="auto"/>
        </w:rPr>
      </w:pPr>
      <w:r>
        <w:rPr>
          <w:rFonts w:ascii="Arial" w:cs="Arial" w:eastAsia="Arial" w:hAnsi="Arial"/>
          <w:sz w:val="22"/>
          <w:szCs w:val="22"/>
          <w:color w:val="auto"/>
        </w:rPr>
        <w:t>In this Agreement the following terms shall have the following meanings, whether in singular or plural form:</w:t>
      </w:r>
    </w:p>
    <w:p>
      <w:pPr>
        <w:spacing w:after="0" w:line="260"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“Flow Cytometer” means an analytical instrument that provides assay of a biological sample based on the analysis of individual cells or particles.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“Flow Cytometry” means the art of conducting assays with a Flow Cytometer.</w:t>
      </w: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“Field” means [*****].</w:t>
      </w:r>
    </w:p>
    <w:p>
      <w:pPr>
        <w:spacing w:after="0" w:line="26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Licensed Intellectual Property” or “Licensed IP” means the patents and/or patent applications listed in Schedule A hereto, and all continuations, continuations-in-part and divisions hereof, and all further patent applications claiming or describing inventions contained in, or claiming priority to, any of the foregoing, and all patents which may issue from any of such patent applications.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“Licensed Processes” means processes and technology that are within a Valid Claim of the Licensed IP.</w:t>
      </w:r>
    </w:p>
    <w:p>
      <w:pPr>
        <w:spacing w:after="0" w:line="26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color w:val="auto"/>
        </w:rPr>
        <w:t>“Licensed Product” means the ICP MS-based Flow Cytometer that is within a Valid Claim of Licensed IP and [*****].</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“Licensed Reagent” means reagent or kit that is within a Valid Claim of Licensed IP.</w:t>
      </w: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“Licensed Technology” means Licensed Reagents and the Licensed Products.</w:t>
      </w:r>
    </w:p>
    <w:p>
      <w:pPr>
        <w:spacing w:after="0" w:line="26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1"/>
          <w:szCs w:val="21"/>
          <w:color w:val="auto"/>
        </w:rPr>
        <w:t>“Gross Sales”, for any Licensed Technology. In the case of a sale of such Licensed Technology by DVS to a purchaser who is bona fide at arm’s-length from and unrelated to DVS with no consideration involved other than the invoice price, Gross Sales means the gross selling price invoiced by DVS to such purchaser for such Licensed Technology. In all other cases, “Gross Sales” means Gross Sales that would have applied had the Licensed Technology in question been sold to a purchaser who was bona fide at arm’s-length and unrelated to DVS, with no consideration involved other than the invoice price.</w:t>
      </w:r>
    </w:p>
    <w:p>
      <w:pPr>
        <w:spacing w:after="0" w:line="221"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1.10</w:t>
        <w:tab/>
        <w:t>“Sublicensee” means any party with which DVS enters into a sublicense agreement in accordance with this Agreement. For greater clarity it is understood that any payments made under this section are deemed to be royalty payments and therefore apply toward the minimum royalties in section 3.</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1.11</w:t>
        <w:tab/>
        <w:t>Licensed Products incorporating Licensed Technology shall be deemed to have been sold or disposed of for value when they are shipped to a customer, or when they are invoiced, or when they are leased, or when any value whatsoever is received for them by DVS or a Sublicensee, whichever is first.</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“Year” means a calendar year.</w:t>
      </w: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All sums mentioned herein shall be in Canadian dollars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“Improvements” means improvements and developments [*****].</w:t>
      </w:r>
    </w:p>
    <w:p>
      <w:pPr>
        <w:spacing w:after="0" w:line="26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1.15</w:t>
        <w:tab/>
        <w:t>“Valid Claim” means a claim in an issued patent of the Licensed IP which has not (i) expired, (ii) been finally adjudicated invalid or unenforceable, (iii) found invalid or unenforceable, or (iv) been abandoned.</w:t>
      </w:r>
    </w:p>
    <w:p>
      <w:pPr>
        <w:spacing w:after="0" w:line="209" w:lineRule="exact"/>
        <w:rPr>
          <w:sz w:val="20"/>
          <w:szCs w:val="20"/>
          <w:color w:val="auto"/>
        </w:rPr>
      </w:pPr>
    </w:p>
    <w:p>
      <w:pPr>
        <w:ind w:left="1460" w:hanging="804"/>
        <w:spacing w:after="0"/>
        <w:tabs>
          <w:tab w:leader="none" w:pos="146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GRANT OF LICENSE</w:t>
      </w:r>
    </w:p>
    <w:p>
      <w:pPr>
        <w:spacing w:after="0" w:line="26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MDS AT hereby grants to DVS an exclusive, royalty bearing worldwide license under the Licensed IP, with the right to sublicense [*****] within the Field.</w:t>
      </w:r>
    </w:p>
    <w:p>
      <w:pPr>
        <w:spacing w:after="0" w:line="215"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MDS AT hereby grants to DVS a non-exclusive, royalty bearing worldwide license under the Licensed IP, [*****] Licensed Reagents in fields other than the Field.</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Notwithstanding section 2.2, MDS AT retains the right to [*****].</w:t>
      </w:r>
    </w:p>
    <w:p>
      <w:pPr>
        <w:spacing w:after="0" w:line="254" w:lineRule="exact"/>
        <w:rPr>
          <w:sz w:val="20"/>
          <w:szCs w:val="20"/>
          <w:color w:val="auto"/>
        </w:rPr>
      </w:pPr>
    </w:p>
    <w:p>
      <w:pPr>
        <w:ind w:left="1460" w:hanging="804"/>
        <w:spacing w:after="0"/>
        <w:tabs>
          <w:tab w:leader="none" w:pos="14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FEES AND ROYALTIES</w:t>
      </w:r>
    </w:p>
    <w:p>
      <w:pPr>
        <w:spacing w:after="0" w:line="26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Fee in the amount of [*****] dollars, to be guaranteed by manufacturing/distributing partner of DVS (the “Guarantor”), shall be paid by DVS to MDS AT by or before December 31, 2010. Royalties paid in calendar 2010 shall be applied against this fee.</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DVS shall pay to MDS AT royalties (the “Royalties”) as follows:</w:t>
      </w:r>
    </w:p>
    <w:p>
      <w:pPr>
        <w:spacing w:after="0" w:line="260" w:lineRule="exact"/>
        <w:rPr>
          <w:sz w:val="20"/>
          <w:szCs w:val="20"/>
          <w:color w:val="auto"/>
        </w:rPr>
      </w:pPr>
    </w:p>
    <w:p>
      <w:pPr>
        <w:ind w:left="1960" w:hanging="655"/>
        <w:spacing w:after="0"/>
        <w:tabs>
          <w:tab w:leader="none" w:pos="19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of the Gross Sales of Licensed Technology sold.</w:t>
      </w:r>
    </w:p>
    <w:p>
      <w:pPr>
        <w:spacing w:after="0" w:line="260" w:lineRule="exact"/>
        <w:rPr>
          <w:rFonts w:ascii="Arial" w:cs="Arial" w:eastAsia="Arial" w:hAnsi="Arial"/>
          <w:sz w:val="22"/>
          <w:szCs w:val="22"/>
          <w:color w:val="auto"/>
        </w:rPr>
      </w:pPr>
    </w:p>
    <w:p>
      <w:pPr>
        <w:ind w:left="2600" w:hanging="1295"/>
        <w:spacing w:after="0" w:line="263" w:lineRule="auto"/>
        <w:tabs>
          <w:tab w:leader="none" w:pos="1952" w:val="left"/>
        </w:tabs>
        <w:numPr>
          <w:ilvl w:val="0"/>
          <w:numId w:val="32"/>
        </w:numPr>
        <w:rPr>
          <w:rFonts w:ascii="Arial" w:cs="Arial" w:eastAsia="Arial" w:hAnsi="Arial"/>
          <w:sz w:val="21"/>
          <w:szCs w:val="21"/>
          <w:color w:val="auto"/>
        </w:rPr>
      </w:pPr>
      <w:r>
        <w:rPr>
          <w:rFonts w:ascii="Arial" w:cs="Arial" w:eastAsia="Arial" w:hAnsi="Arial"/>
          <w:sz w:val="21"/>
          <w:szCs w:val="21"/>
          <w:color w:val="auto"/>
        </w:rPr>
        <w:t>If DVS grants a sublicense to a Sublicensee to make Licensed Products, DVS shall pay to MDS AT royalties equal to [*****] of the gross sales of Licensed Products sold by the Sublicensee and [*****] of any fees charged for the grant of such sublicense. For greater clarity, it is understood that any payments made under this subsection 3.3 are deemed to be royalty payments and therefore apply toward the minimum royalties required in section 5.</w:t>
      </w:r>
    </w:p>
    <w:p>
      <w:pPr>
        <w:spacing w:after="0" w:line="216"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No Royalties shall accrue or be owed to MDS AT from DVS, including without limitation any payments under Sections 3.1 and 3.2, prior to [*****].</w:t>
      </w:r>
    </w:p>
    <w:p>
      <w:pPr>
        <w:spacing w:after="0" w:line="209" w:lineRule="exact"/>
        <w:rPr>
          <w:sz w:val="20"/>
          <w:szCs w:val="20"/>
          <w:color w:val="auto"/>
        </w:rPr>
      </w:pPr>
    </w:p>
    <w:p>
      <w:pPr>
        <w:ind w:left="1460" w:hanging="804"/>
        <w:spacing w:after="0"/>
        <w:tabs>
          <w:tab w:leader="none" w:pos="146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DUE DILIGENCE</w:t>
      </w:r>
    </w:p>
    <w:p>
      <w:pPr>
        <w:spacing w:after="0" w:line="26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DVS shall, itself or through a Sublicensee, use commercially reasonable efforts to effect introduction of Licensed Technology into the marketplace.</w:t>
      </w:r>
    </w:p>
    <w:p>
      <w:pPr>
        <w:spacing w:after="0" w:line="200" w:lineRule="exact"/>
        <w:rPr>
          <w:sz w:val="20"/>
          <w:szCs w:val="20"/>
          <w:color w:val="auto"/>
        </w:rPr>
      </w:pP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13" w:lineRule="exact"/>
        <w:rPr>
          <w:sz w:val="20"/>
          <w:szCs w:val="20"/>
          <w:color w:val="auto"/>
        </w:rPr>
      </w:pPr>
    </w:p>
    <w:p>
      <w:pPr>
        <w:ind w:left="1460" w:hanging="804"/>
        <w:spacing w:after="0"/>
        <w:tabs>
          <w:tab w:leader="none" w:pos="146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MINIMUM ROYALTIES</w:t>
      </w:r>
    </w:p>
    <w:p>
      <w:pPr>
        <w:spacing w:after="0" w:line="2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DVS shall pay to MDS AT minimum royalties under this Agreement as follows:</w:t>
      </w:r>
    </w:p>
    <w:p>
      <w:pPr>
        <w:spacing w:after="0" w:line="260" w:lineRule="exact"/>
        <w:rPr>
          <w:sz w:val="20"/>
          <w:szCs w:val="20"/>
          <w:color w:val="auto"/>
        </w:rPr>
      </w:pPr>
    </w:p>
    <w:p>
      <w:pPr>
        <w:ind w:left="1960" w:hanging="655"/>
        <w:spacing w:after="0"/>
        <w:tabs>
          <w:tab w:leader="none" w:pos="1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 dollars, and</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 two hundred fifty thousand ($250,000) dollars.</w:t>
      </w:r>
    </w:p>
    <w:p>
      <w:pPr>
        <w:spacing w:after="0" w:line="26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If DVS fails to pay the minimum royalties set forth in subsection 5.1, and such failure to pay is not cured pursuant to section 13.3 herein, such failure shall constitute a breach of this Agreement.</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The minimum royalties payable for the Year in which the last-to-expire Valid Claim expires shall be pro-rated based on date of expiration of such last-to-expire Valid Claim. No minimum royalties shall be payable for any subsequent Year following the expiration of the last-to-expire Valid Claim.</w:t>
      </w:r>
    </w:p>
    <w:p>
      <w:pPr>
        <w:spacing w:after="0" w:line="220" w:lineRule="exact"/>
        <w:rPr>
          <w:sz w:val="20"/>
          <w:szCs w:val="20"/>
          <w:color w:val="auto"/>
        </w:rPr>
      </w:pPr>
    </w:p>
    <w:p>
      <w:pPr>
        <w:ind w:left="1460" w:hanging="804"/>
        <w:spacing w:after="0"/>
        <w:tabs>
          <w:tab w:leader="none" w:pos="146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PAYMENT OF ROYALTIES</w:t>
      </w:r>
    </w:p>
    <w:p>
      <w:pPr>
        <w:spacing w:after="0" w:line="266"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Royalties under subsection 3.2 shall be calculated quarterly, on the last day of each quarter of the Year (the “Quarter”), and should be payable within one (1) month following the end of each Quarter for Gross Sales by DVS which have occurred during the Quarter in question until the expiration of the last-to-expire Valid Claim.</w:t>
      </w:r>
    </w:p>
    <w:p>
      <w:pPr>
        <w:spacing w:after="0" w:line="208"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Subject to Section 5.3, the Royalty payment for each Quarter of each Year beginning with the year [*****] shall be at least equal to the pro-rated minimum royalty payment applicable to that Quarter for such Year. Any overpayment for each Quarter resulting from payment of the minimum royalty may be credited against subsequent royalties otherwise payable for the Year in question and the subsequent Year.</w:t>
      </w:r>
    </w:p>
    <w:p>
      <w:pPr>
        <w:spacing w:after="0" w:line="216"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All payments due to MDS AT under this Agreement shall be made to the credit of MDS AT. Where Gross Sales are in a currency other than Canadian dollars, the conversion into Canadian dollars shall be calculated at the rate of exchange for DVS to sell such currency quoted by the Canadian Imperial Bank of Commerce on the last day of the Quarter in respect of which payment is due.</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For greater clarity, it is understood and agreed that royalty will be paid only once for each Licensed Technology.</w:t>
      </w:r>
    </w:p>
    <w:p>
      <w:pPr>
        <w:spacing w:after="0" w:line="254" w:lineRule="exact"/>
        <w:rPr>
          <w:sz w:val="20"/>
          <w:szCs w:val="20"/>
          <w:color w:val="auto"/>
        </w:rPr>
      </w:pPr>
    </w:p>
    <w:p>
      <w:pPr>
        <w:ind w:left="1460" w:hanging="804"/>
        <w:spacing w:after="0"/>
        <w:tabs>
          <w:tab w:leader="none" w:pos="146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RECORDS AND REPORTS</w:t>
      </w:r>
    </w:p>
    <w:p>
      <w:pPr>
        <w:spacing w:after="0" w:line="266" w:lineRule="exact"/>
        <w:rPr>
          <w:sz w:val="20"/>
          <w:szCs w:val="20"/>
          <w:color w:val="auto"/>
        </w:rPr>
      </w:pPr>
    </w:p>
    <w:p>
      <w:pPr>
        <w:ind w:left="1300" w:hanging="647"/>
        <w:spacing w:after="0" w:line="287" w:lineRule="auto"/>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Each royalty payment made under this Agreement shall be accompanied by a statement showing particulars of all Gross Sales for the Quarter in question, and the total royalty due and payable to MDS AT.</w:t>
      </w:r>
    </w:p>
    <w:p>
      <w:pPr>
        <w:spacing w:after="0" w:line="3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19"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DVS shall, and shall require each of its Sublicensees, to keep true and accurate records and books of account containing all data necessary for the determination of the royalties payable hereunder and to evaluate the performance of DVS or its Sublicensee. MDS AT may, upon reasonable prior notice (which shall include the name of the accountant referred to below), have such records and books of account inspected (not exceeding twice per annum) by a duly authorized independent chartered accountant, to verify the accuracy of the reports made hereunder. DVS or the Sublicensee may, by thirty (30) days’ notice to MDS AT upon receiving the notice of inspection referred to above, object to the accountant selected by MDS AT if such accountant has a conflict of interest, reasonably determined, due to having provided services currently or during the immediately preceding two (2) years to a competitor of DVS or the Sublicensee in question, and MDS AT shall then select a different independent chartered accountant who has no such conflict of interest. The accountant shall maintain its findings relating to such inspection in confidence but may disclose to MDS AT full particulars of any deficiencies or inaccuracies in reports or payments by DVS.</w:t>
      </w:r>
    </w:p>
    <w:p>
      <w:pPr>
        <w:spacing w:after="0" w:line="215" w:lineRule="exact"/>
        <w:rPr>
          <w:sz w:val="20"/>
          <w:szCs w:val="20"/>
          <w:color w:val="auto"/>
        </w:rPr>
      </w:pPr>
    </w:p>
    <w:p>
      <w:pPr>
        <w:ind w:left="1460" w:hanging="804"/>
        <w:spacing w:after="0"/>
        <w:tabs>
          <w:tab w:leader="none" w:pos="146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IMPROVEMENTS (If Applicable)</w:t>
      </w:r>
    </w:p>
    <w:p>
      <w:pPr>
        <w:spacing w:after="0" w:line="2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Each party shall [*****] during the life of this Agreement.</w:t>
      </w:r>
    </w:p>
    <w:p>
      <w:pPr>
        <w:spacing w:after="0" w:line="260"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Improvements developed by MDS AT may [*****] be deemed to be included in this Agreement and be subject to the terms hereof, and any such application for patents or equivalent protection made in respect thereof shall [*****].</w:t>
      </w:r>
    </w:p>
    <w:p>
      <w:pPr>
        <w:spacing w:after="0" w:line="14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color w:val="auto"/>
        </w:rPr>
        <w:t>Should DVS, during the term of this Agreement, develop any Improvements [*****] , DVS shall disclose the same to MDS AT. DVS shall grant to MDS AT a non-exclusive, royalty free[*****] license, [*****] to [*****] such Improvements in research and development only.</w:t>
      </w:r>
    </w:p>
    <w:p>
      <w:pPr>
        <w:spacing w:after="0" w:line="220" w:lineRule="exact"/>
        <w:rPr>
          <w:sz w:val="20"/>
          <w:szCs w:val="20"/>
          <w:color w:val="auto"/>
        </w:rPr>
      </w:pPr>
    </w:p>
    <w:p>
      <w:pPr>
        <w:ind w:left="1460" w:hanging="804"/>
        <w:spacing w:after="0"/>
        <w:tabs>
          <w:tab w:leader="none" w:pos="146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PATENTS AND PATENT APPLICATIONS</w:t>
      </w:r>
    </w:p>
    <w:p>
      <w:pPr>
        <w:spacing w:after="0" w:line="26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At all times during the term of this Agreement and, [*****], DVS shall control, in consultation with MDS AT, [*****] prosecuting any [*****] relating to [*****]. DVS shall advise MDS AT of [*****] in a timely manner to allow MDS AT to comment thereon and shall take into fair consideration any such comments.</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MDS AT shall control, in consultation with DVS, [*****] prosecution [*****] of patents and patent applications for the Licensed Reagents not in the Field. MDS AT shall advise DVS of [*****] in a timely manner to allow DVS to comment thereon and shall take into fair consideration any such comments.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61" w:name="page62"/>
    <w:bookmarkEnd w:id="61"/>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right="20" w:hanging="647"/>
        <w:spacing w:after="0" w:line="287" w:lineRule="auto"/>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color w:val="auto"/>
        </w:rPr>
        <w:t>DVS and MDS AT each agree to provide reasonable support to the other for the prosecution [*****] and Licensed Reagents not in the Field under Sections 9.1 and 9.2, respectively, at no cost to the other Party.</w:t>
      </w:r>
    </w:p>
    <w:p>
      <w:pPr>
        <w:spacing w:after="0" w:line="192"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If MDS AT believes, [*****] that it will not [*****] obtain a [*****] patent [*****] included in the Licensed IP, or that it would not be [*****] maintaining one of the Licensed IP, then it may discontinue such prosecution or maintenance, but it shall give DVS advance notice of such intention to discontinue so that DVS may [*****] the patent application or patent in question. In this instance, the patent application or patent in question will [*****].</w:t>
      </w:r>
    </w:p>
    <w:p>
      <w:pPr>
        <w:spacing w:after="0" w:line="177" w:lineRule="exact"/>
        <w:rPr>
          <w:sz w:val="20"/>
          <w:szCs w:val="20"/>
          <w:color w:val="auto"/>
        </w:rPr>
      </w:pPr>
    </w:p>
    <w:p>
      <w:pPr>
        <w:ind w:left="1580" w:hanging="924"/>
        <w:spacing w:after="0"/>
        <w:tabs>
          <w:tab w:leader="none" w:pos="158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INFRINGEMENT OF THIRD PARTIES</w:t>
      </w:r>
    </w:p>
    <w:p>
      <w:pPr>
        <w:spacing w:after="0" w:line="26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10.1</w:t>
        <w:tab/>
        <w:t>MDS AT shall have the right to bring an action for infringement of the Licensed IP against alleged infringers. [*****]</w:t>
      </w:r>
    </w:p>
    <w:p>
      <w:pPr>
        <w:spacing w:after="0" w:line="215" w:lineRule="exact"/>
        <w:rPr>
          <w:sz w:val="20"/>
          <w:szCs w:val="20"/>
          <w:color w:val="auto"/>
        </w:rPr>
      </w:pPr>
    </w:p>
    <w:p>
      <w:pPr>
        <w:ind w:left="1300" w:right="20" w:hanging="647"/>
        <w:spacing w:after="0" w:line="287" w:lineRule="auto"/>
        <w:tabs>
          <w:tab w:leader="none" w:pos="12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If DVS’s exercise of their rights under this license infringes or is alleged or suspected to infringe on the intellectual property rights of an arm’s-length third party, then DVS shall so advise MDS AT, and DVS may:</w:t>
      </w:r>
    </w:p>
    <w:p>
      <w:pPr>
        <w:spacing w:after="0" w:line="192" w:lineRule="exact"/>
        <w:rPr>
          <w:sz w:val="20"/>
          <w:szCs w:val="20"/>
          <w:color w:val="auto"/>
        </w:rPr>
      </w:pPr>
    </w:p>
    <w:p>
      <w:pPr>
        <w:ind w:left="1960" w:hanging="655"/>
        <w:spacing w:after="0"/>
        <w:tabs>
          <w:tab w:leader="none" w:pos="1960" w:val="left"/>
        </w:tabs>
        <w:numPr>
          <w:ilvl w:val="1"/>
          <w:numId w:val="41"/>
        </w:numPr>
        <w:rPr>
          <w:rFonts w:ascii="Arial" w:cs="Arial" w:eastAsia="Arial" w:hAnsi="Arial"/>
          <w:sz w:val="22"/>
          <w:szCs w:val="22"/>
          <w:color w:val="auto"/>
        </w:rPr>
      </w:pPr>
      <w:r>
        <w:rPr>
          <w:rFonts w:ascii="Arial" w:cs="Arial" w:eastAsia="Arial" w:hAnsi="Arial"/>
          <w:sz w:val="22"/>
          <w:szCs w:val="22"/>
          <w:color w:val="auto"/>
        </w:rPr>
        <w:t>determine that [*****] does not infringe the third party’s intellectual property rights,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attempt [*****],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41"/>
        </w:numPr>
        <w:rPr>
          <w:rFonts w:ascii="Arial" w:cs="Arial" w:eastAsia="Arial" w:hAnsi="Arial"/>
          <w:sz w:val="22"/>
          <w:szCs w:val="22"/>
          <w:color w:val="auto"/>
        </w:rPr>
      </w:pPr>
      <w:r>
        <w:rPr>
          <w:rFonts w:ascii="Arial" w:cs="Arial" w:eastAsia="Arial" w:hAnsi="Arial"/>
          <w:sz w:val="22"/>
          <w:szCs w:val="22"/>
          <w:color w:val="auto"/>
        </w:rPr>
        <w:t>obtain a license [*****],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p>
    <w:p>
      <w:pPr>
        <w:spacing w:after="0" w:line="254" w:lineRule="exact"/>
        <w:rPr>
          <w:rFonts w:ascii="Arial" w:cs="Arial" w:eastAsia="Arial" w:hAnsi="Arial"/>
          <w:sz w:val="22"/>
          <w:szCs w:val="22"/>
          <w:color w:val="auto"/>
        </w:rPr>
      </w:pPr>
    </w:p>
    <w:p>
      <w:pPr>
        <w:ind w:left="1520" w:hanging="864"/>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22"/>
          <w:szCs w:val="22"/>
          <w:b w:val="1"/>
          <w:bCs w:val="1"/>
          <w:color w:val="auto"/>
        </w:rPr>
        <w:t>WARRANTIES</w:t>
      </w:r>
    </w:p>
    <w:p>
      <w:pPr>
        <w:spacing w:after="0" w:line="28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11.1</w:t>
        <w:tab/>
        <w:t>MDS AT is the owner of certain intellectual property rights, including, but not limited to, the Licensed IP referred to in Schedule A hereto and has the right to grant this License.</w:t>
      </w:r>
    </w:p>
    <w:p>
      <w:pPr>
        <w:spacing w:after="0" w:line="215"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11.2</w:t>
        <w:tab/>
        <w:t>MDS AT, DVS and Guarantor each represent that they respectively have the capacity and authority to enter into this Agreement.</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The Licensed IP is in good standing and to the knowledge of MDS AT the Licensed IP is valid and enforceable.</w:t>
      </w:r>
    </w:p>
    <w:p>
      <w:pPr>
        <w:spacing w:after="0" w:line="26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11.4</w:t>
        <w:tab/>
        <w:t>MDS AT otherwise makes no warranties, express or implied, as to any matter whatsoever, including without limitation:</w:t>
      </w:r>
    </w:p>
    <w:p>
      <w:pPr>
        <w:spacing w:after="0" w:line="200" w:lineRule="exact"/>
        <w:rPr>
          <w:sz w:val="20"/>
          <w:szCs w:val="20"/>
          <w:color w:val="auto"/>
        </w:rPr>
      </w:pP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19" w:lineRule="exact"/>
        <w:rPr>
          <w:sz w:val="20"/>
          <w:szCs w:val="20"/>
          <w:color w:val="auto"/>
        </w:rPr>
      </w:pPr>
    </w:p>
    <w:p>
      <w:pPr>
        <w:ind w:left="1960" w:hanging="655"/>
        <w:spacing w:after="0"/>
        <w:tabs>
          <w:tab w:leader="none" w:pos="19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condition of the Licensed Technology or results derived therefrom, or</w:t>
      </w:r>
    </w:p>
    <w:p>
      <w:pPr>
        <w:spacing w:after="0" w:line="260"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merchantability, utility, or fitness for a particular purpose of the Licensed Technology or results derived therefrom, or</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scope of the Licensed IP or that the Licensed IP may be exploited by DVS without infringing other patents.</w:t>
      </w:r>
    </w:p>
    <w:p>
      <w:pPr>
        <w:spacing w:after="0" w:line="209" w:lineRule="exact"/>
        <w:rPr>
          <w:rFonts w:ascii="Arial" w:cs="Arial" w:eastAsia="Arial" w:hAnsi="Arial"/>
          <w:sz w:val="22"/>
          <w:szCs w:val="22"/>
          <w:color w:val="auto"/>
        </w:rPr>
      </w:pPr>
    </w:p>
    <w:p>
      <w:pPr>
        <w:ind w:left="1580" w:hanging="924"/>
        <w:spacing w:after="0"/>
        <w:tabs>
          <w:tab w:leader="none" w:pos="158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INDEMNIFICATION</w:t>
      </w:r>
    </w:p>
    <w:p>
      <w:pPr>
        <w:spacing w:after="0" w:line="266"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12.1</w:t>
        <w:tab/>
        <w:t>DVS will indemnify, defend and hold harmless MDS AT, its Affiliates, employees, representatives or agents, from and against all actions, suits, claims or proceedings and any damages, costs expenses (including legal costs) or liability of any kind or incurred by MDS AT in any action whatsoever against MDS AT, its Affiliates, employees, representatives or agents, including all infringement actions relating to practice of the Licensed Technology and liability therefrom:</w:t>
      </w:r>
    </w:p>
    <w:p>
      <w:pPr>
        <w:spacing w:after="0" w:line="233" w:lineRule="exact"/>
        <w:rPr>
          <w:sz w:val="20"/>
          <w:szCs w:val="20"/>
          <w:color w:val="auto"/>
        </w:rPr>
      </w:pPr>
    </w:p>
    <w:p>
      <w:pPr>
        <w:ind w:left="1960" w:hanging="655"/>
        <w:spacing w:after="0" w:line="263" w:lineRule="auto"/>
        <w:tabs>
          <w:tab w:leader="none" w:pos="19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arising out of the performance by DVS or by others at the request of DVS (more specifically Sublicensees of DVS) functions and/or products contemplated by this Agreement, or</w:t>
      </w:r>
    </w:p>
    <w:p>
      <w:pPr>
        <w:spacing w:after="0" w:line="21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resulting from the negligent acts or omissions of DVS’s employees, representatives or agents (more specifically Sublicensees of DVS) in connection with this Agreement, whether or not information or material supplied by MDS AT is utilized, or</w:t>
      </w:r>
    </w:p>
    <w:p>
      <w:pPr>
        <w:spacing w:after="0" w:line="226"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respect of any direct, consequential or other damage awarded against MDS AT resulting from the use, sale or other disposition by DVS or its customers of Licensed Technology.</w:t>
      </w:r>
    </w:p>
    <w:p>
      <w:pPr>
        <w:spacing w:after="0" w:line="21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12.2</w:t>
        <w:tab/>
        <w:t>MDS AT will indemnify, defend and hold harmless DVS, its Affiliates, employees, representatives or agents, from and against all actions, suits, claims or proceedings and any damages, costs expenses (including legal costs) or liability of any kind or incurred by DVS in any action whatsoever against DVS, its Affiliates, employees, representatives or agents:</w:t>
      </w:r>
    </w:p>
    <w:p>
      <w:pPr>
        <w:spacing w:after="0" w:line="229" w:lineRule="exact"/>
        <w:rPr>
          <w:sz w:val="20"/>
          <w:szCs w:val="20"/>
          <w:color w:val="auto"/>
        </w:rPr>
      </w:pPr>
    </w:p>
    <w:p>
      <w:pPr>
        <w:ind w:left="1960" w:hanging="655"/>
        <w:spacing w:after="0" w:line="263" w:lineRule="auto"/>
        <w:tabs>
          <w:tab w:leader="none" w:pos="19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arising out of the performance by MDS AT or by others at the request of MDS AT functions and/or products contemplated by this Agreement, or</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resulting from the negligent acts or omissions of MDS AT’s employees, representatives or agents in connection with this Agreement.</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12.3</w:t>
        <w:tab/>
        <w:t>DVS agrees that it and any Sublicensee will be required to maintain, for so long as is reasonably necessary, general comprehensive liability and product liability insurance in an amount reasonably necessary to enable them to carry out their obligations under this section.</w:t>
      </w:r>
    </w:p>
    <w:p>
      <w:pPr>
        <w:spacing w:after="0" w:line="22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12.4</w:t>
        <w:tab/>
        <w:t>In the event that any of an Indemnitor’s agents, employees or permitted assigns attend at the Indemnitee facilities or use Indemnitee’s equipment in relation to this</w:t>
      </w:r>
    </w:p>
    <w:p>
      <w:pPr>
        <w:spacing w:after="0" w:line="200" w:lineRule="exact"/>
        <w:rPr>
          <w:sz w:val="20"/>
          <w:szCs w:val="20"/>
          <w:color w:val="auto"/>
        </w:rPr>
      </w:pP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63" w:name="page64"/>
    <w:bookmarkEnd w:id="63"/>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Agreement, Indemnitor assumes responsibility and will exonerate and hold harmless Indemnitee from and against any liability or any damage to property or injury including death to persons that may be caused by said persons when on Indemnitee property, and shall also be responsible for any injury or death which may be sustained by such persons and for public liability insurance for the negligent acts or omissions of such persons as well as workers compensation coverage for such persons while on Indemnitee property.</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The indemnification obligations of the Parties under Sections 12.1, 12.2 and 12.3 shall apply only if:</w:t>
      </w:r>
    </w:p>
    <w:p>
      <w:pPr>
        <w:spacing w:after="0" w:line="260" w:lineRule="exact"/>
        <w:rPr>
          <w:sz w:val="20"/>
          <w:szCs w:val="20"/>
          <w:color w:val="auto"/>
        </w:rPr>
      </w:pPr>
    </w:p>
    <w:p>
      <w:pPr>
        <w:ind w:left="1960" w:hanging="655"/>
        <w:spacing w:after="0"/>
        <w:tabs>
          <w:tab w:leader="none" w:pos="19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Indemnitee promptly notifies the Indemnitor in writing after the Indemnitee receives notice of any claim; and</w:t>
      </w:r>
    </w:p>
    <w:p>
      <w:pPr>
        <w:spacing w:after="0" w:line="294" w:lineRule="exact"/>
        <w:rPr>
          <w:rFonts w:ascii="Arial" w:cs="Arial" w:eastAsia="Arial" w:hAnsi="Arial"/>
          <w:sz w:val="19"/>
          <w:szCs w:val="19"/>
          <w:color w:val="auto"/>
        </w:rPr>
      </w:pPr>
    </w:p>
    <w:p>
      <w:pPr>
        <w:ind w:left="1960" w:hanging="655"/>
        <w:spacing w:after="0"/>
        <w:tabs>
          <w:tab w:leader="none" w:pos="19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Indemnitor is given the opportunity to manage and control the defense and/or settlement of such claim; and</w:t>
      </w:r>
    </w:p>
    <w:p>
      <w:pPr>
        <w:spacing w:after="0" w:line="294" w:lineRule="exact"/>
        <w:rPr>
          <w:rFonts w:ascii="Arial" w:cs="Arial" w:eastAsia="Arial" w:hAnsi="Arial"/>
          <w:sz w:val="19"/>
          <w:szCs w:val="19"/>
          <w:color w:val="auto"/>
        </w:rPr>
      </w:pPr>
    </w:p>
    <w:p>
      <w:pPr>
        <w:ind w:left="1960" w:right="20" w:hanging="655"/>
        <w:spacing w:after="0" w:line="263" w:lineRule="auto"/>
        <w:tabs>
          <w:tab w:leader="none" w:pos="19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Indemnitee reasonably co-operates with the Indemnitor and its legal representatives in the defense and/or settlement of any such claim; and</w:t>
      </w:r>
    </w:p>
    <w:p>
      <w:pPr>
        <w:spacing w:after="0" w:line="215"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Indemnitee refrains from making any admission of liability or any attempt to settle the claim without the Indemnitor’s prior written consent.</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12.6</w:t>
        <w:tab/>
        <w:t>Notwithstanding the foregoing, the Indemnitor shall not be liable to indemnify any Indemnitee to the extent that the claim arises out of the Indemnitee’s negligence, bad faith, willful misconduct, or breach of this Agreement or any obligation to a third party.</w:t>
      </w:r>
    </w:p>
    <w:p>
      <w:pPr>
        <w:spacing w:after="0" w:line="220" w:lineRule="exact"/>
        <w:rPr>
          <w:sz w:val="20"/>
          <w:szCs w:val="20"/>
          <w:color w:val="auto"/>
        </w:rPr>
      </w:pPr>
    </w:p>
    <w:p>
      <w:pPr>
        <w:ind w:left="1580" w:hanging="924"/>
        <w:spacing w:after="0"/>
        <w:tabs>
          <w:tab w:leader="none" w:pos="158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TERM AND TERMINATION</w:t>
      </w:r>
    </w:p>
    <w:p>
      <w:pPr>
        <w:spacing w:after="0" w:line="26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13.1</w:t>
        <w:tab/>
        <w:t>This Agreement is effective as of the date written above and shall, subject to the remainder of this section, remain in force until the expiry of the last Valid Claim unless terminated earlier pursuant to sections 13.2, 13.3 and 13.4 herein.</w:t>
      </w:r>
    </w:p>
    <w:p>
      <w:pPr>
        <w:spacing w:after="0" w:line="226"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13.2</w:t>
        <w:tab/>
        <w:t>MDS AT may at its option terminate this Agreement immediately (and shall promptly give DVS notice of such termination) and avail itself of such other legal remedies as are appropriate, in the event that DVS at any time becomes insolvent, or makes an assignment for the benefit of creditors, or has a petition in bankruptcy filed against it.</w:t>
      </w:r>
    </w:p>
    <w:p>
      <w:pPr>
        <w:spacing w:after="0" w:line="229"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If either party commits a material breach of this Agreement, then the aggrieved party may give written notice of such breach to the defaulting party. If such breach is not cured within sixty (60) days from the date of the notice, or if the breach is correctible but not within such sixty (60) days, then if the defaulting party does not take prompt steps within the sixty (60) days to cure the default and diligently pursue such steps thereafter, then the aggrieved party may terminate this Agreement by written notice to the other, the written notice to take effect when it is given.</w:t>
      </w:r>
    </w:p>
    <w:p>
      <w:pPr>
        <w:spacing w:after="0" w:line="188"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13.4</w:t>
        <w:tab/>
        <w:t>DVS may terminate this Agreement at any time after the date hereof, either in its entirety or as to any country or countries. Such termination shall be on at least ninety (90) days’</w:t>
      </w:r>
    </w:p>
    <w:p>
      <w:pPr>
        <w:spacing w:after="0" w:line="200" w:lineRule="exact"/>
        <w:rPr>
          <w:sz w:val="20"/>
          <w:szCs w:val="20"/>
          <w:color w:val="auto"/>
        </w:rPr>
      </w:pP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64" w:name="page65"/>
    <w:bookmarkEnd w:id="64"/>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22"/>
          <w:szCs w:val="22"/>
          <w:color w:val="auto"/>
        </w:rPr>
        <w:t>written notice and upon payment of the Guarantee under section 3.1 herein, and fulfillment of such other obligations as set for in section(s) 6, 8, 9, 12, 14, 16, 17, 19, and 20.3.</w:t>
      </w:r>
    </w:p>
    <w:p>
      <w:pPr>
        <w:spacing w:after="0" w:line="209" w:lineRule="exact"/>
        <w:rPr>
          <w:sz w:val="20"/>
          <w:szCs w:val="20"/>
          <w:color w:val="auto"/>
        </w:rPr>
      </w:pPr>
    </w:p>
    <w:p>
      <w:pPr>
        <w:ind w:left="1580" w:hanging="924"/>
        <w:spacing w:after="0"/>
        <w:tabs>
          <w:tab w:leader="none" w:pos="158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CONFIDENTIAL INFORMATION</w:t>
      </w:r>
    </w:p>
    <w:p>
      <w:pPr>
        <w:spacing w:after="0" w:line="26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Each party agrees to respect and maintain Confidential Information as defined in this section 14.1, which it acquires from the other party by virtue of this Agreement, and will not disclose to any third party nor make any use of such Confidential Information without prior written consent of the other party, which consent shall not unreasonably be withheld provided that DVS takes such reasonable and contractual steps to ensure Sublicensees agree to be under a similar duty of confidentiality with respect to MDS AT’s confidential information as DVS. “Confidential Information” shall mean information deemed to be confidential by MDS AT or DVS (“Provider”) and disclosed to the other party (“Recipient”)in confidence and including, but not limited to, know-how, trade secrets, all information, knowledge or data of an intellectual, technical, scientific, commercial, financial or industrial nature, either in written documentation, oral or visual information, whether by inspection of parts or equipment or otherwise, subject to the exceptions set out below. Oral information deemed to be confidential by the Provider, shall be reduced to writing within thirty (30) days from the date of disclosure and provided to the Recipient.</w:t>
      </w:r>
    </w:p>
    <w:p>
      <w:pPr>
        <w:spacing w:after="0" w:line="19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14.2</w:t>
        <w:tab/>
        <w:t>The obligations of confidentiality in subsection 14.1 shall not apply to information which the Recipient can establish by written proof:</w:t>
      </w:r>
    </w:p>
    <w:p>
      <w:pPr>
        <w:spacing w:after="0" w:line="215" w:lineRule="exact"/>
        <w:rPr>
          <w:sz w:val="20"/>
          <w:szCs w:val="20"/>
          <w:color w:val="auto"/>
        </w:rPr>
      </w:pPr>
    </w:p>
    <w:p>
      <w:pPr>
        <w:ind w:left="1960" w:hanging="655"/>
        <w:spacing w:after="0"/>
        <w:tabs>
          <w:tab w:leader="none" w:pos="1960" w:val="left"/>
        </w:tabs>
        <w:numPr>
          <w:ilvl w:val="1"/>
          <w:numId w:val="50"/>
        </w:numPr>
        <w:rPr>
          <w:rFonts w:ascii="Arial" w:cs="Arial" w:eastAsia="Arial" w:hAnsi="Arial"/>
          <w:sz w:val="21"/>
          <w:szCs w:val="21"/>
          <w:color w:val="auto"/>
        </w:rPr>
      </w:pPr>
      <w:r>
        <w:rPr>
          <w:rFonts w:ascii="Arial" w:cs="Arial" w:eastAsia="Arial" w:hAnsi="Arial"/>
          <w:sz w:val="21"/>
          <w:szCs w:val="21"/>
          <w:color w:val="auto"/>
        </w:rPr>
        <w:t>is or becomes a part of the public domain other than by a disclosure in breach of this Agreement, or</w:t>
      </w:r>
    </w:p>
    <w:p>
      <w:pPr>
        <w:spacing w:after="0" w:line="271" w:lineRule="exact"/>
        <w:rPr>
          <w:rFonts w:ascii="Arial" w:cs="Arial" w:eastAsia="Arial" w:hAnsi="Arial"/>
          <w:sz w:val="21"/>
          <w:szCs w:val="21"/>
          <w:color w:val="auto"/>
        </w:rPr>
      </w:pPr>
    </w:p>
    <w:p>
      <w:pPr>
        <w:ind w:left="1960" w:hanging="655"/>
        <w:spacing w:after="0"/>
        <w:tabs>
          <w:tab w:leader="none" w:pos="19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was known to the receiving party prior to the Recipient’s receipt of the information in question, or</w:t>
      </w:r>
    </w:p>
    <w:p>
      <w:pPr>
        <w:spacing w:after="0" w:line="260" w:lineRule="exact"/>
        <w:rPr>
          <w:rFonts w:ascii="Arial" w:cs="Arial" w:eastAsia="Arial" w:hAnsi="Arial"/>
          <w:sz w:val="22"/>
          <w:szCs w:val="22"/>
          <w:color w:val="auto"/>
        </w:rPr>
      </w:pPr>
    </w:p>
    <w:p>
      <w:pPr>
        <w:ind w:left="1960" w:right="20" w:hanging="655"/>
        <w:spacing w:after="0" w:line="263" w:lineRule="auto"/>
        <w:tabs>
          <w:tab w:leader="none" w:pos="19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comes into the hands of the Recipient from a third party who is entitled to make such disclosure and has no obligation of confidence to the disclosing party, or</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1"/>
          <w:numId w:val="50"/>
        </w:numPr>
        <w:rPr>
          <w:rFonts w:ascii="Arial" w:cs="Arial" w:eastAsia="Arial" w:hAnsi="Arial"/>
          <w:sz w:val="19"/>
          <w:szCs w:val="19"/>
          <w:color w:val="auto"/>
        </w:rPr>
      </w:pPr>
      <w:r>
        <w:rPr>
          <w:rFonts w:ascii="Arial" w:cs="Arial" w:eastAsia="Arial" w:hAnsi="Arial"/>
          <w:sz w:val="19"/>
          <w:szCs w:val="19"/>
          <w:color w:val="auto"/>
        </w:rPr>
        <w:t>was developed by the Recipient independently of the information received from the disclosing party, or</w:t>
      </w:r>
    </w:p>
    <w:p>
      <w:pPr>
        <w:spacing w:after="0" w:line="294" w:lineRule="exact"/>
        <w:rPr>
          <w:rFonts w:ascii="Arial" w:cs="Arial" w:eastAsia="Arial" w:hAnsi="Arial"/>
          <w:sz w:val="19"/>
          <w:szCs w:val="19"/>
          <w:color w:val="auto"/>
        </w:rPr>
      </w:pPr>
    </w:p>
    <w:p>
      <w:pPr>
        <w:ind w:left="1960" w:hanging="655"/>
        <w:spacing w:after="0"/>
        <w:tabs>
          <w:tab w:leader="none" w:pos="19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is approved for release by written authorization of both DVS and MDS AT.</w:t>
      </w:r>
    </w:p>
    <w:p>
      <w:pPr>
        <w:spacing w:after="0" w:line="254" w:lineRule="exact"/>
        <w:rPr>
          <w:rFonts w:ascii="Arial" w:cs="Arial" w:eastAsia="Arial" w:hAnsi="Arial"/>
          <w:sz w:val="22"/>
          <w:szCs w:val="22"/>
          <w:color w:val="auto"/>
        </w:rPr>
      </w:pPr>
    </w:p>
    <w:p>
      <w:pPr>
        <w:ind w:left="1580" w:hanging="924"/>
        <w:spacing w:after="0"/>
        <w:tabs>
          <w:tab w:leader="none" w:pos="158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RIGHT OF ASSIGNMENT</w:t>
      </w:r>
    </w:p>
    <w:p>
      <w:pPr>
        <w:spacing w:after="0" w:line="26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15.1</w:t>
        <w:tab/>
        <w:t>The obligations of DVS hereunder, including the obligation to report and pay royalties, shall run in favour of the successors and assigns or other legal representatives of MDS AT.</w:t>
      </w:r>
    </w:p>
    <w:p>
      <w:pPr>
        <w:spacing w:after="0" w:line="21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15.2</w:t>
        <w:tab/>
        <w:t>In the event of the sale, consolidation, reorganization or otherwise of DVS of all or substantially all of the assets related to the Licensed Technology, MDS AT shall consent to negotiate a commercially reasonable license to such person, firm or corporation succeeding to all or substantially all of DVS’s business relating to the Licensed Technology provided that such person,</w:t>
      </w:r>
    </w:p>
    <w:p>
      <w:pPr>
        <w:spacing w:after="0" w:line="200" w:lineRule="exact"/>
        <w:rPr>
          <w:sz w:val="20"/>
          <w:szCs w:val="20"/>
          <w:color w:val="auto"/>
        </w:rPr>
      </w:pP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65" w:name="page66"/>
    <w:bookmarkEnd w:id="65"/>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color w:val="auto"/>
        </w:rPr>
        <w:t>firm or corporation shall, without delay, accept in writing the provisions of this Agreement and agree to become in all respects bound thereby in the place of DVS.</w:t>
      </w:r>
    </w:p>
    <w:p>
      <w:pPr>
        <w:spacing w:after="0" w:line="209" w:lineRule="exact"/>
        <w:rPr>
          <w:sz w:val="20"/>
          <w:szCs w:val="20"/>
          <w:color w:val="auto"/>
        </w:rPr>
      </w:pPr>
    </w:p>
    <w:p>
      <w:pPr>
        <w:ind w:left="1580" w:hanging="924"/>
        <w:spacing w:after="0"/>
        <w:tabs>
          <w:tab w:leader="none" w:pos="158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USE OF OTHER PARTY’S NAME</w:t>
      </w:r>
    </w:p>
    <w:p>
      <w:pPr>
        <w:spacing w:after="0" w:line="26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16.1</w:t>
        <w:tab/>
        <w:t>Neither party shall use the other party’s name in any advertising material relating to Licensed Technology, without the prior written consent of the other party, as well as consent as to the content of such advertising material relating to the Licensed Technology by the other party.</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16.2</w:t>
        <w:tab/>
        <w:t>Each party shall obtain the prior approval of the other, such approval not to be unreasonably withheld or delayed, to the content of any written publicity, news release or other public statement or announcement relating to this Agreement, prior to originating or releasing it.</w:t>
      </w:r>
    </w:p>
    <w:p>
      <w:pPr>
        <w:spacing w:after="0" w:line="220" w:lineRule="exact"/>
        <w:rPr>
          <w:sz w:val="20"/>
          <w:szCs w:val="20"/>
          <w:color w:val="auto"/>
        </w:rPr>
      </w:pPr>
    </w:p>
    <w:p>
      <w:pPr>
        <w:ind w:left="1580" w:hanging="924"/>
        <w:spacing w:after="0"/>
        <w:tabs>
          <w:tab w:leader="none" w:pos="158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INVALID CLAUSE</w:t>
      </w:r>
    </w:p>
    <w:p>
      <w:pPr>
        <w:spacing w:after="0" w:line="266"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If any term of this Agreement is held invalid by a court of competent jurisdiction, such provision shall be deemed to be of no effect and the remainder of this Agreement shall continue in force. The parties shall use their best efforts to replace the invalid term with a term which is valid and as nearly as possible achieves the intent of the invalid term.</w:t>
      </w:r>
    </w:p>
    <w:p>
      <w:pPr>
        <w:spacing w:after="0" w:line="168" w:lineRule="exact"/>
        <w:rPr>
          <w:sz w:val="20"/>
          <w:szCs w:val="20"/>
          <w:color w:val="auto"/>
        </w:rPr>
      </w:pPr>
    </w:p>
    <w:p>
      <w:pPr>
        <w:ind w:left="1580" w:hanging="924"/>
        <w:spacing w:after="0"/>
        <w:tabs>
          <w:tab w:leader="none" w:pos="158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NO AGENCY</w:t>
      </w:r>
    </w:p>
    <w:p>
      <w:pPr>
        <w:spacing w:after="0" w:line="26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18.1</w:t>
        <w:tab/>
        <w:t>Each party is an independent contractor, and neither is an agent of the other nor is responsible for the debts and obligations of the other. Neither party has any authority to commit or bind the other.</w:t>
      </w:r>
    </w:p>
    <w:p>
      <w:pPr>
        <w:spacing w:after="0" w:line="209" w:lineRule="exact"/>
        <w:rPr>
          <w:sz w:val="20"/>
          <w:szCs w:val="20"/>
          <w:color w:val="auto"/>
        </w:rPr>
      </w:pPr>
    </w:p>
    <w:p>
      <w:pPr>
        <w:ind w:left="1580" w:hanging="924"/>
        <w:spacing w:after="0"/>
        <w:tabs>
          <w:tab w:leader="none" w:pos="158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NOTICES</w:t>
      </w:r>
    </w:p>
    <w:p>
      <w:pPr>
        <w:spacing w:after="0" w:line="266" w:lineRule="exact"/>
        <w:rPr>
          <w:sz w:val="20"/>
          <w:szCs w:val="20"/>
          <w:color w:val="auto"/>
        </w:rPr>
      </w:pPr>
    </w:p>
    <w:p>
      <w:pPr>
        <w:ind w:left="1300" w:hanging="647"/>
        <w:spacing w:after="0" w:line="287" w:lineRule="auto"/>
        <w:tabs>
          <w:tab w:leader="none" w:pos="128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1"/>
          <w:szCs w:val="21"/>
          <w:color w:val="auto"/>
        </w:rPr>
        <w:t>All notices and other communications required or permitted to be given hereunder shall be in writing and shall be sent to the following addresses or such other addresses as the parties may from time to time advise:</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MDS INC., through its MDS AT division,</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jc w:val="right"/>
        <w:ind w:right="7860"/>
        <w:spacing w:after="0"/>
        <w:rPr>
          <w:sz w:val="20"/>
          <w:szCs w:val="20"/>
          <w:color w:val="auto"/>
        </w:rPr>
      </w:pPr>
      <w:r>
        <w:rPr>
          <w:rFonts w:ascii="Arial" w:cs="Arial" w:eastAsia="Arial" w:hAnsi="Arial"/>
          <w:sz w:val="22"/>
          <w:szCs w:val="22"/>
          <w:color w:val="auto"/>
        </w:rPr>
        <w:t>Attention: [*****]</w:t>
      </w:r>
    </w:p>
    <w:p>
      <w:pPr>
        <w:spacing w:after="0" w:line="22" w:lineRule="exact"/>
        <w:rPr>
          <w:sz w:val="20"/>
          <w:szCs w:val="20"/>
          <w:color w:val="auto"/>
        </w:rPr>
      </w:pPr>
    </w:p>
    <w:p>
      <w:pPr>
        <w:jc w:val="right"/>
        <w:ind w:right="782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right"/>
        <w:ind w:right="7820"/>
        <w:spacing w:after="0"/>
        <w:rPr>
          <w:sz w:val="20"/>
          <w:szCs w:val="20"/>
          <w:color w:val="auto"/>
        </w:rPr>
      </w:pPr>
      <w:r>
        <w:rPr>
          <w:rFonts w:ascii="Arial" w:cs="Arial" w:eastAsia="Arial" w:hAnsi="Arial"/>
          <w:sz w:val="22"/>
          <w:szCs w:val="22"/>
          <w:color w:val="auto"/>
        </w:rPr>
        <w:t>Facsimile: [*****]</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Copy to: [*****]</w:t>
      </w:r>
    </w:p>
    <w:p>
      <w:pPr>
        <w:spacing w:after="0" w:line="200" w:lineRule="exact"/>
        <w:rPr>
          <w:sz w:val="20"/>
          <w:szCs w:val="20"/>
          <w:color w:val="auto"/>
        </w:rPr>
      </w:pPr>
    </w:p>
    <w:p>
      <w:pPr>
        <w:spacing w:after="0" w:line="27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DVS Sciences Inc.</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66" w:name="page67"/>
    <w:bookmarkEnd w:id="66"/>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19.2</w:t>
        <w:tab/>
        <w:t>In order for any notices, requests, directions, or other communications to be effective, they will be delivered in person; or, sent by registered mail, or facsimile addressed to the party for whom it is intended at the above-mentioned address and will be deemed to have been received, if sent by registered mail, within five (5) days from the date of the postal receipt; if sent by facsimile or e-mail, when transmitted, as long as the sender subsequently confirms with the recipient that it has been received. The address of either party may be changed by notice in the manner set out in this provision.</w:t>
      </w:r>
    </w:p>
    <w:p>
      <w:pPr>
        <w:spacing w:after="0" w:line="228" w:lineRule="exact"/>
        <w:rPr>
          <w:sz w:val="20"/>
          <w:szCs w:val="20"/>
          <w:color w:val="auto"/>
        </w:rPr>
      </w:pPr>
    </w:p>
    <w:p>
      <w:pPr>
        <w:ind w:left="1580" w:hanging="924"/>
        <w:spacing w:after="0"/>
        <w:tabs>
          <w:tab w:leader="none" w:pos="158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20.1</w:t>
        <w:tab/>
        <w:t>This Agreement shall inure to the benefit of and be binding upon the parties hereto and their respective successors and assigns.</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20.2</w:t>
        <w:tab/>
        <w:t>This Agreement constitutes the entire understanding between the parties concerning the subject matter hereof, and any amendments or modification shall not be binding upon each party unless it is in writing and signed by a duly authorized representative of each party.</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20.3</w:t>
        <w:tab/>
        <w:t>This Agreement shall be interpreted and governed by the laws of the Province of Ontario in Canada as applied to transactions taking place entirely within Ontario between Ontario residents and whose courts shall have exclusive jurisdiction in respect of all disputes relating to or arising out of this Agreement.</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20.4</w:t>
        <w:tab/>
        <w:t>The persons signing on behalf of the parties to this Agreement hereby warrant and represent that they have authority to execute this Agreement on behalf of, and bind, the party for whom they have signed.</w:t>
      </w:r>
    </w:p>
    <w:p>
      <w:pPr>
        <w:spacing w:after="0" w:line="169" w:lineRule="exact"/>
        <w:rPr>
          <w:sz w:val="20"/>
          <w:szCs w:val="20"/>
          <w:color w:val="auto"/>
        </w:rPr>
      </w:pPr>
    </w:p>
    <w:p>
      <w:pPr>
        <w:ind w:left="660" w:right="640"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duly executed this Agreement as of the day and year first above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w:t>
      </w:r>
    </w:p>
    <w:p>
      <w:pPr>
        <w:spacing w:after="0" w:line="301"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4800" w:type="dxa"/>
            <w:vAlign w:val="bottom"/>
          </w:tcPr>
          <w:p>
            <w:pPr>
              <w:ind w:left="20"/>
              <w:spacing w:after="0"/>
              <w:rPr>
                <w:sz w:val="20"/>
                <w:szCs w:val="20"/>
                <w:color w:val="auto"/>
              </w:rPr>
            </w:pPr>
            <w:r>
              <w:rPr>
                <w:rFonts w:ascii="Arial" w:cs="Arial" w:eastAsia="Arial" w:hAnsi="Arial"/>
                <w:sz w:val="22"/>
                <w:szCs w:val="22"/>
                <w:b w:val="1"/>
                <w:bCs w:val="1"/>
                <w:color w:val="auto"/>
              </w:rPr>
              <w:t>DVS Sciences, Inc.</w:t>
            </w:r>
          </w:p>
        </w:tc>
        <w:tc>
          <w:tcPr>
            <w:tcW w:w="5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22"/>
                <w:szCs w:val="22"/>
                <w:b w:val="1"/>
                <w:bCs w:val="1"/>
                <w:color w:val="auto"/>
              </w:rPr>
              <w:t>MDS Analytical Technologies,</w:t>
            </w:r>
          </w:p>
        </w:tc>
      </w:tr>
      <w:tr>
        <w:trPr>
          <w:trHeight w:val="281"/>
        </w:trPr>
        <w:tc>
          <w:tcPr>
            <w:tcW w:w="4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22"/>
                <w:szCs w:val="22"/>
                <w:b w:val="1"/>
                <w:bCs w:val="1"/>
                <w:color w:val="auto"/>
              </w:rPr>
              <w:t>through its Sciex division</w:t>
            </w:r>
          </w:p>
        </w:tc>
      </w:tr>
      <w:tr>
        <w:trPr>
          <w:trHeight w:val="260"/>
        </w:trPr>
        <w:tc>
          <w:tcPr>
            <w:tcW w:w="4800" w:type="dxa"/>
            <w:vAlign w:val="bottom"/>
          </w:tcPr>
          <w:p>
            <w:pPr>
              <w:ind w:left="20"/>
              <w:spacing w:after="0"/>
              <w:rPr>
                <w:sz w:val="20"/>
                <w:szCs w:val="20"/>
                <w:color w:val="auto"/>
              </w:rPr>
            </w:pPr>
            <w:r>
              <w:rPr>
                <w:rFonts w:ascii="Arial" w:cs="Arial" w:eastAsia="Arial" w:hAnsi="Arial"/>
                <w:sz w:val="18"/>
                <w:szCs w:val="18"/>
                <w:color w:val="auto"/>
              </w:rPr>
              <w:t>Per: [*****]</w:t>
            </w:r>
          </w:p>
        </w:tc>
        <w:tc>
          <w:tcPr>
            <w:tcW w:w="50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Per: [*****]</w:t>
            </w:r>
          </w:p>
        </w:tc>
      </w:tr>
      <w:tr>
        <w:trPr>
          <w:trHeight w:val="27"/>
        </w:trPr>
        <w:tc>
          <w:tcPr>
            <w:tcW w:w="48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Name: [*****]</w:t>
            </w:r>
          </w:p>
        </w:tc>
        <w:tc>
          <w:tcPr>
            <w:tcW w:w="50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Name: [*****]</w:t>
            </w:r>
          </w:p>
        </w:tc>
      </w:tr>
      <w:tr>
        <w:trPr>
          <w:trHeight w:val="256"/>
        </w:trPr>
        <w:tc>
          <w:tcPr>
            <w:tcW w:w="4800" w:type="dxa"/>
            <w:vAlign w:val="bottom"/>
          </w:tcPr>
          <w:p>
            <w:pPr>
              <w:ind w:left="20"/>
              <w:spacing w:after="0"/>
              <w:rPr>
                <w:sz w:val="20"/>
                <w:szCs w:val="20"/>
                <w:color w:val="auto"/>
              </w:rPr>
            </w:pPr>
            <w:r>
              <w:rPr>
                <w:rFonts w:ascii="Arial" w:cs="Arial" w:eastAsia="Arial" w:hAnsi="Arial"/>
                <w:sz w:val="18"/>
                <w:szCs w:val="18"/>
                <w:color w:val="auto"/>
              </w:rPr>
              <w:t>Title: [*****]</w:t>
            </w:r>
          </w:p>
        </w:tc>
        <w:tc>
          <w:tcPr>
            <w:tcW w:w="50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Title: [*****]</w:t>
            </w:r>
          </w:p>
        </w:tc>
      </w:tr>
      <w:tr>
        <w:trPr>
          <w:trHeight w:val="230"/>
        </w:trPr>
        <w:tc>
          <w:tcPr>
            <w:tcW w:w="4800" w:type="dxa"/>
            <w:vAlign w:val="bottom"/>
          </w:tcPr>
          <w:p>
            <w:pPr>
              <w:spacing w:after="0"/>
              <w:rPr>
                <w:sz w:val="20"/>
                <w:szCs w:val="20"/>
                <w:color w:val="auto"/>
              </w:rPr>
            </w:pPr>
          </w:p>
        </w:tc>
        <w:tc>
          <w:tcPr>
            <w:tcW w:w="5160" w:type="dxa"/>
            <w:vAlign w:val="bottom"/>
            <w:gridSpan w:val="2"/>
          </w:tcPr>
          <w:p>
            <w:pPr>
              <w:jc w:val="right"/>
              <w:ind w:right="3523"/>
              <w:spacing w:after="0"/>
              <w:rPr>
                <w:sz w:val="20"/>
                <w:szCs w:val="20"/>
                <w:color w:val="auto"/>
              </w:rPr>
            </w:pPr>
            <w:r>
              <w:rPr>
                <w:rFonts w:ascii="Arial" w:cs="Arial" w:eastAsia="Arial" w:hAnsi="Arial"/>
                <w:sz w:val="18"/>
                <w:szCs w:val="18"/>
                <w:color w:val="auto"/>
              </w:rPr>
              <w:t>[*****]</w:t>
            </w:r>
          </w:p>
        </w:tc>
      </w:tr>
      <w:tr>
        <w:trPr>
          <w:trHeight w:val="631"/>
        </w:trPr>
        <w:tc>
          <w:tcPr>
            <w:tcW w:w="4800" w:type="dxa"/>
            <w:vAlign w:val="bottom"/>
          </w:tcPr>
          <w:p>
            <w:pPr>
              <w:ind w:left="20"/>
              <w:spacing w:after="0"/>
              <w:rPr>
                <w:sz w:val="20"/>
                <w:szCs w:val="20"/>
                <w:color w:val="auto"/>
              </w:rPr>
            </w:pPr>
            <w:r>
              <w:rPr>
                <w:rFonts w:ascii="Arial" w:cs="Arial" w:eastAsia="Arial" w:hAnsi="Arial"/>
                <w:sz w:val="22"/>
                <w:szCs w:val="22"/>
                <w:b w:val="1"/>
                <w:bCs w:val="1"/>
                <w:color w:val="auto"/>
              </w:rPr>
              <w:t>Guarantor</w:t>
            </w:r>
          </w:p>
        </w:tc>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60"/>
        </w:trPr>
        <w:tc>
          <w:tcPr>
            <w:tcW w:w="4800" w:type="dxa"/>
            <w:vAlign w:val="bottom"/>
          </w:tcPr>
          <w:p>
            <w:pPr>
              <w:ind w:left="20"/>
              <w:spacing w:after="0"/>
              <w:rPr>
                <w:sz w:val="20"/>
                <w:szCs w:val="20"/>
                <w:color w:val="auto"/>
              </w:rPr>
            </w:pPr>
            <w:r>
              <w:rPr>
                <w:rFonts w:ascii="Arial" w:cs="Arial" w:eastAsia="Arial" w:hAnsi="Arial"/>
                <w:sz w:val="18"/>
                <w:szCs w:val="18"/>
                <w:color w:val="auto"/>
              </w:rPr>
              <w:t>Per: [*****]</w:t>
            </w:r>
          </w:p>
        </w:tc>
        <w:tc>
          <w:tcPr>
            <w:tcW w:w="500" w:type="dxa"/>
            <w:vAlign w:val="bottom"/>
          </w:tcPr>
          <w:p>
            <w:pPr>
              <w:spacing w:after="0"/>
              <w:rPr>
                <w:sz w:val="22"/>
                <w:szCs w:val="22"/>
                <w:color w:val="auto"/>
              </w:rPr>
            </w:pPr>
          </w:p>
        </w:tc>
        <w:tc>
          <w:tcPr>
            <w:tcW w:w="4660" w:type="dxa"/>
            <w:vAlign w:val="bottom"/>
          </w:tcPr>
          <w:p>
            <w:pPr>
              <w:spacing w:after="0"/>
              <w:rPr>
                <w:sz w:val="22"/>
                <w:szCs w:val="22"/>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Name: [*****]</w:t>
            </w:r>
          </w:p>
        </w:tc>
        <w:tc>
          <w:tcPr>
            <w:tcW w:w="5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Company: [*****]</w:t>
            </w:r>
          </w:p>
        </w:tc>
        <w:tc>
          <w:tcPr>
            <w:tcW w:w="50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70"/>
        </w:trPr>
        <w:tc>
          <w:tcPr>
            <w:tcW w:w="4800" w:type="dxa"/>
            <w:vAlign w:val="bottom"/>
          </w:tcPr>
          <w:p>
            <w:pPr>
              <w:ind w:left="20"/>
              <w:spacing w:after="0"/>
              <w:rPr>
                <w:sz w:val="20"/>
                <w:szCs w:val="20"/>
                <w:color w:val="auto"/>
              </w:rPr>
            </w:pPr>
            <w:r>
              <w:rPr>
                <w:rFonts w:ascii="Arial" w:cs="Arial" w:eastAsia="Arial" w:hAnsi="Arial"/>
                <w:sz w:val="18"/>
                <w:szCs w:val="18"/>
                <w:color w:val="auto"/>
              </w:rPr>
              <w:t>Title: [*****]</w:t>
            </w:r>
          </w:p>
        </w:tc>
        <w:tc>
          <w:tcPr>
            <w:tcW w:w="500" w:type="dxa"/>
            <w:vAlign w:val="bottom"/>
          </w:tcPr>
          <w:p>
            <w:pPr>
              <w:spacing w:after="0"/>
              <w:rPr>
                <w:sz w:val="23"/>
                <w:szCs w:val="23"/>
                <w:color w:val="auto"/>
              </w:rPr>
            </w:pPr>
          </w:p>
        </w:tc>
        <w:tc>
          <w:tcPr>
            <w:tcW w:w="46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403225</wp:posOffset>
            </wp:positionV>
            <wp:extent cx="1586230" cy="875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67" w:name="page68"/>
    <w:bookmarkEnd w:id="67"/>
    <w:tbl>
      <w:tblPr>
        <w:tblLayout w:type="fixed"/>
        <w:tblInd w:w="23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120" w:type="dxa"/>
            <w:vAlign w:val="bottom"/>
            <w:gridSpan w:val="2"/>
          </w:tcPr>
          <w:p>
            <w:pPr>
              <w:ind w:left="2520"/>
              <w:spacing w:after="0"/>
              <w:rPr>
                <w:sz w:val="20"/>
                <w:szCs w:val="20"/>
                <w:color w:val="auto"/>
              </w:rPr>
            </w:pPr>
            <w:r>
              <w:rPr>
                <w:rFonts w:ascii="Arial" w:cs="Arial" w:eastAsia="Arial" w:hAnsi="Arial"/>
                <w:sz w:val="18"/>
                <w:szCs w:val="18"/>
                <w:b w:val="1"/>
                <w:bCs w:val="1"/>
                <w:color w:val="auto"/>
              </w:rPr>
              <w:t>CONFIDENTIAL TREATMENT</w:t>
            </w:r>
          </w:p>
        </w:tc>
      </w:tr>
      <w:tr>
        <w:trPr>
          <w:trHeight w:val="726"/>
        </w:trPr>
        <w:tc>
          <w:tcPr>
            <w:tcW w:w="2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540" w:type="dxa"/>
            <w:vAlign w:val="bottom"/>
            <w:gridSpan w:val="3"/>
          </w:tcPr>
          <w:p>
            <w:pPr>
              <w:ind w:left="140"/>
              <w:spacing w:after="0"/>
              <w:rPr>
                <w:sz w:val="20"/>
                <w:szCs w:val="20"/>
                <w:color w:val="auto"/>
              </w:rPr>
            </w:pPr>
            <w:r>
              <w:rPr>
                <w:rFonts w:ascii="Arial" w:cs="Arial" w:eastAsia="Arial" w:hAnsi="Arial"/>
                <w:sz w:val="22"/>
                <w:szCs w:val="22"/>
                <w:b w:val="1"/>
                <w:bCs w:val="1"/>
                <w:color w:val="auto"/>
              </w:rPr>
              <w:t>SCHEDULE A</w:t>
            </w:r>
          </w:p>
        </w:tc>
      </w:tr>
      <w:tr>
        <w:trPr>
          <w:trHeight w:val="125"/>
        </w:trPr>
        <w:tc>
          <w:tcPr>
            <w:tcW w:w="24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120" w:type="dxa"/>
            <w:vAlign w:val="bottom"/>
            <w:gridSpan w:val="2"/>
          </w:tcPr>
          <w:p>
            <w:pPr>
              <w:spacing w:after="0"/>
              <w:rPr>
                <w:sz w:val="10"/>
                <w:szCs w:val="10"/>
                <w:color w:val="auto"/>
              </w:rPr>
            </w:pPr>
          </w:p>
        </w:tc>
      </w:tr>
      <w:tr>
        <w:trPr>
          <w:trHeight w:val="284"/>
        </w:trPr>
        <w:tc>
          <w:tcPr>
            <w:tcW w:w="244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Country</w:t>
            </w:r>
          </w:p>
        </w:tc>
        <w:tc>
          <w:tcPr>
            <w:tcW w:w="2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Patent</w:t>
            </w:r>
          </w:p>
        </w:tc>
        <w:tc>
          <w:tcPr>
            <w:tcW w:w="1420" w:type="dxa"/>
            <w:vAlign w:val="bottom"/>
            <w:tcBorders>
              <w:top w:val="single" w:sz="8" w:color="auto"/>
              <w:bottom w:val="single" w:sz="8" w:color="auto"/>
            </w:tcBorders>
          </w:tcPr>
          <w:p>
            <w:pPr>
              <w:spacing w:after="0"/>
              <w:rPr>
                <w:sz w:val="24"/>
                <w:szCs w:val="24"/>
                <w:color w:val="auto"/>
              </w:rPr>
            </w:pPr>
          </w:p>
        </w:tc>
        <w:tc>
          <w:tcPr>
            <w:tcW w:w="4960" w:type="dxa"/>
            <w:vAlign w:val="bottom"/>
            <w:tcBorders>
              <w:top w:val="single" w:sz="8" w:color="auto"/>
              <w:bottom w:val="single" w:sz="8" w:color="auto"/>
              <w:right w:val="single" w:sz="8" w:color="auto"/>
            </w:tcBorders>
          </w:tcPr>
          <w:p>
            <w:pPr>
              <w:jc w:val="right"/>
              <w:ind w:right="1613"/>
              <w:spacing w:after="0"/>
              <w:rPr>
                <w:sz w:val="20"/>
                <w:szCs w:val="20"/>
                <w:color w:val="auto"/>
              </w:rPr>
            </w:pPr>
            <w:r>
              <w:rPr>
                <w:rFonts w:ascii="Arial" w:cs="Arial" w:eastAsia="Arial" w:hAnsi="Arial"/>
                <w:sz w:val="22"/>
                <w:szCs w:val="22"/>
                <w:b w:val="1"/>
                <w:bCs w:val="1"/>
                <w:color w:val="auto"/>
              </w:rPr>
              <w:t>Serial/Patent No.</w:t>
            </w:r>
          </w:p>
        </w:tc>
        <w:tc>
          <w:tcPr>
            <w:tcW w:w="160" w:type="dxa"/>
            <w:vAlign w:val="bottom"/>
          </w:tcPr>
          <w:p>
            <w:pPr>
              <w:spacing w:after="0"/>
              <w:rPr>
                <w:sz w:val="24"/>
                <w:szCs w:val="24"/>
                <w:color w:val="auto"/>
              </w:rPr>
            </w:pPr>
          </w:p>
        </w:tc>
      </w:tr>
      <w:tr>
        <w:trPr>
          <w:trHeight w:val="280"/>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287"/>
        </w:trPr>
        <w:tc>
          <w:tcPr>
            <w:tcW w:w="244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74"/>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1420" w:type="dxa"/>
            <w:vAlign w:val="bottom"/>
            <w:tcBorders>
              <w:right w:val="single" w:sz="8" w:color="auto"/>
            </w:tcBorders>
          </w:tcPr>
          <w:p>
            <w:pPr>
              <w:spacing w:after="0"/>
              <w:rPr>
                <w:sz w:val="23"/>
                <w:szCs w:val="23"/>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15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94"/>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567"/>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578"/>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SUBLICENSE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SUBLICENSE 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Agreement</w:t>
      </w:r>
      <w:r>
        <w:rPr>
          <w:rFonts w:ascii="Arial" w:cs="Arial" w:eastAsia="Arial" w:hAnsi="Arial"/>
          <w:sz w:val="22"/>
          <w:szCs w:val="22"/>
          <w:color w:val="auto"/>
        </w:rPr>
        <w:t>”) is made and signed as of January 28, 2014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DVS SCIENCES INC.</w:t>
      </w:r>
      <w:r>
        <w:rPr>
          <w:rFonts w:ascii="Arial" w:cs="Arial" w:eastAsia="Arial" w:hAnsi="Arial"/>
          <w:sz w:val="22"/>
          <w:szCs w:val="22"/>
          <w:color w:val="auto"/>
        </w:rPr>
        <w:t>, a company incorporated under the laws of Ontario, with a principal place of business at 70 Peninsula Crescent, Richmond Hill, Ontario, Canada, L4S 1Z5 (“</w:t>
      </w:r>
      <w:r>
        <w:rPr>
          <w:rFonts w:ascii="Arial" w:cs="Arial" w:eastAsia="Arial" w:hAnsi="Arial"/>
          <w:sz w:val="22"/>
          <w:szCs w:val="22"/>
          <w:b w:val="1"/>
          <w:bCs w:val="1"/>
          <w:color w:val="auto"/>
        </w:rPr>
        <w:t>DVS</w:t>
      </w:r>
      <w:r>
        <w:rPr>
          <w:rFonts w:ascii="Arial" w:cs="Arial" w:eastAsia="Arial" w:hAnsi="Arial"/>
          <w:sz w:val="22"/>
          <w:szCs w:val="22"/>
          <w:color w:val="auto"/>
        </w:rPr>
        <w:t xml:space="preserve">”), on the one hand, and </w:t>
      </w:r>
      <w:r>
        <w:rPr>
          <w:rFonts w:ascii="Arial" w:cs="Arial" w:eastAsia="Arial" w:hAnsi="Arial"/>
          <w:sz w:val="22"/>
          <w:szCs w:val="22"/>
          <w:b w:val="1"/>
          <w:bCs w:val="1"/>
          <w:color w:val="auto"/>
        </w:rPr>
        <w:t>FLUIDIGM CORPORATION,</w:t>
      </w:r>
      <w:r>
        <w:rPr>
          <w:rFonts w:ascii="Arial" w:cs="Arial" w:eastAsia="Arial" w:hAnsi="Arial"/>
          <w:sz w:val="22"/>
          <w:szCs w:val="22"/>
          <w:color w:val="auto"/>
        </w:rPr>
        <w:t xml:space="preserve"> a Delaware corporation with a principal place of business at 7000 Shoreline, Suite 100, South San Francisco, California 94080 (“</w:t>
      </w:r>
      <w:r>
        <w:rPr>
          <w:rFonts w:ascii="Arial" w:cs="Arial" w:eastAsia="Arial" w:hAnsi="Arial"/>
          <w:sz w:val="22"/>
          <w:szCs w:val="22"/>
          <w:b w:val="1"/>
          <w:bCs w:val="1"/>
          <w:color w:val="auto"/>
        </w:rPr>
        <w:t>Fluidigm</w:t>
      </w:r>
      <w:r>
        <w:rPr>
          <w:rFonts w:ascii="Arial" w:cs="Arial" w:eastAsia="Arial" w:hAnsi="Arial"/>
          <w:sz w:val="22"/>
          <w:szCs w:val="22"/>
          <w:color w:val="auto"/>
        </w:rPr>
        <w:t>”), on the other hand. DVS and Fluidigm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DVS and MDS Analytical Technologies, a business unit of MDS Inc. (“</w:t>
      </w:r>
      <w:r>
        <w:rPr>
          <w:rFonts w:ascii="Arial" w:cs="Arial" w:eastAsia="Arial" w:hAnsi="Arial"/>
          <w:sz w:val="22"/>
          <w:szCs w:val="22"/>
          <w:b w:val="1"/>
          <w:bCs w:val="1"/>
          <w:color w:val="auto"/>
        </w:rPr>
        <w:t>MDS AT</w:t>
      </w:r>
      <w:r>
        <w:rPr>
          <w:rFonts w:ascii="Arial" w:cs="Arial" w:eastAsia="Arial" w:hAnsi="Arial"/>
          <w:sz w:val="22"/>
          <w:szCs w:val="22"/>
          <w:color w:val="auto"/>
        </w:rPr>
        <w:t>”), entered into a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July 17, 2008, pursuant to which MDS AT granted to DVS a worldwide, exclusive license, with the right to grant sublicenses, under certain patent rights owned by MDS AT (the “</w:t>
      </w:r>
      <w:r>
        <w:rPr>
          <w:rFonts w:ascii="Arial" w:cs="Arial" w:eastAsia="Arial" w:hAnsi="Arial"/>
          <w:sz w:val="22"/>
          <w:szCs w:val="22"/>
          <w:b w:val="1"/>
          <w:bCs w:val="1"/>
          <w:color w:val="auto"/>
        </w:rPr>
        <w:t>Licensed IP</w:t>
      </w:r>
      <w:r>
        <w:rPr>
          <w:rFonts w:ascii="Arial" w:cs="Arial" w:eastAsia="Arial" w:hAnsi="Arial"/>
          <w:sz w:val="22"/>
          <w:szCs w:val="22"/>
          <w:color w:val="auto"/>
        </w:rPr>
        <w:t>”, as further defined below) [*****] in the field of [*****] (the “</w:t>
      </w:r>
      <w:r>
        <w:rPr>
          <w:rFonts w:ascii="Arial" w:cs="Arial" w:eastAsia="Arial" w:hAnsi="Arial"/>
          <w:sz w:val="22"/>
          <w:szCs w:val="22"/>
          <w:b w:val="1"/>
          <w:bCs w:val="1"/>
          <w:color w:val="auto"/>
        </w:rPr>
        <w:t>License Agreement</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by way of a [*****], MDS AT assigned [*****] the License Agreement and in the Licensed IP to DH</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Technologies Development PTE Ltd., a subsidiary of Danaher Corporation (“</w:t>
      </w:r>
      <w:r>
        <w:rPr>
          <w:rFonts w:ascii="Arial" w:cs="Arial" w:eastAsia="Arial" w:hAnsi="Arial"/>
          <w:sz w:val="22"/>
          <w:szCs w:val="22"/>
          <w:b w:val="1"/>
          <w:bCs w:val="1"/>
          <w:color w:val="auto"/>
        </w:rPr>
        <w:t>DH</w:t>
      </w:r>
      <w:r>
        <w:rPr>
          <w:rFonts w:ascii="Arial" w:cs="Arial" w:eastAsia="Arial" w:hAnsi="Arial"/>
          <w:sz w:val="22"/>
          <w:szCs w:val="22"/>
          <w:color w:val="auto"/>
        </w:rPr>
        <w:t>”), and by way of [*****], DH assigned [*****] the License Agreement and in the Licensed IP to PerkinElmer Health Sciences, Inc. (“</w:t>
      </w:r>
      <w:r>
        <w:rPr>
          <w:rFonts w:ascii="Arial" w:cs="Arial" w:eastAsia="Arial" w:hAnsi="Arial"/>
          <w:sz w:val="22"/>
          <w:szCs w:val="22"/>
          <w:b w:val="1"/>
          <w:bCs w:val="1"/>
          <w:color w:val="auto"/>
        </w:rPr>
        <w:t>PE</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exclusive license was granted to DVS, with diligence obligations, to [*****] the Licensed IP in the Field,</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right to grant sublicenses [*****]; and</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DVS desires to grant to Fluidigm, and Fluidigm wishes to obtain a sublicense under DVS’s interest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IP, to [*****] and to achieve its goal of using [*****] to address [*****] through [*****], using [*****], including through the [*****] the Licensed IP.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and the covenants and promises contained in this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 DEFINITIONS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terms, as defined herein, shall have the same meanings in both their singular and plural forms. Capitalized terms used, but not defined, herein will have the meanings ascribed to them in the License Agreement.: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Affiliate</w:t>
      </w:r>
      <w:r>
        <w:rPr>
          <w:rFonts w:ascii="Arial" w:cs="Arial" w:eastAsia="Arial" w:hAnsi="Arial"/>
          <w:sz w:val="19"/>
          <w:szCs w:val="19"/>
          <w:color w:val="auto"/>
        </w:rPr>
        <w:t>” of any particular Person means any other Person controlling, controlled by or</w:t>
      </w:r>
    </w:p>
    <w:p>
      <w:pPr>
        <w:spacing w:after="0" w:line="200" w:lineRule="exact"/>
        <w:rPr>
          <w:sz w:val="20"/>
          <w:szCs w:val="20"/>
          <w:color w:val="auto"/>
        </w:rPr>
      </w:pPr>
    </w:p>
    <w:p>
      <w:pPr>
        <w:spacing w:after="0" w:line="2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2" w:right="239" w:bottom="1440" w:gutter="0" w:footer="0" w:header="0"/>
        </w:sectPr>
      </w:pPr>
    </w:p>
    <w:bookmarkStart w:id="69" w:name="page70"/>
    <w:bookmarkEnd w:id="69"/>
    <w:p>
      <w:pPr>
        <w:ind w:left="8300"/>
        <w:spacing w:after="0"/>
        <w:rPr>
          <w:sz w:val="20"/>
          <w:szCs w:val="20"/>
          <w:color w:val="auto"/>
        </w:rPr>
      </w:pPr>
      <w:r>
        <w:rPr>
          <w:rFonts w:ascii="Arial" w:cs="Arial" w:eastAsia="Arial" w:hAnsi="Arial"/>
          <w:sz w:val="22"/>
          <w:szCs w:val="22"/>
          <w:b w:val="1"/>
          <w:bCs w:val="1"/>
          <w:color w:val="auto"/>
        </w:rPr>
        <w:t>CONFIDENTIAL TREATMENT</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under common control with such particular Person, where “control” means the possession, directly or indirectly, of the power to direct the management and policies of a Person whether through the ownership of voting securities, contract or otherwise. For purposes of this Agreement, DVS shall be deemed not to be an Affiliate of Fluidigm.</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1.2 “</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Party, any of the following: (i) the acquisition by a Party or such Party’s “group” (within the meaning of Section 13(d)(3) of the Exchange Act), in a single transaction or in a related series of transactions, by way of merger, recapitalization, consolidation or other business combination or purchase of beneficial ownership (within the meaning of Rule 13d-3 under the Exchange Act) of more than 50% of the total voting power of such Party or (ii) the sale, transfer or disposition of all or substantially all of the assets of such Party and its Subsidiaries (on a consolidated basis) to any Person or group (other than such Party or its wholly-owned Subsidiaries).</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has the meaning set forth in Section 12.1.</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Securities Exchange Act of 1934, as amended.</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1.5</w:t>
        <w:tab/>
        <w:t>“</w:t>
      </w:r>
      <w:r>
        <w:rPr>
          <w:rFonts w:ascii="Arial" w:cs="Arial" w:eastAsia="Arial" w:hAnsi="Arial"/>
          <w:sz w:val="22"/>
          <w:szCs w:val="22"/>
          <w:b w:val="1"/>
          <w:bCs w:val="1"/>
          <w:color w:val="auto"/>
        </w:rPr>
        <w:t>Field</w:t>
      </w:r>
      <w:r>
        <w:rPr>
          <w:rFonts w:ascii="Arial" w:cs="Arial" w:eastAsia="Arial" w:hAnsi="Arial"/>
          <w:sz w:val="22"/>
          <w:szCs w:val="22"/>
          <w:color w:val="auto"/>
        </w:rPr>
        <w:t>” means [*****].</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Flow Cytometer</w:t>
      </w:r>
      <w:r>
        <w:rPr>
          <w:rFonts w:ascii="Arial" w:cs="Arial" w:eastAsia="Arial" w:hAnsi="Arial"/>
          <w:sz w:val="22"/>
          <w:szCs w:val="22"/>
          <w:color w:val="auto"/>
        </w:rPr>
        <w:t>” means an analytical instrument that provides assay of a biological sample based on the analysis of individual cells or particles.</w:t>
      </w:r>
    </w:p>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Flow Cytometry</w:t>
      </w:r>
      <w:r>
        <w:rPr>
          <w:rFonts w:ascii="Arial" w:cs="Arial" w:eastAsia="Arial" w:hAnsi="Arial"/>
          <w:sz w:val="19"/>
          <w:szCs w:val="19"/>
          <w:color w:val="auto"/>
        </w:rPr>
        <w:t>” means the art of conducting assays with a Flow Cytometer.</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Gross Sales</w:t>
      </w:r>
      <w:r>
        <w:rPr>
          <w:rFonts w:ascii="Arial" w:cs="Arial" w:eastAsia="Arial" w:hAnsi="Arial"/>
          <w:sz w:val="22"/>
          <w:szCs w:val="22"/>
          <w:color w:val="auto"/>
        </w:rPr>
        <w:t>” means, for any Licensed Technology, in the case of a sale of such Licensed Technology by Fluidigm or its Affiliates to a purchaser who is bona fide at arms’ length from and unrelated to Fluidigm with no consideration involved other than the invoice price, Gross Sales means the gross selling price invoiced by Fluidigm (or its Affiliate) to such purchaser for such Licensed Technology. In all other cases, “Gross Sales” means Gross Sales that would have applied, had the Licensed Technology in question been sold to a purchaser who was bona fide at arms’-length and unrelated to DVS, with no consideration involved other than the invoice price.</w:t>
      </w:r>
    </w:p>
    <w:p>
      <w:pPr>
        <w:spacing w:after="0" w:line="2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Improvements</w:t>
      </w:r>
      <w:r>
        <w:rPr>
          <w:rFonts w:ascii="Arial" w:cs="Arial" w:eastAsia="Arial" w:hAnsi="Arial"/>
          <w:sz w:val="19"/>
          <w:szCs w:val="19"/>
          <w:color w:val="auto"/>
        </w:rPr>
        <w:t>” means improvements and developments [*****].</w:t>
      </w:r>
    </w:p>
    <w:p>
      <w:pPr>
        <w:spacing w:after="0" w:line="26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1.10 “</w:t>
      </w:r>
      <w:r>
        <w:rPr>
          <w:rFonts w:ascii="Arial" w:cs="Arial" w:eastAsia="Arial" w:hAnsi="Arial"/>
          <w:sz w:val="19"/>
          <w:szCs w:val="19"/>
          <w:b w:val="1"/>
          <w:bCs w:val="1"/>
          <w:color w:val="auto"/>
        </w:rPr>
        <w:t>Licensed IP</w:t>
      </w:r>
      <w:r>
        <w:rPr>
          <w:rFonts w:ascii="Arial" w:cs="Arial" w:eastAsia="Arial" w:hAnsi="Arial"/>
          <w:sz w:val="19"/>
          <w:szCs w:val="19"/>
          <w:color w:val="auto"/>
        </w:rPr>
        <w:t>” means the patents and/or patent applications listed in Schedule A to the License Agreement, and all continuations, continuations in part and divisions thereof, and all further patent applications claiming or describing inventions contained in, or claiming priority to, any of the foregoing, and all patents which may issue from any of such patent applications.</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Product</w:t>
      </w:r>
      <w:r>
        <w:rPr>
          <w:rFonts w:ascii="Arial" w:cs="Arial" w:eastAsia="Arial" w:hAnsi="Arial"/>
          <w:sz w:val="19"/>
          <w:szCs w:val="19"/>
          <w:color w:val="auto"/>
        </w:rPr>
        <w:t>” means the ICP MS-based Flow Cytometer that is within a Valid Claim of Licensed IP and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2"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4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Reagent</w:t>
      </w:r>
      <w:r>
        <w:rPr>
          <w:rFonts w:ascii="Arial" w:cs="Arial" w:eastAsia="Arial" w:hAnsi="Arial"/>
          <w:sz w:val="19"/>
          <w:szCs w:val="19"/>
          <w:color w:val="auto"/>
        </w:rPr>
        <w:t>” means reagent or kit that is within a Valid Claim of Licensed IP.</w:t>
      </w: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Technology</w:t>
      </w:r>
      <w:r>
        <w:rPr>
          <w:rFonts w:ascii="Arial" w:cs="Arial" w:eastAsia="Arial" w:hAnsi="Arial"/>
          <w:sz w:val="19"/>
          <w:szCs w:val="19"/>
          <w:color w:val="auto"/>
        </w:rPr>
        <w:t>” means the Licensed Products and the Licensed Reagents.</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a partnership, a corporation, a limited liability company, an association, a joint stock company, a trust, a joint venture, an unincorporated organization, a governmental entity or any other entity.</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b w:val="1"/>
          <w:bCs w:val="1"/>
          <w:color w:val="auto"/>
        </w:rPr>
        <w:t>Subsidiary</w:t>
      </w:r>
      <w:r>
        <w:rPr>
          <w:rFonts w:ascii="Arial" w:cs="Arial" w:eastAsia="Arial" w:hAnsi="Arial"/>
          <w:sz w:val="22"/>
          <w:szCs w:val="22"/>
          <w:color w:val="auto"/>
        </w:rPr>
        <w:t>” means, with respect to either Party, any corporation of which a majority of the total voting power of shares of stock entitled (without regard to the occurrence of any contingency) to vote in the election of directors, managers or trustees thereof is at the time owned or controlled, directly or indirectly, by such Party or one or more of the other Subsidiaries of such Party or a combination thereof, or any partnership, association or other business entity of which a majority of the partnership or other similar ownership interest is at the time owned or controlled, directly or indirectly, by such Party or one or more Subsidiaries of such Party or a combination thereof.</w:t>
      </w:r>
    </w:p>
    <w:p>
      <w:pPr>
        <w:spacing w:after="0" w:line="22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DVS or Fluidigm, or their respective Affiliates.</w:t>
      </w:r>
    </w:p>
    <w:p>
      <w:pPr>
        <w:spacing w:after="0" w:line="26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Valid Claim</w:t>
      </w:r>
      <w:r>
        <w:rPr>
          <w:rFonts w:ascii="Arial" w:cs="Arial" w:eastAsia="Arial" w:hAnsi="Arial"/>
          <w:sz w:val="22"/>
          <w:szCs w:val="22"/>
          <w:color w:val="auto"/>
        </w:rPr>
        <w:t>” means a claim in an issued patent of the Licensed IP which has not (i) expired, (ii) been finally adjudicated invalid or unenforceable, (iii) found invalid or unenforceable, or (iv) been abandoned.</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Year</w:t>
      </w:r>
      <w:r>
        <w:rPr>
          <w:rFonts w:ascii="Arial" w:cs="Arial" w:eastAsia="Arial" w:hAnsi="Arial"/>
          <w:sz w:val="19"/>
          <w:szCs w:val="19"/>
          <w:color w:val="auto"/>
        </w:rPr>
        <w:t>” means a calendar year.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 GRANTS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color w:val="auto"/>
        </w:rPr>
        <w:t>License.</w:t>
      </w:r>
      <w:r>
        <w:rPr>
          <w:rFonts w:ascii="Arial" w:cs="Arial" w:eastAsia="Arial" w:hAnsi="Arial"/>
          <w:sz w:val="22"/>
          <w:szCs w:val="22"/>
          <w:color w:val="auto"/>
        </w:rPr>
        <w:t xml:space="preserve"> Subject to the terms and conditions of this Agreement, DVS hereby grants to Fluidigm under the Licensed IP, a [*****] license, [*****] to [*****] in the Field.</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Reservation of Rights.</w:t>
      </w:r>
      <w:r>
        <w:rPr>
          <w:rFonts w:ascii="Arial" w:cs="Arial" w:eastAsia="Arial" w:hAnsi="Arial"/>
          <w:sz w:val="22"/>
          <w:szCs w:val="22"/>
          <w:color w:val="auto"/>
        </w:rPr>
        <w:t xml:space="preserve"> Fluidigm acknowledges and agrees that with the exception of certain rights granted to DVS in relation to Licensed Reagents pursuant to Section 2.2 of the License Agreement, PE retains the rights to [*****]. Except as explicitly set forth herein, neither Party grants the other Party any other rights in or to its intellectual property, or the intellectual property of any Third Party, pursuant to this Agreement.</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color w:val="auto"/>
        </w:rPr>
        <w:t>Termination of Sublicenses.</w:t>
      </w:r>
      <w:r>
        <w:rPr>
          <w:rFonts w:ascii="Arial" w:cs="Arial" w:eastAsia="Arial" w:hAnsi="Arial"/>
          <w:sz w:val="22"/>
          <w:szCs w:val="22"/>
          <w:color w:val="auto"/>
        </w:rPr>
        <w:t xml:space="preserve"> Any [*****] the rights granted in Section 2.1 [*****] in the event of [*****], which results in such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 CONSIDERATION</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Upfront Payment.</w:t>
      </w:r>
      <w:r>
        <w:rPr>
          <w:rFonts w:ascii="Arial" w:cs="Arial" w:eastAsia="Arial" w:hAnsi="Arial"/>
          <w:sz w:val="22"/>
          <w:szCs w:val="22"/>
          <w:color w:val="auto"/>
        </w:rPr>
        <w:t xml:space="preserve"> In consideration for the rights granted to Fluidigm under this Agreement, Fluidigm shall pay to DVS a one-time, non-refundable, non-creditable payment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2" w:right="239" w:bottom="1440" w:gutter="0" w:footer="0" w:header="0"/>
        </w:sectPr>
      </w:pPr>
    </w:p>
    <w:bookmarkStart w:id="71" w:name="page72"/>
    <w:bookmarkEnd w:id="71"/>
    <w:p>
      <w:pPr>
        <w:ind w:left="8300"/>
        <w:spacing w:after="0"/>
        <w:rPr>
          <w:sz w:val="20"/>
          <w:szCs w:val="20"/>
          <w:color w:val="auto"/>
        </w:rPr>
      </w:pPr>
      <w:r>
        <w:rPr>
          <w:rFonts w:ascii="Arial" w:cs="Arial" w:eastAsia="Arial" w:hAnsi="Arial"/>
          <w:sz w:val="22"/>
          <w:szCs w:val="22"/>
          <w:b w:val="1"/>
          <w:bCs w:val="1"/>
          <w:color w:val="auto"/>
        </w:rPr>
        <w:t>CONFIDENTIAL TREATMENT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within five (5) days of the Effective Date and receipt by Fluidigm of an invoice in such amount from DVS, by wire transfer of immediately available funds into an account designated in writing by DVS.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Royalties.</w:t>
      </w:r>
      <w:r>
        <w:rPr>
          <w:rFonts w:ascii="Arial" w:cs="Arial" w:eastAsia="Arial" w:hAnsi="Arial"/>
          <w:sz w:val="22"/>
          <w:szCs w:val="22"/>
          <w:color w:val="auto"/>
        </w:rPr>
        <w:t xml:space="preserve"> In consideration for the rights granted to Fluidigm under this Agreement, Fluidigm shall pay DVS a royalty of [*****] on annual, [*****] Gross Sales.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 PAYMENT</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4.1 Royalties under Section 3.2 shall be calculated quarterly, on the last day of each quarter of the Year (the “</w:t>
      </w:r>
      <w:r>
        <w:rPr>
          <w:rFonts w:ascii="Arial" w:cs="Arial" w:eastAsia="Arial" w:hAnsi="Arial"/>
          <w:sz w:val="22"/>
          <w:szCs w:val="22"/>
          <w:b w:val="1"/>
          <w:bCs w:val="1"/>
          <w:color w:val="auto"/>
        </w:rPr>
        <w:t>Quarter</w:t>
      </w:r>
      <w:r>
        <w:rPr>
          <w:rFonts w:ascii="Arial" w:cs="Arial" w:eastAsia="Arial" w:hAnsi="Arial"/>
          <w:sz w:val="22"/>
          <w:szCs w:val="22"/>
          <w:color w:val="auto"/>
        </w:rPr>
        <w:t>”), and should be payable within one (1) month following the end of each Quarter for Gross Sales by Fluidigm which have occurred during the Quarter in question until the expiration of the last-to-expire Valid Claim.</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4.2 All payments due to DVS under this Agreement shall be made to the credit of DVS. Where Gross Sales are in a currency other than Canadian dollars, the conversion into Canadian dollars shall be calculated at the rate of exchange for Fluidigm to sell such currency quoted by the Canadian Imperial Bank of Commerce on the last day of the Quarter in respect of which payment is due.</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For greater clarity, it is understood and agreed that royalty will be paid only once for each Licensed Technology.</w:t>
      </w:r>
    </w:p>
    <w:p>
      <w:pPr>
        <w:spacing w:after="0" w:line="21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ARTICLE 5. RECORDS AND REPORTS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5.1 Each royalty payment made under this Agreement shall be accompanied by a statement showing particulars of all Gross Sales for the Quarter in question, and the total royalty due and payable to DVS.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5.2 Fluidigm shall keep true and accurate records and books of account containing all data necessary for the determination of the royalties payable hereunder and to evaluate the performance of Fluidigm. DVS may, upon reasonable prior notice (which shall include the name of the accountant referred to below), have such records and books of account inspected (not exceeding twice per annum) by a duly authorized independent chartered accountant, to verify the accuracy of the reports made hereunder. Fluidigm may, by thirty (30) days' notice to DVS upon receiving the notice of inspection referred to above, object to the accountant selected by Fluidigm if such accountant has a conflict of interest, reasonably determined, due to having provided services currently or during the immediately preceding two (2) years to a competitor of Fluidigm in question, and DVS shall then select a different independent chartered accountant who has no such conflict of interest. The accountant shall maintain its findings relating to such inspection in confidence but may disclose to DVS full particulars of any deficiencies or inaccuracies in reports or payments by Fluidigm.</w:t>
      </w:r>
    </w:p>
    <w:p>
      <w:pPr>
        <w:spacing w:after="0" w:line="180"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ARTICLE 6. IMPROVEMENTS (If Applicable)</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Each party shall [*****] during the life of this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2" w:right="239" w:bottom="1440" w:gutter="0" w:footer="0" w:header="0"/>
        </w:sectPr>
      </w:pPr>
    </w:p>
    <w:bookmarkStart w:id="72" w:name="page73"/>
    <w:bookmarkEnd w:id="72"/>
    <w:p>
      <w:pPr>
        <w:ind w:left="8300"/>
        <w:spacing w:after="0"/>
        <w:rPr>
          <w:sz w:val="20"/>
          <w:szCs w:val="20"/>
          <w:color w:val="auto"/>
        </w:rPr>
      </w:pPr>
      <w:r>
        <w:rPr>
          <w:rFonts w:ascii="Arial" w:cs="Arial" w:eastAsia="Arial" w:hAnsi="Arial"/>
          <w:sz w:val="22"/>
          <w:szCs w:val="22"/>
          <w:b w:val="1"/>
          <w:bCs w:val="1"/>
          <w:color w:val="auto"/>
        </w:rPr>
        <w:t>CONFIDENTIAL TREATMENT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6.2 Should [*****], during the term of this Agreement, develop any Improvements [*****], [*****]shall disclose the same to [*****]. [*****] shall grant to [*****] a [*****] license, [*****], to [*****] such Improvements [*****].</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 PATENTS AND PATENT APPLICATIONS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7.1 At all times during the term of this Agreement and, DVS shall control, in consultation with PE, [*****] prosecuting any [*****] relating to [*****].</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7.2 [*****] acknowledges and agrees that PE shall control, in consultation with DVS, [*****] prosecution [*****] of patents and patent applications for the [*****].</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 INFRINGEMENT BY THIRD PARTIES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8.1 If Fluidigm’s exercise of its rights under this license infringes or is alleged or suspected to infringe on the intellectual property rights of an arm's-length third party, then [*****].</w:t>
      </w:r>
    </w:p>
    <w:p>
      <w:pPr>
        <w:spacing w:after="0" w:line="169"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ARTICLE 9. WARRANTIES</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Fluidigm and DVS each represent that they respectively have the capacity and authority to enter into this Agreement.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9.2 DVS represents that it holds an exclusive license from PE under the Licensed IP to [*****] in the Field, and has the [*****] in accordance with [*****].</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9.3 Except as explicitly set forth in this Article 7, neither Party otherwise makes any warranties, express or implied, under this Agreement, including without limitation: (a) the condition of the Licensed Technology or results derived therefrom, or (b) the merchantability, utility, or fitness for a particular purpose of the Licensed Technology or results derived therefrom, or (c) the scope of the Licensed IP or that the Licensed IP may be exploited without infringing other patents.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 INDEMNIFICATION</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10.1 Fluidigm will indemnify, defend and hold harmless DVS, and its Affiliates, employees, representatives or agents of each of the foregoing entities (each a “</w:t>
      </w:r>
      <w:r>
        <w:rPr>
          <w:rFonts w:ascii="Arial" w:cs="Arial" w:eastAsia="Arial" w:hAnsi="Arial"/>
          <w:sz w:val="19"/>
          <w:szCs w:val="19"/>
          <w:b w:val="1"/>
          <w:bCs w:val="1"/>
          <w:color w:val="auto"/>
        </w:rPr>
        <w:t>DVS Indemnitee</w:t>
      </w:r>
      <w:r>
        <w:rPr>
          <w:rFonts w:ascii="Arial" w:cs="Arial" w:eastAsia="Arial" w:hAnsi="Arial"/>
          <w:sz w:val="19"/>
          <w:szCs w:val="19"/>
          <w:color w:val="auto"/>
        </w:rPr>
        <w:t>”), from and against all actions, suits, claims or proceedings and any damages, costs expenses (including legal costs) or liability of any kind or incurred by any DVS Indemnitee in any Third Party action whatsoever against any DVS Indemnitee, its employees, representatives or agents, including all infringement actions, in each case to the extent resulting from the practice of the Licensed Technology under this Agreement and liability therefrom: (a) arising out of the performance by Fluidigm or by others at the request of Fluidigm functions and/or products contemplated by this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2" w:right="239" w:bottom="1440" w:gutter="0" w:footer="0" w:header="0"/>
        </w:sectPr>
      </w:pPr>
    </w:p>
    <w:bookmarkStart w:id="73" w:name="page74"/>
    <w:bookmarkEnd w:id="73"/>
    <w:p>
      <w:pPr>
        <w:ind w:left="8300"/>
        <w:spacing w:after="0"/>
        <w:rPr>
          <w:sz w:val="20"/>
          <w:szCs w:val="20"/>
          <w:color w:val="auto"/>
        </w:rPr>
      </w:pPr>
      <w:r>
        <w:rPr>
          <w:rFonts w:ascii="Arial" w:cs="Arial" w:eastAsia="Arial" w:hAnsi="Arial"/>
          <w:sz w:val="22"/>
          <w:szCs w:val="22"/>
          <w:b w:val="1"/>
          <w:bCs w:val="1"/>
          <w:color w:val="auto"/>
        </w:rPr>
        <w:t>CONFIDENTIAL TREATMENT</w:t>
      </w:r>
    </w:p>
    <w:p>
      <w:pPr>
        <w:spacing w:after="0" w:line="25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Agreement, or (b) resulting from the negligent acts or omissions of Fluidigm's employees, representatives or agents in connection with this Agreement, whether or not information or material supplied by any DVS Indemnitee is utilized, or (c) in respect of any direct, consequential or other damage awarded against any DVS Indemnitee resulting from the use, sale or other disposition by Fluidigm or its customers of Licensed Technology. For clarity, any action, suit, claim or proceeding brought by PE against any DVS Indemnitee with respect to DVS’s indemnification obligations pursuant to Section 12.1 of the License Agreement that arise from activities by Fluidigm or its Affiliates that fall within the foregoing subsections (a), (b) and (c) of this Section 10.1 shall be considered a Third Party action for the purposes of Fluidigm’s indemnification obligations pursuant to this Section 10.1.</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10.2. DVS will indemnify, defend and hold harmless Fluidigm, its Affiliates, employees, representatives or agents, from and against all actions, suits, claims or proceedings and any damages, costs expenses (including reasonable legal costs) or liability of any kind or incurred by Fluidigm in any Third Party action whatsoever against Fluidigm, its Affiliates, employees, representatives or agents: resulting from the negligent acts or omissions of DVS's employees, representatives or agents in connection with this Agreement.</w:t>
      </w:r>
    </w:p>
    <w:p>
      <w:pPr>
        <w:spacing w:after="0" w:line="19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10.3 Each Party agrees that it will be required to maintain, for so long as is reasonably necessary, general comprehensive liability and product liability insurance in an amount reasonably necessary to enable them to carry out their obligations under this section.</w:t>
      </w:r>
    </w:p>
    <w:p>
      <w:pPr>
        <w:spacing w:after="0" w:line="10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The indemnification obligations of the Parties under Sections 10.1 and 10.2 shall apply only if:</w:t>
      </w:r>
    </w:p>
    <w:p>
      <w:pPr>
        <w:spacing w:after="0" w:line="214" w:lineRule="exact"/>
        <w:rPr>
          <w:sz w:val="20"/>
          <w:szCs w:val="20"/>
          <w:color w:val="auto"/>
        </w:rPr>
      </w:pPr>
    </w:p>
    <w:p>
      <w:pPr>
        <w:ind w:right="20" w:firstLine="656"/>
        <w:spacing w:after="0" w:line="269" w:lineRule="auto"/>
        <w:tabs>
          <w:tab w:leader="none" w:pos="958"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Party seeking indemnification (the “</w:t>
      </w:r>
      <w:r>
        <w:rPr>
          <w:rFonts w:ascii="Arial" w:cs="Arial" w:eastAsia="Arial" w:hAnsi="Arial"/>
          <w:sz w:val="22"/>
          <w:szCs w:val="22"/>
          <w:b w:val="1"/>
          <w:bCs w:val="1"/>
          <w:color w:val="auto"/>
        </w:rPr>
        <w:t>Indemnitee</w:t>
      </w:r>
      <w:r>
        <w:rPr>
          <w:rFonts w:ascii="Arial" w:cs="Arial" w:eastAsia="Arial" w:hAnsi="Arial"/>
          <w:sz w:val="22"/>
          <w:szCs w:val="22"/>
          <w:color w:val="auto"/>
        </w:rPr>
        <w:t>”) promptly notifies the other Party (the “</w:t>
      </w:r>
      <w:r>
        <w:rPr>
          <w:rFonts w:ascii="Arial" w:cs="Arial" w:eastAsia="Arial" w:hAnsi="Arial"/>
          <w:sz w:val="22"/>
          <w:szCs w:val="22"/>
          <w:b w:val="1"/>
          <w:bCs w:val="1"/>
          <w:color w:val="auto"/>
        </w:rPr>
        <w:t>Indemnitor</w:t>
      </w:r>
      <w:r>
        <w:rPr>
          <w:rFonts w:ascii="Arial" w:cs="Arial" w:eastAsia="Arial" w:hAnsi="Arial"/>
          <w:sz w:val="22"/>
          <w:szCs w:val="22"/>
          <w:color w:val="auto"/>
        </w:rPr>
        <w:t>”) in writing after the Indemnitee receives notice of any claim; and</w:t>
      </w:r>
    </w:p>
    <w:p>
      <w:pPr>
        <w:spacing w:after="0" w:line="168" w:lineRule="exact"/>
        <w:rPr>
          <w:rFonts w:ascii="Arial" w:cs="Arial" w:eastAsia="Arial" w:hAnsi="Arial"/>
          <w:sz w:val="22"/>
          <w:szCs w:val="22"/>
          <w:color w:val="auto"/>
        </w:rPr>
      </w:pPr>
    </w:p>
    <w:p>
      <w:pPr>
        <w:ind w:left="960" w:hanging="304"/>
        <w:spacing w:after="0"/>
        <w:tabs>
          <w:tab w:leader="none" w:pos="9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Indemnitor is given the opportunity to manage and control the defense and/or settlement of such claim; and</w:t>
      </w:r>
    </w:p>
    <w:p>
      <w:pPr>
        <w:spacing w:after="0" w:line="231" w:lineRule="exact"/>
        <w:rPr>
          <w:rFonts w:ascii="Arial" w:cs="Arial" w:eastAsia="Arial" w:hAnsi="Arial"/>
          <w:sz w:val="21"/>
          <w:szCs w:val="21"/>
          <w:color w:val="auto"/>
        </w:rPr>
      </w:pPr>
    </w:p>
    <w:p>
      <w:pPr>
        <w:ind w:right="20" w:firstLine="656"/>
        <w:spacing w:after="0" w:line="263" w:lineRule="auto"/>
        <w:tabs>
          <w:tab w:leader="none" w:pos="949"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Indemnitee reasonably co-operates with the Indemnitor and its legal representatives in the defense and/or settlement of any such claim; and</w:t>
      </w:r>
    </w:p>
    <w:p>
      <w:pPr>
        <w:spacing w:after="0" w:line="174" w:lineRule="exact"/>
        <w:rPr>
          <w:rFonts w:ascii="Arial" w:cs="Arial" w:eastAsia="Arial" w:hAnsi="Arial"/>
          <w:sz w:val="22"/>
          <w:szCs w:val="22"/>
          <w:color w:val="auto"/>
        </w:rPr>
      </w:pPr>
    </w:p>
    <w:p>
      <w:pPr>
        <w:ind w:firstLine="656"/>
        <w:spacing w:after="0" w:line="263" w:lineRule="auto"/>
        <w:tabs>
          <w:tab w:leader="none" w:pos="1008"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Indemnitee refrains from making any admission of liability or any attempt to settle the claim without the Indemnitor’s prior written consent.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10.5 Notwithstanding the foregoing, the Indemnitor shall not be liable to indemnify any Indemnitee to the extent that the claim arises out of the Indemnitee's negligence, bad faith, willful misconduct, or breach of this Agreement or any obligation to a Third Party.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 TERM AND TERMINATION</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11.1 This Agreement is effective as of the Effective Date and shall, unless terminated earlier in accordance with the remainder of this section, remain in force for a period of [*****] (the “</w:t>
      </w:r>
      <w:r>
        <w:rPr>
          <w:rFonts w:ascii="Arial" w:cs="Arial" w:eastAsia="Arial" w:hAnsi="Arial"/>
          <w:sz w:val="22"/>
          <w:szCs w:val="22"/>
          <w:b w:val="1"/>
          <w:bCs w:val="1"/>
          <w:color w:val="auto"/>
        </w:rPr>
        <w:t>Initial Term</w:t>
      </w:r>
      <w:r>
        <w:rPr>
          <w:rFonts w:ascii="Arial" w:cs="Arial" w:eastAsia="Arial" w:hAnsi="Arial"/>
          <w:sz w:val="22"/>
          <w:szCs w:val="22"/>
          <w:color w:val="auto"/>
        </w:rPr>
        <w:t>”). Following the Initial Term, upon Fluidigm’s written request, and subject to the remainder of this Section 11, the Parties may mutually agree to extend the term of this Agreement for an additional periods of [*****].</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2" w:right="239" w:bottom="1440" w:gutter="0" w:footer="0" w:header="0"/>
        </w:sectPr>
      </w:pPr>
    </w:p>
    <w:bookmarkStart w:id="74" w:name="page75"/>
    <w:bookmarkEnd w:id="74"/>
    <w:p>
      <w:pPr>
        <w:ind w:left="8300"/>
        <w:spacing w:after="0"/>
        <w:rPr>
          <w:sz w:val="20"/>
          <w:szCs w:val="20"/>
          <w:color w:val="auto"/>
        </w:rPr>
      </w:pPr>
      <w:r>
        <w:rPr>
          <w:rFonts w:ascii="Arial" w:cs="Arial" w:eastAsia="Arial" w:hAnsi="Arial"/>
          <w:sz w:val="22"/>
          <w:szCs w:val="22"/>
          <w:b w:val="1"/>
          <w:bCs w:val="1"/>
          <w:color w:val="auto"/>
        </w:rPr>
        <w:t>CONFIDENTIAL TREATMENT</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11.2 DVS may at its option terminate this Agreement immediately (and shall promptly give Fluidigm notice of such termination) and avail itself of such other legal remedies as are appropriate, in the event that Fluidigm at any time becomes insolvent, or makes an assignment for the benefit of creditors, or has a petition in bankruptcy filed against it.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11.3 DVS may at its option terminate this Agreement and all of the rights and licenses granted hereunder upon five (5) days’ written notice to Fluidigm in the event that [*****].</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11.4 If either Party commits a material breach of this Agreement, then the aggrieved Party may give written notice of such breach to the defaulting Party. If such breach is not cured within sixty (60) days from the date of the notice, or if the breach is correctible but not within such sixty (60) days, then if the defaulting Party does not take prompt steps within the sixty (60) days to cure the default and diligently pursue such steps thereafter, then the aggrieved Party may terminate this Agreement by written notice to the other, the written notice to take effect when it is given.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11.5 Fluidigm may terminate this Agreement at any time after the date hereof, either in its entirety or as to any country or countries. Such termination shall be on at least thirty (30) days' written notice.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 CONFIDENTIAL INFORMATION</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12.1 Each Party agrees to respect and maintain Confidential Information as defined in this Section 12.1, which it acquires from the other Party by virtue of this Agreement, and will not disclose to any Third Party nor make any use of such Confidential Information without prior written consent of the other Party, which consent shall not unreasonably be withheld provided that each Party takes such reasonable and contractual steps to ensure that any such Third Party agrees to be under a similar duty of confidentiality with respect to the other Party’s confidential information.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shall mean information deemed to be confidential and disclosed by DVS or Fluidigm (“</w:t>
      </w:r>
      <w:r>
        <w:rPr>
          <w:rFonts w:ascii="Arial" w:cs="Arial" w:eastAsia="Arial" w:hAnsi="Arial"/>
          <w:sz w:val="19"/>
          <w:szCs w:val="19"/>
          <w:b w:val="1"/>
          <w:bCs w:val="1"/>
          <w:color w:val="auto"/>
        </w:rPr>
        <w:t>Provider</w:t>
      </w:r>
      <w:r>
        <w:rPr>
          <w:rFonts w:ascii="Arial" w:cs="Arial" w:eastAsia="Arial" w:hAnsi="Arial"/>
          <w:sz w:val="19"/>
          <w:szCs w:val="19"/>
          <w:color w:val="auto"/>
        </w:rPr>
        <w:t>”) to the other Party (“</w:t>
      </w:r>
      <w:r>
        <w:rPr>
          <w:rFonts w:ascii="Arial" w:cs="Arial" w:eastAsia="Arial" w:hAnsi="Arial"/>
          <w:sz w:val="19"/>
          <w:szCs w:val="19"/>
          <w:b w:val="1"/>
          <w:bCs w:val="1"/>
          <w:color w:val="auto"/>
        </w:rPr>
        <w:t>Recipient</w:t>
      </w:r>
      <w:r>
        <w:rPr>
          <w:rFonts w:ascii="Arial" w:cs="Arial" w:eastAsia="Arial" w:hAnsi="Arial"/>
          <w:sz w:val="19"/>
          <w:szCs w:val="19"/>
          <w:color w:val="auto"/>
        </w:rPr>
        <w:t>”)in confidence and including, but not limited to, know-how, trade secrets, all information, knowledge or data of an intellectual, technical, scientific, commercial, financial or industrial nature, either in written documentation, oral or visual information, whether by inspection of parts or equipment or otherwise, subject to the exceptions set out below. Oral information deemed to be confidential by the Provider, shall be reduced to writing within thirty (30) days from the date of disclosure and provided to the Recipient.</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12.2 The obligations of confidentiality in Section 12.1 shall not apply to information which the Recipient can establish by written proof:</w:t>
      </w:r>
    </w:p>
    <w:p>
      <w:pPr>
        <w:spacing w:after="0" w:line="175" w:lineRule="exact"/>
        <w:rPr>
          <w:sz w:val="20"/>
          <w:szCs w:val="20"/>
          <w:color w:val="auto"/>
        </w:rPr>
      </w:pPr>
    </w:p>
    <w:p>
      <w:pPr>
        <w:ind w:left="920" w:hanging="264"/>
        <w:spacing w:after="0"/>
        <w:tabs>
          <w:tab w:leader="none" w:pos="9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is or becomes a part of the public domain other than by a disclosure in breach of this Agreement;</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was known to the Recipient prior to the Recipient's receipt of the information in question;</w:t>
      </w:r>
    </w:p>
    <w:p>
      <w:pPr>
        <w:spacing w:after="0" w:line="219" w:lineRule="exact"/>
        <w:rPr>
          <w:rFonts w:ascii="Arial" w:cs="Arial" w:eastAsia="Arial" w:hAnsi="Arial"/>
          <w:sz w:val="22"/>
          <w:szCs w:val="22"/>
          <w:color w:val="auto"/>
        </w:rPr>
      </w:pPr>
    </w:p>
    <w:p>
      <w:pPr>
        <w:ind w:left="660" w:hanging="4"/>
        <w:spacing w:after="0" w:line="263" w:lineRule="auto"/>
        <w:tabs>
          <w:tab w:leader="none" w:pos="1047" w:val="left"/>
        </w:tabs>
        <w:numPr>
          <w:ilvl w:val="0"/>
          <w:numId w:val="58"/>
        </w:numPr>
        <w:rPr>
          <w:rFonts w:ascii="Arial" w:cs="Arial" w:eastAsia="Arial" w:hAnsi="Arial"/>
          <w:sz w:val="22"/>
          <w:szCs w:val="22"/>
          <w:color w:val="auto"/>
        </w:rPr>
      </w:pPr>
      <w:r>
        <w:rPr>
          <w:rFonts w:ascii="Arial" w:cs="Arial" w:eastAsia="Arial" w:hAnsi="Arial"/>
          <w:sz w:val="22"/>
          <w:szCs w:val="22"/>
          <w:color w:val="auto"/>
        </w:rPr>
        <w:t>comes into the hands of the Recipient from a third party who is entitled to make such disclosure and has no obligation of confidence to the Provider;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53" w:lineRule="exact"/>
        <w:rPr>
          <w:sz w:val="20"/>
          <w:szCs w:val="20"/>
          <w:color w:val="auto"/>
        </w:rPr>
      </w:pPr>
    </w:p>
    <w:p>
      <w:pPr>
        <w:ind w:left="1020" w:hanging="364"/>
        <w:spacing w:after="0"/>
        <w:tabs>
          <w:tab w:leader="none" w:pos="10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was developed by the Recipient independently of the information received from the Provider; or</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is approved for release by written authorization of the Provider.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 RIGHT OF ASSIGNMENT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13.1 The obligations of Fluidigm hereunder, including the obligation to report and pay royalties, shall run in favor of the successors and assigns or other legal representatives of DVS.</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13.2 Neither Party may assign or otherwise transfer this Agreement without the prior written consent of the other Party. Notwithstanding the foregoing, and subject to Section 11.3, either Party may assign or otherwise transfer this Agreement to a Third Party successor in interest in the context of a merger, sale or acquisition of such Party, or a sale of all or substantially all of the business or assets of such Party to which this Agreement relates.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 USE OF OTHER PARTY'S NAME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12.1 Neither party shall use the other party's name, or the name of MDS AT or PE in any advertising material relating to Licensed Technology, without the prior written consent of the other party, as well as consent as to the content of such advertising material relating to the Licensed Technology by the other party.</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12.2 Each party shall obtain the prior approval of the other, such approval not to be unreasonably withheld or delayed, to the content of any written publicity, news release or other public statement or announcement relating to this Agreement, prior to originating or releasing it; provided that each Party shall be permitted to make any such statements or announcements to the extent required by applicable laws, rules and regulations.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 MISCELLANEOUS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13.1 If any term of this Agreement is held invalid by a court of competent jurisdiction, such provision shall be deemed to be of no effect and the remainder of this Agreement shall continue in force. The parties shall use their best efforts to replace the invalid term with a term which is valid and as nearly as possible achieves the intent of the invalid term.</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13.2 Each Party is an independent contractor, and neither is an agent of the other nor is responsible for the debts and obligations of the other. Neither Party has any authority to commit or bind the other pursuant to this Agreement.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13.3 All notices and other communications required or permitted to be given hereunder shall be in writing and shall be sent to the following addresses or such other addresses as the Parties may from time to time advise: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Copy to: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DVS Sciences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Copy to:</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order for any notices, requests, directions, or other communications to be effective, they will be delivered in person; or, sent by registered mail, or facsimile addressed to the party for whom it is intended at the above-mentioned address and will be deemed to have been received, if sent by registered mail, within five (5) days from the date of the postal receipt; if sent by facsimile or e-mail, when transmitted, as long as the sender subsequently confirms with the recipient that it has been received. The address of either Party may be changed by notice in the manner set out in this provision.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13.4 This Agreement shall inure to the benefit of and shall be binding upon the Parties hereto and their respective successors and permitted assigns.</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13.5 This Agreement constitutes the entire understanding between the Parties concerning the subject matter hereof, and cancels and supersedes any and all prior or contemporaneous negotiations, correspondence, understandings, and agreements, whether oral or written, between the Parties respecting the subject matter hereof, and neither Party shall be liable or bound to the other Party with respect to the subject matter of this Agreement in any manner by any representations, warranties, covenants, or agreements except as specifically set forth herein. Any amendments or modification of this Agreement shall not be binding upon each Party unless it is in writing and signed by a duly authorized representative of each Party.</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13.6 This Agreement shall be interpreted and governed by the laws of the Province of Ontario in Canada as applied to transactions taking place entirely within Ontario between Ontario residents.</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13.7 This Agreement may be executed simultaneously in two counterparts, either one of which need not contain the signature of more than one Party, but both of which taken together shall constitute one and the same agreement. Signatures to this Agreement transmitted by facsimile, by email in “portable document format” or “.pdf”, or by any other electronic means intended to preserve the original graphic and pictorial appearance of this Agreement, shall have the same effect as physical delivery of the paper document bearing original signature. The persons signing on behalf of the Parties to this Agreement hereby warrant and represent that they have authority to execute this Agreement on behalf of, and bind, the Party for whom they have signed.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1" w:right="239" w:bottom="1440" w:gutter="0" w:footer="0" w:header="0"/>
        </w:sectPr>
      </w:pPr>
    </w:p>
    <w:bookmarkStart w:id="77" w:name="page78"/>
    <w:bookmarkEnd w:id="77"/>
    <w:p>
      <w:pPr>
        <w:ind w:left="8300"/>
        <w:spacing w:after="0"/>
        <w:rPr>
          <w:sz w:val="20"/>
          <w:szCs w:val="20"/>
          <w:color w:val="auto"/>
        </w:rPr>
      </w:pPr>
      <w:r>
        <w:rPr>
          <w:rFonts w:ascii="Arial" w:cs="Arial" w:eastAsia="Arial" w:hAnsi="Arial"/>
          <w:sz w:val="22"/>
          <w:szCs w:val="22"/>
          <w:b w:val="1"/>
          <w:bCs w:val="1"/>
          <w:color w:val="auto"/>
        </w:rPr>
        <w:t>CONFIDENTIAL TREATMENT</w:t>
      </w:r>
    </w:p>
    <w:p>
      <w:pPr>
        <w:spacing w:after="0" w:line="247"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as of the Effective Date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720" w:type="dxa"/>
            <w:vAlign w:val="bottom"/>
            <w:gridSpan w:val="2"/>
          </w:tcPr>
          <w:p>
            <w:pPr>
              <w:ind w:left="40"/>
              <w:spacing w:after="0"/>
              <w:rPr>
                <w:sz w:val="20"/>
                <w:szCs w:val="20"/>
                <w:color w:val="auto"/>
              </w:rPr>
            </w:pPr>
            <w:r>
              <w:rPr>
                <w:rFonts w:ascii="Arial" w:cs="Arial" w:eastAsia="Arial" w:hAnsi="Arial"/>
                <w:sz w:val="22"/>
                <w:szCs w:val="22"/>
                <w:b w:val="1"/>
                <w:bCs w:val="1"/>
                <w:color w:val="auto"/>
              </w:rPr>
              <w:t>FLUIDIGM CORPORATION</w:t>
            </w:r>
          </w:p>
        </w:tc>
        <w:tc>
          <w:tcPr>
            <w:tcW w:w="5700" w:type="dxa"/>
            <w:vAlign w:val="bottom"/>
          </w:tcPr>
          <w:p>
            <w:pPr>
              <w:ind w:left="20"/>
              <w:spacing w:after="0"/>
              <w:rPr>
                <w:sz w:val="20"/>
                <w:szCs w:val="20"/>
                <w:color w:val="auto"/>
              </w:rPr>
            </w:pPr>
            <w:r>
              <w:rPr>
                <w:rFonts w:ascii="Arial" w:cs="Arial" w:eastAsia="Arial" w:hAnsi="Arial"/>
                <w:sz w:val="22"/>
                <w:szCs w:val="22"/>
                <w:b w:val="1"/>
                <w:bCs w:val="1"/>
                <w:color w:val="auto"/>
              </w:rPr>
              <w:t>DVS SCIENCES INC.</w:t>
            </w:r>
          </w:p>
        </w:tc>
      </w:tr>
      <w:tr>
        <w:trPr>
          <w:trHeight w:val="63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 [*****]</w:t>
            </w:r>
          </w:p>
        </w:tc>
        <w:tc>
          <w:tcPr>
            <w:tcW w:w="340" w:type="dxa"/>
            <w:vAlign w:val="bottom"/>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By: [*****]</w:t>
            </w:r>
          </w:p>
        </w:tc>
      </w:tr>
      <w:tr>
        <w:trPr>
          <w:trHeight w:val="280"/>
        </w:trPr>
        <w:tc>
          <w:tcPr>
            <w:tcW w:w="5720" w:type="dxa"/>
            <w:vAlign w:val="bottom"/>
            <w:gridSpan w:val="2"/>
          </w:tcPr>
          <w:p>
            <w:pPr>
              <w:ind w:left="40"/>
              <w:spacing w:after="0"/>
              <w:rPr>
                <w:sz w:val="20"/>
                <w:szCs w:val="20"/>
                <w:color w:val="auto"/>
              </w:rPr>
            </w:pPr>
            <w:r>
              <w:rPr>
                <w:rFonts w:ascii="Arial" w:cs="Arial" w:eastAsia="Arial" w:hAnsi="Arial"/>
                <w:sz w:val="22"/>
                <w:szCs w:val="22"/>
                <w:color w:val="auto"/>
              </w:rPr>
              <w:t>Name: [*****]</w:t>
            </w:r>
          </w:p>
        </w:tc>
        <w:tc>
          <w:tcPr>
            <w:tcW w:w="5700" w:type="dxa"/>
            <w:vAlign w:val="bottom"/>
          </w:tcPr>
          <w:p>
            <w:pPr>
              <w:ind w:left="20"/>
              <w:spacing w:after="0"/>
              <w:rPr>
                <w:sz w:val="20"/>
                <w:szCs w:val="20"/>
                <w:color w:val="auto"/>
              </w:rPr>
            </w:pPr>
            <w:r>
              <w:rPr>
                <w:rFonts w:ascii="Arial" w:cs="Arial" w:eastAsia="Arial" w:hAnsi="Arial"/>
                <w:sz w:val="22"/>
                <w:szCs w:val="22"/>
                <w:color w:val="auto"/>
              </w:rPr>
              <w:t>Name: [*****]</w:t>
            </w:r>
          </w:p>
        </w:tc>
      </w:tr>
      <w:tr>
        <w:trPr>
          <w:trHeight w:val="297"/>
        </w:trPr>
        <w:tc>
          <w:tcPr>
            <w:tcW w:w="5720" w:type="dxa"/>
            <w:vAlign w:val="bottom"/>
            <w:gridSpan w:val="2"/>
          </w:tcPr>
          <w:p>
            <w:pPr>
              <w:ind w:left="40"/>
              <w:spacing w:after="0"/>
              <w:rPr>
                <w:sz w:val="20"/>
                <w:szCs w:val="20"/>
                <w:color w:val="auto"/>
              </w:rPr>
            </w:pPr>
            <w:r>
              <w:rPr>
                <w:rFonts w:ascii="Arial" w:cs="Arial" w:eastAsia="Arial" w:hAnsi="Arial"/>
                <w:sz w:val="22"/>
                <w:szCs w:val="22"/>
                <w:color w:val="auto"/>
              </w:rPr>
              <w:t>Title: [*****]</w:t>
            </w:r>
          </w:p>
        </w:tc>
        <w:tc>
          <w:tcPr>
            <w:tcW w:w="5700" w:type="dxa"/>
            <w:vAlign w:val="bottom"/>
          </w:tcPr>
          <w:p>
            <w:pPr>
              <w:ind w:left="20"/>
              <w:spacing w:after="0"/>
              <w:rPr>
                <w:sz w:val="20"/>
                <w:szCs w:val="20"/>
                <w:color w:val="auto"/>
              </w:rPr>
            </w:pPr>
            <w:r>
              <w:rPr>
                <w:rFonts w:ascii="Arial" w:cs="Arial" w:eastAsia="Arial" w:hAnsi="Arial"/>
                <w:sz w:val="22"/>
                <w:szCs w:val="22"/>
                <w:color w:val="auto"/>
              </w:rPr>
              <w:t>Title: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42"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BUSINESS FINANCING MODIFICATION AND WAIVER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Business Financing Modification and Waiver Agreement is entered into as of May 9, 2014, by and between Fluidigm Corporation, a Delaware corporation (the “Borrower”), and Bridge Bank, National Association (“Lender”), and is effective as of March 31, 2014.</w:t>
      </w:r>
    </w:p>
    <w:p>
      <w:pPr>
        <w:spacing w:after="0" w:line="170" w:lineRule="exact"/>
        <w:rPr>
          <w:sz w:val="20"/>
          <w:szCs w:val="20"/>
          <w:color w:val="auto"/>
        </w:rPr>
      </w:pPr>
    </w:p>
    <w:p>
      <w:pPr>
        <w:jc w:val="both"/>
        <w:ind w:firstLine="8"/>
        <w:spacing w:after="0" w:line="312" w:lineRule="auto"/>
        <w:tabs>
          <w:tab w:leader="none" w:pos="38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DESCRIPTION OF EXISTING DOCUMENTS</w:t>
      </w:r>
      <w:r>
        <w:rPr>
          <w:rFonts w:ascii="Arial" w:cs="Arial" w:eastAsia="Arial" w:hAnsi="Arial"/>
          <w:sz w:val="16"/>
          <w:szCs w:val="16"/>
          <w:color w:val="auto"/>
        </w:rPr>
        <w:t>: Borrower and Lender are parties to a Business Financing Agreement, dated December 16, 2010, as amended on February 8, 2011, March 31, 2011, December 21, 2012, and January 29, 2014 (as may be further amended from time to time, the “Business Financing Agreement”). Capitalized terms used without definition herein shall have the meanings assigned to them in the Business Financing Agreement.</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Hereinafter, all indebtedness owing by Borrower to Lender shall be referred to as the “Indebtedness” and the Business Financing Agreement and any and all other documents executed by Borrower in favor of Lender shall be referred to as the “Existing Documents.”</w:t>
      </w:r>
    </w:p>
    <w:p>
      <w:pPr>
        <w:spacing w:after="0" w:line="170"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DESCRIPTION OF CHANGE IN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Modifications to Business Financing Agreement:</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In order to account for new assets acquired by Borrower through Borrower’s acquisition of DVS Sciences, Inc., a Delaware corporation, Section 4.14(a) is hereby amended to delete subsection (y) thereof and, as a result of such deletion, Section 4.14(a) shall hereafter be restated to read as follows:</w:t>
      </w:r>
    </w:p>
    <w:p>
      <w:pPr>
        <w:spacing w:after="0" w:line="181" w:lineRule="exact"/>
        <w:rPr>
          <w:rFonts w:ascii="Arial" w:cs="Arial" w:eastAsia="Arial" w:hAnsi="Arial"/>
          <w:sz w:val="18"/>
          <w:szCs w:val="18"/>
          <w:color w:val="auto"/>
        </w:rPr>
      </w:pPr>
    </w:p>
    <w:p>
      <w:pPr>
        <w:ind w:left="2600" w:hanging="647"/>
        <w:spacing w:after="0" w:line="277" w:lineRule="auto"/>
        <w:tabs>
          <w:tab w:leader="none" w:pos="2600" w:val="left"/>
        </w:tabs>
        <w:numPr>
          <w:ilvl w:val="3"/>
          <w:numId w:val="61"/>
        </w:numPr>
        <w:rPr>
          <w:rFonts w:ascii="Arial" w:cs="Arial" w:eastAsia="Arial" w:hAnsi="Arial"/>
          <w:sz w:val="18"/>
          <w:szCs w:val="18"/>
          <w:color w:val="auto"/>
        </w:rPr>
      </w:pPr>
      <w:r>
        <w:rPr>
          <w:rFonts w:ascii="Arial" w:cs="Arial" w:eastAsia="Arial" w:hAnsi="Arial"/>
          <w:sz w:val="18"/>
          <w:szCs w:val="18"/>
          <w:color w:val="auto"/>
        </w:rPr>
        <w:t>Adjusted Asset Coverage Ratio not at any time less than 1.1 to 1.0, with compliance determined on a quarterly basis if no Advances are outstanding, and on a monthly basis otherwise.</w:t>
      </w:r>
    </w:p>
    <w:p>
      <w:pPr>
        <w:spacing w:after="0" w:line="170" w:lineRule="exact"/>
        <w:rPr>
          <w:rFonts w:ascii="Arial" w:cs="Arial" w:eastAsia="Arial" w:hAnsi="Arial"/>
          <w:sz w:val="18"/>
          <w:szCs w:val="18"/>
          <w:color w:val="auto"/>
        </w:rPr>
      </w:pPr>
    </w:p>
    <w:p>
      <w:pPr>
        <w:jc w:val="both"/>
        <w:ind w:firstLine="8"/>
        <w:spacing w:after="0" w:line="291" w:lineRule="auto"/>
        <w:tabs>
          <w:tab w:leader="none" w:pos="31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Lender hereby waives the Tangible Net Worth covenant set forth in Section 4.14(b) of the Business Financing Agreement for the fiscal quarter ended March 31, 2014; provided, however, that nothing herein, nor any communications among Borrower and Lender shall be deemed a waiver with respect to any other provision of the Business Financing Agreement, or any Default or Events of Default or any failure of Borrower to comply with any other provision of the Agreement or any other Existing Document, and in no event shall this waiver be deemed to be a waiver of enforcement of any of the rights or remedies of Lender under the Business Financing Agreement or any other Existing Document, at law, in equity, or otherwise, with respect to any Default or Event of Default now existing or hereafter arising. Except as expressly provided herein, Lender hereby reserves and preserves all of their rights and remedies against Borrower under the Business Financing Agreement and the other Existing Documents, at law, in equity, or otherwise.</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CONSISTENT CHANGES</w:t>
      </w:r>
      <w:r>
        <w:rPr>
          <w:rFonts w:ascii="Arial" w:cs="Arial" w:eastAsia="Arial" w:hAnsi="Arial"/>
          <w:sz w:val="17"/>
          <w:szCs w:val="17"/>
          <w:color w:val="auto"/>
        </w:rPr>
        <w:t>. The Existing Documents are each hereby amended wherever necessary to reflect the changes described above.</w:t>
      </w:r>
    </w:p>
    <w:p>
      <w:pPr>
        <w:spacing w:after="0" w:line="236" w:lineRule="exact"/>
        <w:rPr>
          <w:rFonts w:ascii="Arial" w:cs="Arial" w:eastAsia="Arial" w:hAnsi="Arial"/>
          <w:sz w:val="17"/>
          <w:szCs w:val="17"/>
          <w:color w:val="auto"/>
        </w:rPr>
      </w:pPr>
    </w:p>
    <w:p>
      <w:pPr>
        <w:jc w:val="both"/>
        <w:ind w:firstLine="8"/>
        <w:spacing w:after="0" w:line="270" w:lineRule="auto"/>
        <w:tabs>
          <w:tab w:leader="none" w:pos="39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NO DEFENSES OF BORROWER/GENERAL Release</w:t>
      </w:r>
      <w:r>
        <w:rPr>
          <w:rFonts w:ascii="Arial" w:cs="Arial" w:eastAsia="Arial" w:hAnsi="Arial"/>
          <w:sz w:val="17"/>
          <w:szCs w:val="17"/>
          <w:color w:val="auto"/>
        </w:rPr>
        <w:t>. Borrower agrees that, as of this date, it has no defenses against the obligations to pay any amounts under the Indebtedness. Each of Borrower and Guarantor (each, a “Releasing Party”) acknowledges that Lender would not enter into this Business Financing Modification and Waiver Agreement without Releasing Party’s assurance that it has no claims against Lender or any of Lender’s officers, directors, employees or agents. Except for the obligations arising hereafter under this Business Financing Modification and Waiver Agreement, each Releasing Party releases Lender, and each of Lender’s and entity’s officers, directors and employees from any known or unknown claims that Releasing Party now has against Lender of any nature, including any claims that Releasing Party, its successors, counsel, and advisors may in the future discover they would have now if they had known facts not now known to them, whether founded in contract, in tort or pursuant to any other theory of liability, including but not limited to any claims arising out of or related to the Agreement or the transactions contemplated thereby. Releasing Party waives the provisions of California Civil Code section 1542, which states:</w:t>
      </w:r>
    </w:p>
    <w:p>
      <w:pPr>
        <w:spacing w:after="0" w:line="18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provisions, waivers and releases set forth in this section are binding upon each Releasing Party and its shareholders, agents, employees, assigns and successors in interest. The provisions, waivers and releases of this section shall inure to the benefit of Lender and its agents, employees, officers, directors, assigns and successors in interest. The provisions of this section shall survive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18" w:right="239" w:bottom="1440" w:gutter="0" w:footer="0" w:header="0"/>
        </w:sectPr>
      </w:pPr>
    </w:p>
    <w:bookmarkStart w:id="79" w:name="page80"/>
    <w:bookmarkEnd w:id="79"/>
    <w:p>
      <w:pPr>
        <w:spacing w:after="0" w:line="308" w:lineRule="auto"/>
        <w:rPr>
          <w:sz w:val="20"/>
          <w:szCs w:val="20"/>
          <w:color w:val="auto"/>
        </w:rPr>
      </w:pPr>
      <w:r>
        <w:rPr>
          <w:rFonts w:ascii="Arial" w:cs="Arial" w:eastAsia="Arial" w:hAnsi="Arial"/>
          <w:sz w:val="17"/>
          <w:szCs w:val="17"/>
          <w:color w:val="auto"/>
        </w:rPr>
        <w:t>payment in full of the Obligations, full performance of all the terms of this Business Financing Modification and Waiver Agreement and the Business Financing Agreement, and/or Lender’s actions to exercise any remedy available under the Business Financing Agreement or otherwise.</w:t>
      </w:r>
    </w:p>
    <w:p>
      <w:pPr>
        <w:spacing w:after="0" w:line="147" w:lineRule="exact"/>
        <w:rPr>
          <w:sz w:val="20"/>
          <w:szCs w:val="20"/>
          <w:color w:val="auto"/>
        </w:rPr>
      </w:pPr>
    </w:p>
    <w:p>
      <w:pPr>
        <w:jc w:val="both"/>
        <w:ind w:firstLine="8"/>
        <w:spacing w:after="0" w:line="270" w:lineRule="auto"/>
        <w:tabs>
          <w:tab w:leader="none" w:pos="49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CONTINUING VALIDITY</w:t>
      </w:r>
      <w:r>
        <w:rPr>
          <w:rFonts w:ascii="Arial" w:cs="Arial" w:eastAsia="Arial" w:hAnsi="Arial"/>
          <w:sz w:val="17"/>
          <w:szCs w:val="17"/>
          <w:color w:val="auto"/>
        </w:rPr>
        <w:t>. Borrower understands and agrees that in modifying the Existing Documents, Lender is relying upon Borrower’s representations, warranties, and agreements, as set forth therein. Except as expressly modified pursuant to this Business Financing Modification and Waiver Agreement, the terms of the Existing Documents remain unchanged and in full force and effect. Lender’s agreement to modifications to the Existing Documents pursuant to this Business Financing Modification and Waiver Agreement in no way shall obligate Lender to make any future modifications to the Existing Documents or the Indebtedness. Nothing in this Business Financing Modification and Waiver Agreement shall constitute a satisfaction of the Indebtedness. It is the intention of Lender and Borrower to retain as liable parties all makers and endorsers of Existing Documents, unless the party is expressly released by Lender in writing. No maker, endorser, or guarantor will be released by virtue of this Business Financing Modification and Waiver Agreement. The terms of this paragraph apply not only to this Business Financing Modification and Waiver Agreement, but also to any subsequent modification agreements relating to the Business Financing Agreement.</w:t>
      </w:r>
    </w:p>
    <w:p>
      <w:pPr>
        <w:spacing w:after="0" w:line="181" w:lineRule="exact"/>
        <w:rPr>
          <w:rFonts w:ascii="Arial" w:cs="Arial" w:eastAsia="Arial" w:hAnsi="Arial"/>
          <w:sz w:val="17"/>
          <w:szCs w:val="17"/>
          <w:color w:val="auto"/>
        </w:rPr>
      </w:pPr>
    </w:p>
    <w:p>
      <w:pPr>
        <w:ind w:left="5100" w:hanging="245"/>
        <w:spacing w:after="0"/>
        <w:tabs>
          <w:tab w:leader="none" w:pos="5100" w:val="left"/>
        </w:tabs>
        <w:numPr>
          <w:ilvl w:val="1"/>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signatures follow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IN WITNESS WHEREOF, Borrower and Lender have executed this Agreement on the day and year above written.</w:t>
      </w:r>
    </w:p>
    <w:p>
      <w:pPr>
        <w:spacing w:after="0" w:line="200" w:lineRule="exact"/>
        <w:rPr>
          <w:sz w:val="20"/>
          <w:szCs w:val="20"/>
          <w:color w:val="auto"/>
        </w:rPr>
      </w:pPr>
    </w:p>
    <w:p>
      <w:pPr>
        <w:spacing w:after="0" w:line="210" w:lineRule="exact"/>
        <w:rPr>
          <w:sz w:val="20"/>
          <w:szCs w:val="20"/>
          <w:color w:val="auto"/>
        </w:rPr>
      </w:pPr>
    </w:p>
    <w:p>
      <w:pPr>
        <w:ind w:left="420"/>
        <w:spacing w:after="0"/>
        <w:tabs>
          <w:tab w:leader="none" w:pos="5420" w:val="left"/>
        </w:tabs>
        <w:rPr>
          <w:sz w:val="20"/>
          <w:szCs w:val="20"/>
          <w:color w:val="auto"/>
        </w:rPr>
      </w:pPr>
      <w:r>
        <w:rPr>
          <w:rFonts w:ascii="Arial" w:cs="Arial" w:eastAsia="Arial" w:hAnsi="Arial"/>
          <w:sz w:val="18"/>
          <w:szCs w:val="18"/>
          <w:color w:val="auto"/>
        </w:rPr>
        <w:t>BORROWER:</w:t>
      </w:r>
      <w:r>
        <w:rPr>
          <w:sz w:val="20"/>
          <w:szCs w:val="20"/>
          <w:color w:val="auto"/>
        </w:rPr>
        <w:tab/>
      </w:r>
      <w:r>
        <w:rPr>
          <w:rFonts w:ascii="Arial" w:cs="Arial" w:eastAsia="Arial" w:hAnsi="Arial"/>
          <w:sz w:val="18"/>
          <w:szCs w:val="18"/>
          <w:color w:val="auto"/>
        </w:rPr>
        <w:t>LENDER:</w:t>
      </w:r>
    </w:p>
    <w:p>
      <w:pPr>
        <w:sectPr>
          <w:pgSz w:w="11900" w:h="16838" w:orient="portrait"/>
          <w:cols w:equalWidth="0" w:num="1">
            <w:col w:w="10219"/>
          </w:cols>
          <w:pgMar w:left="240" w:top="5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FLUIDIGM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BRIDGE BANK, NATIONAL ASSOCIATION</w:t>
      </w:r>
    </w:p>
    <w:p>
      <w:pPr>
        <w:spacing w:after="0" w:line="200" w:lineRule="exact"/>
        <w:rPr>
          <w:sz w:val="20"/>
          <w:szCs w:val="20"/>
          <w:color w:val="auto"/>
        </w:rPr>
      </w:pPr>
    </w:p>
    <w:p>
      <w:pPr>
        <w:sectPr>
          <w:pgSz w:w="11900" w:h="16838" w:orient="portrait"/>
          <w:cols w:equalWidth="0" w:num="2">
            <w:col w:w="4720" w:space="720"/>
            <w:col w:w="4779"/>
          </w:cols>
          <w:pgMar w:left="240" w:top="584" w:right="1440" w:bottom="1440" w:gutter="0" w:footer="0" w:header="0"/>
          <w:type w:val="continuous"/>
        </w:sectPr>
      </w:pPr>
    </w:p>
    <w:p>
      <w:pPr>
        <w:spacing w:after="0" w:line="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/s/ Vikram Jog</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Vikram Jog</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By: /s/ Chris Hill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Chris Hill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Senior Vice President</w:t>
      </w:r>
    </w:p>
    <w:p>
      <w:pPr>
        <w:spacing w:after="0" w:line="211" w:lineRule="exact"/>
        <w:rPr>
          <w:sz w:val="20"/>
          <w:szCs w:val="20"/>
          <w:color w:val="auto"/>
        </w:rPr>
      </w:pPr>
    </w:p>
    <w:p>
      <w:pPr>
        <w:sectPr>
          <w:pgSz w:w="11900" w:h="16838" w:orient="portrait"/>
          <w:cols w:equalWidth="0" w:num="2">
            <w:col w:w="4720" w:space="720"/>
            <w:col w:w="4779"/>
          </w:cols>
          <w:pgMar w:left="240" w:top="5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584" w:right="1440"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May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880" w:val="left"/>
          <w:tab w:leader="none" w:pos="6480" w:val="left"/>
        </w:tabs>
        <w:rPr>
          <w:sz w:val="20"/>
          <w:szCs w:val="20"/>
          <w:color w:val="auto"/>
        </w:rPr>
      </w:pPr>
      <w:r>
        <w:rPr>
          <w:rFonts w:ascii="Arial" w:cs="Arial" w:eastAsia="Arial" w:hAnsi="Arial"/>
          <w:sz w:val="18"/>
          <w:szCs w:val="18"/>
          <w:color w:val="auto"/>
        </w:rPr>
        <w:t>Dated: May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44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980" w:firstLine="886"/>
        <w:spacing w:after="0" w:line="277" w:lineRule="auto"/>
        <w:tabs>
          <w:tab w:leader="none" w:pos="109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2014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654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Date: May 12, 2014</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980" w:firstLine="886"/>
        <w:spacing w:after="0" w:line="277" w:lineRule="auto"/>
        <w:tabs>
          <w:tab w:leader="none" w:pos="10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2014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658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Date: May 12,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2"/>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upperLetter"/>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2"/>
    </w:lvl>
  </w:abstractNum>
  <w:abstractNum w:abstractNumId="30">
    <w:nsid w:val="32FFF902"/>
    <w:multiLevelType w:val="hybridMultilevel"/>
    <w:lvl w:ilvl="0">
      <w:lvlJc w:val="left"/>
      <w:lvlText w:val="%1."/>
      <w:numFmt w:val="decimal"/>
      <w:start w:val="3"/>
    </w:lvl>
  </w:abstractNum>
  <w:abstractNum w:abstractNumId="31">
    <w:nsid w:val="684A481A"/>
    <w:multiLevelType w:val="hybridMultilevel"/>
    <w:lvl w:ilvl="0">
      <w:lvlJc w:val="left"/>
      <w:lvlText w:val="(%1)"/>
      <w:numFmt w:val="lowerRoman"/>
      <w:start w:val="1"/>
    </w:lvl>
  </w:abstractNum>
  <w:abstractNum w:abstractNumId="32">
    <w:nsid w:val="579478FE"/>
    <w:multiLevelType w:val="hybridMultilevel"/>
    <w:lvl w:ilvl="0">
      <w:lvlJc w:val="left"/>
      <w:lvlText w:val="%1."/>
      <w:numFmt w:val="decimal"/>
      <w:start w:val="4"/>
    </w:lvl>
  </w:abstractNum>
  <w:abstractNum w:abstractNumId="33">
    <w:nsid w:val="749ABB43"/>
    <w:multiLevelType w:val="hybridMultilevel"/>
    <w:lvl w:ilvl="0">
      <w:lvlJc w:val="left"/>
      <w:lvlText w:val="%1."/>
      <w:numFmt w:val="decimal"/>
      <w:start w:val="5"/>
    </w:lvl>
  </w:abstractNum>
  <w:abstractNum w:abstractNumId="34">
    <w:nsid w:val="3DC240FB"/>
    <w:multiLevelType w:val="hybridMultilevel"/>
    <w:lvl w:ilvl="0">
      <w:lvlJc w:val="left"/>
      <w:lvlText w:val="(%1)"/>
      <w:numFmt w:val="lowerRoman"/>
      <w:start w:val="1"/>
    </w:lvl>
  </w:abstractNum>
  <w:abstractNum w:abstractNumId="35">
    <w:nsid w:val="1BA026FA"/>
    <w:multiLevelType w:val="hybridMultilevel"/>
    <w:lvl w:ilvl="0">
      <w:lvlJc w:val="left"/>
      <w:lvlText w:val="%1."/>
      <w:numFmt w:val="decimal"/>
      <w:start w:val="6"/>
    </w:lvl>
  </w:abstractNum>
  <w:abstractNum w:abstractNumId="36">
    <w:nsid w:val="79A1DEAA"/>
    <w:multiLevelType w:val="hybridMultilevel"/>
    <w:lvl w:ilvl="0">
      <w:lvlJc w:val="left"/>
      <w:lvlText w:val="%1."/>
      <w:numFmt w:val="decimal"/>
      <w:start w:val="7"/>
    </w:lvl>
  </w:abstractNum>
  <w:abstractNum w:abstractNumId="37">
    <w:nsid w:val="75C6C33A"/>
    <w:multiLevelType w:val="hybridMultilevel"/>
    <w:lvl w:ilvl="0">
      <w:lvlJc w:val="left"/>
      <w:lvlText w:val="%1."/>
      <w:numFmt w:val="decimal"/>
      <w:start w:val="8"/>
    </w:lvl>
  </w:abstractNum>
  <w:abstractNum w:abstractNumId="38">
    <w:nsid w:val="12E685FB"/>
    <w:multiLevelType w:val="hybridMultilevel"/>
    <w:lvl w:ilvl="0">
      <w:lvlJc w:val="left"/>
      <w:lvlText w:val="%1."/>
      <w:numFmt w:val="decimal"/>
      <w:start w:val="9"/>
    </w:lvl>
  </w:abstractNum>
  <w:abstractNum w:abstractNumId="39">
    <w:nsid w:val="70C6A529"/>
    <w:multiLevelType w:val="hybridMultilevel"/>
    <w:lvl w:ilvl="0">
      <w:lvlJc w:val="left"/>
      <w:lvlText w:val="%1."/>
      <w:numFmt w:val="decimal"/>
      <w:start w:val="10"/>
    </w:lvl>
  </w:abstractNum>
  <w:abstractNum w:abstractNumId="40">
    <w:nsid w:val="520EEDD1"/>
    <w:multiLevelType w:val="hybridMultilevel"/>
    <w:lvl w:ilvl="0">
      <w:lvlJc w:val="left"/>
      <w:lvlText w:val="%1"/>
      <w:numFmt w:val="decimal"/>
      <w:start w:val="1"/>
    </w:lvl>
    <w:lvl w:ilvl="1">
      <w:lvlJc w:val="left"/>
      <w:lvlText w:val="(%2)"/>
      <w:numFmt w:val="lowerRoman"/>
      <w:start w:val="1"/>
    </w:lvl>
  </w:abstractNum>
  <w:abstractNum w:abstractNumId="41">
    <w:nsid w:val="374A3FE6"/>
    <w:multiLevelType w:val="hybridMultilevel"/>
    <w:lvl w:ilvl="0">
      <w:lvlJc w:val="left"/>
      <w:lvlText w:val="%1."/>
      <w:numFmt w:val="decimal"/>
      <w:start w:val="11"/>
    </w:lvl>
    <w:lvl w:ilvl="1">
      <w:lvlJc w:val="left"/>
      <w:lvlText w:val="%2"/>
      <w:numFmt w:val="lowerRoman"/>
      <w:start w:val="1"/>
    </w:lvl>
  </w:abstractNum>
  <w:abstractNum w:abstractNumId="42">
    <w:nsid w:val="4F4EF005"/>
    <w:multiLevelType w:val="hybridMultilevel"/>
    <w:lvl w:ilvl="0">
      <w:lvlJc w:val="left"/>
      <w:lvlText w:val="%1"/>
      <w:numFmt w:val="decimal"/>
      <w:start w:val="1"/>
    </w:lvl>
    <w:lvl w:ilvl="1">
      <w:lvlJc w:val="left"/>
      <w:lvlText w:val="(%2)"/>
      <w:numFmt w:val="lowerRoman"/>
      <w:start w:val="1"/>
    </w:lvl>
  </w:abstractNum>
  <w:abstractNum w:abstractNumId="43">
    <w:nsid w:val="23F9C13C"/>
    <w:multiLevelType w:val="hybridMultilevel"/>
    <w:lvl w:ilvl="0">
      <w:lvlJc w:val="left"/>
      <w:lvlText w:val="%1."/>
      <w:numFmt w:val="decimal"/>
      <w:start w:val="12"/>
    </w:lvl>
    <w:lvl w:ilvl="1">
      <w:lvlJc w:val="left"/>
      <w:lvlText w:val="%2"/>
      <w:numFmt w:val="lowerRoman"/>
      <w:start w:val="1"/>
    </w:lvl>
  </w:abstractNum>
  <w:abstractNum w:abstractNumId="44">
    <w:nsid w:val="649BB77C"/>
    <w:multiLevelType w:val="hybridMultilevel"/>
    <w:lvl w:ilvl="0">
      <w:lvlJc w:val="left"/>
      <w:lvlText w:val="(%1)"/>
      <w:numFmt w:val="lowerRoman"/>
      <w:start w:val="1"/>
    </w:lvl>
  </w:abstractNum>
  <w:abstractNum w:abstractNumId="45">
    <w:nsid w:val="275AC794"/>
    <w:multiLevelType w:val="hybridMultilevel"/>
    <w:lvl w:ilvl="0">
      <w:lvlJc w:val="left"/>
      <w:lvlText w:val="(%1)"/>
      <w:numFmt w:val="lowerRoman"/>
      <w:start w:val="1"/>
    </w:lvl>
  </w:abstractNum>
  <w:abstractNum w:abstractNumId="46">
    <w:nsid w:val="39386575"/>
    <w:multiLevelType w:val="hybridMultilevel"/>
    <w:lvl w:ilvl="0">
      <w:lvlJc w:val="left"/>
      <w:lvlText w:val="(%1)"/>
      <w:numFmt w:val="lowerRoman"/>
      <w:start w:val="1"/>
    </w:lvl>
  </w:abstractNum>
  <w:abstractNum w:abstractNumId="47">
    <w:nsid w:val="1CF10FD8"/>
    <w:multiLevelType w:val="hybridMultilevel"/>
    <w:lvl w:ilvl="0">
      <w:lvlJc w:val="left"/>
      <w:lvlText w:val="%1."/>
      <w:numFmt w:val="decimal"/>
      <w:start w:val="13"/>
    </w:lvl>
  </w:abstractNum>
  <w:abstractNum w:abstractNumId="48">
    <w:nsid w:val="180115BE"/>
    <w:multiLevelType w:val="hybridMultilevel"/>
    <w:lvl w:ilvl="0">
      <w:lvlJc w:val="left"/>
      <w:lvlText w:val="%1."/>
      <w:numFmt w:val="decimal"/>
      <w:start w:val="14"/>
    </w:lvl>
  </w:abstractNum>
  <w:abstractNum w:abstractNumId="49">
    <w:nsid w:val="235BA861"/>
    <w:multiLevelType w:val="hybridMultilevel"/>
    <w:lvl w:ilvl="0">
      <w:lvlJc w:val="left"/>
      <w:lvlText w:val="%1"/>
      <w:numFmt w:val="decimal"/>
      <w:start w:val="1"/>
    </w:lvl>
    <w:lvl w:ilvl="1">
      <w:lvlJc w:val="left"/>
      <w:lvlText w:val="(%2)"/>
      <w:numFmt w:val="lowerRoman"/>
      <w:start w:val="1"/>
    </w:lvl>
  </w:abstractNum>
  <w:abstractNum w:abstractNumId="50">
    <w:nsid w:val="47398C89"/>
    <w:multiLevelType w:val="hybridMultilevel"/>
    <w:lvl w:ilvl="0">
      <w:lvlJc w:val="left"/>
      <w:lvlText w:val="%1."/>
      <w:numFmt w:val="decimal"/>
      <w:start w:val="15"/>
    </w:lvl>
    <w:lvl w:ilvl="1">
      <w:lvlJc w:val="left"/>
      <w:lvlText w:val="%2"/>
      <w:numFmt w:val="lowerRoman"/>
      <w:start w:val="1"/>
    </w:lvl>
  </w:abstractNum>
  <w:abstractNum w:abstractNumId="51">
    <w:nsid w:val="354FE9F9"/>
    <w:multiLevelType w:val="hybridMultilevel"/>
    <w:lvl w:ilvl="0">
      <w:lvlJc w:val="left"/>
      <w:lvlText w:val="%1."/>
      <w:numFmt w:val="decimal"/>
      <w:start w:val="16"/>
    </w:lvl>
  </w:abstractNum>
  <w:abstractNum w:abstractNumId="52">
    <w:nsid w:val="15B5AF5C"/>
    <w:multiLevelType w:val="hybridMultilevel"/>
    <w:lvl w:ilvl="0">
      <w:lvlJc w:val="left"/>
      <w:lvlText w:val="%1."/>
      <w:numFmt w:val="decimal"/>
      <w:start w:val="17"/>
    </w:lvl>
  </w:abstractNum>
  <w:abstractNum w:abstractNumId="53">
    <w:nsid w:val="741226BB"/>
    <w:multiLevelType w:val="hybridMultilevel"/>
    <w:lvl w:ilvl="0">
      <w:lvlJc w:val="left"/>
      <w:lvlText w:val="%1."/>
      <w:numFmt w:val="decimal"/>
      <w:start w:val="18"/>
    </w:lvl>
  </w:abstractNum>
  <w:abstractNum w:abstractNumId="54">
    <w:nsid w:val="D34B6A8"/>
    <w:multiLevelType w:val="hybridMultilevel"/>
    <w:lvl w:ilvl="0">
      <w:lvlJc w:val="left"/>
      <w:lvlText w:val="%1."/>
      <w:numFmt w:val="decimal"/>
      <w:start w:val="19"/>
    </w:lvl>
  </w:abstractNum>
  <w:abstractNum w:abstractNumId="55">
    <w:nsid w:val="10233C99"/>
    <w:multiLevelType w:val="hybridMultilevel"/>
    <w:lvl w:ilvl="0">
      <w:lvlJc w:val="left"/>
      <w:lvlText w:val="%1."/>
      <w:numFmt w:val="decimal"/>
      <w:start w:val="20"/>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lowerRoman"/>
      <w:start w:val="1"/>
    </w:lvl>
  </w:abstractNum>
  <w:abstractNum w:abstractNumId="58">
    <w:nsid w:val="7E0C57B1"/>
    <w:multiLevelType w:val="hybridMultilevel"/>
    <w:lvl w:ilvl="0">
      <w:lvlJc w:val="left"/>
      <w:lvlText w:val="(%1)"/>
      <w:numFmt w:val="lowerRoman"/>
      <w:start w:val="4"/>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61">
    <w:nsid w:val="310C50B3"/>
    <w:multiLevelType w:val="hybridMultilevel"/>
    <w:lvl w:ilvl="0">
      <w:lvlJc w:val="left"/>
      <w:lvlText w:val="%1."/>
      <w:numFmt w:val="decimal"/>
      <w:start w:val="6"/>
    </w:lvl>
    <w:lvl w:ilvl="1">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2019-12-07T02:41:37Z</dcterms:created>
  <dcterms:modified xsi:type="dcterms:W3CDTF">2019-12-07T02:41:37Z</dcterms:modified>
</cp:coreProperties>
</file>