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8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170815</wp:posOffset>
            </wp:positionV>
            <wp:extent cx="267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9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186690</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360" w:right="880" w:hanging="325"/>
        <w:spacing w:after="0" w:line="256" w:lineRule="auto"/>
        <w:tabs>
          <w:tab w:leader="none" w:pos="3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460" w:right="1260" w:hanging="425"/>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9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283210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FLUIDIGM CORPORATION</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167640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23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82" w:lineRule="exact"/>
        <w:rPr>
          <w:sz w:val="24"/>
          <w:szCs w:val="24"/>
          <w:color w:val="auto"/>
        </w:rPr>
      </w:pPr>
    </w:p>
    <w:p>
      <w:pPr>
        <w:sectPr>
          <w:pgSz w:w="11900" w:h="16838" w:orient="portrait"/>
          <w:cols w:equalWidth="0" w:num="2">
            <w:col w:w="7080" w:space="720"/>
            <w:col w:w="3580"/>
          </w:cols>
          <w:pgMar w:left="240" w:top="233" w:right="279" w:bottom="1440" w:gutter="0" w:footer="0" w:header="0"/>
          <w:type w:val="continuous"/>
        </w:sectPr>
      </w:pPr>
    </w:p>
    <w:p>
      <w:pPr>
        <w:ind w:left="176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4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440"/>
        <w:spacing w:after="0"/>
        <w:rPr>
          <w:sz w:val="20"/>
          <w:szCs w:val="20"/>
          <w:color w:val="auto"/>
        </w:rPr>
      </w:pPr>
      <w:r>
        <w:rPr>
          <w:rFonts w:ascii="Arial" w:cs="Arial" w:eastAsia="Arial" w:hAnsi="Arial"/>
          <w:sz w:val="13"/>
          <w:szCs w:val="13"/>
          <w:b w:val="1"/>
          <w:bCs w:val="1"/>
          <w:color w:val="auto"/>
        </w:rPr>
        <w:t>Identification Number)</w:t>
      </w:r>
    </w:p>
    <w:p>
      <w:pPr>
        <w:spacing w:after="0" w:line="177" w:lineRule="exact"/>
        <w:rPr>
          <w:sz w:val="24"/>
          <w:szCs w:val="24"/>
          <w:color w:val="auto"/>
        </w:rPr>
      </w:pPr>
    </w:p>
    <w:p>
      <w:pPr>
        <w:sectPr>
          <w:pgSz w:w="11900" w:h="16838" w:orient="portrait"/>
          <w:cols w:equalWidth="0" w:num="2">
            <w:col w:w="6800" w:space="720"/>
            <w:col w:w="3860"/>
          </w:cols>
          <w:pgMar w:left="240" w:top="233"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South San Francisco, California 94080</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182245</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p>
      <w:pPr>
        <w:spacing w:after="0" w:line="200" w:lineRule="exact"/>
        <w:rPr>
          <w:sz w:val="24"/>
          <w:szCs w:val="24"/>
          <w:color w:val="auto"/>
        </w:rPr>
      </w:pPr>
    </w:p>
    <w:p>
      <w:pPr>
        <w:spacing w:after="0" w:line="276" w:lineRule="exact"/>
        <w:rPr>
          <w:sz w:val="24"/>
          <w:szCs w:val="24"/>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20" w:type="dxa"/>
            <w:vAlign w:val="bottom"/>
            <w:vMerge w:val="restart"/>
          </w:tcPr>
          <w:p>
            <w:pPr>
              <w:ind w:left="40"/>
              <w:spacing w:after="0"/>
              <w:rPr>
                <w:sz w:val="20"/>
                <w:szCs w:val="20"/>
                <w:color w:val="auto"/>
              </w:rPr>
            </w:pPr>
            <w:r>
              <w:rPr>
                <w:rFonts w:ascii="Arial" w:cs="Arial" w:eastAsia="Arial" w:hAnsi="Arial"/>
                <w:sz w:val="18"/>
                <w:szCs w:val="18"/>
                <w:color w:val="auto"/>
              </w:rPr>
              <w:t>Large accelerated filer</w:t>
            </w:r>
          </w:p>
        </w:tc>
        <w:tc>
          <w:tcPr>
            <w:tcW w:w="5040" w:type="dxa"/>
            <w:vAlign w:val="bottom"/>
            <w:vMerge w:val="restart"/>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vMerge w:val="restart"/>
          </w:tcPr>
          <w:p>
            <w:pPr>
              <w:ind w:left="90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2220" w:type="dxa"/>
            <w:vAlign w:val="bottom"/>
            <w:vMerge w:val="continue"/>
          </w:tcPr>
          <w:p>
            <w:pPr>
              <w:spacing w:after="0"/>
              <w:rPr>
                <w:sz w:val="18"/>
                <w:szCs w:val="18"/>
                <w:color w:val="auto"/>
              </w:rPr>
            </w:pPr>
          </w:p>
        </w:tc>
        <w:tc>
          <w:tcPr>
            <w:tcW w:w="5040" w:type="dxa"/>
            <w:vAlign w:val="bottom"/>
            <w:vMerge w:val="continue"/>
          </w:tcPr>
          <w:p>
            <w:pPr>
              <w:spacing w:after="0"/>
              <w:rPr>
                <w:sz w:val="18"/>
                <w:szCs w:val="18"/>
                <w:color w:val="auto"/>
              </w:rPr>
            </w:pPr>
          </w:p>
        </w:tc>
        <w:tc>
          <w:tcPr>
            <w:tcW w:w="33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22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5040" w:type="dxa"/>
            <w:vAlign w:val="bottom"/>
          </w:tcPr>
          <w:p>
            <w:pPr>
              <w:ind w:left="5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60" w:type="dxa"/>
            <w:vAlign w:val="bottom"/>
          </w:tcPr>
          <w:p>
            <w:pPr>
              <w:ind w:left="90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05"/>
        </w:trPr>
        <w:tc>
          <w:tcPr>
            <w:tcW w:w="1062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4"/>
          <w:szCs w:val="24"/>
          <w:color w:val="auto"/>
        </w:rPr>
      </w:pPr>
    </w:p>
    <w:p>
      <w:pPr>
        <w:spacing w:after="0"/>
        <w:rPr>
          <w:sz w:val="20"/>
          <w:szCs w:val="20"/>
          <w:color w:val="auto"/>
        </w:rPr>
      </w:pPr>
      <w:r>
        <w:rPr>
          <w:rFonts w:ascii="Arial" w:cs="Arial" w:eastAsia="Arial" w:hAnsi="Arial"/>
          <w:sz w:val="18"/>
          <w:szCs w:val="18"/>
          <w:color w:val="auto"/>
        </w:rPr>
        <w:t>As of April 30, 2015, there were 28,784,622 shares of the Registrant’s common stock outstanding.</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FLUIDIGM CORPORATION</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Page</w:t>
            </w: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PART I.</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40" w:type="dxa"/>
            <w:vAlign w:val="bottom"/>
            <w:gridSpan w:val="11"/>
          </w:tcPr>
          <w:p>
            <w:pPr>
              <w:jc w:val="center"/>
              <w:ind w:right="318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gridSpan w:val="6"/>
          </w:tcPr>
          <w:p>
            <w:pPr>
              <w:spacing w:after="0"/>
              <w:rPr>
                <w:sz w:val="20"/>
                <w:szCs w:val="20"/>
                <w:color w:val="auto"/>
              </w:rPr>
            </w:pPr>
            <w:r>
              <w:rPr>
                <w:rFonts w:ascii="Arial" w:cs="Arial" w:eastAsia="Arial" w:hAnsi="Arial"/>
                <w:sz w:val="18"/>
                <w:szCs w:val="18"/>
                <w:color w:val="0000FF"/>
                <w:w w:val="89"/>
              </w:rPr>
              <w:t>Financial Statements (Unaudited)</w:t>
            </w:r>
          </w:p>
        </w:tc>
        <w:tc>
          <w:tcPr>
            <w:tcW w:w="720" w:type="dxa"/>
            <w:vAlign w:val="bottom"/>
          </w:tcPr>
          <w:p>
            <w:pPr>
              <w:spacing w:after="0"/>
              <w:rPr>
                <w:sz w:val="24"/>
                <w:szCs w:val="24"/>
                <w:color w:val="auto"/>
              </w:rPr>
            </w:pPr>
          </w:p>
        </w:tc>
        <w:tc>
          <w:tcPr>
            <w:tcW w:w="2260" w:type="dxa"/>
            <w:vAlign w:val="bottom"/>
            <w:tcBorders>
              <w:top w:val="single" w:sz="8" w:color="0000FF"/>
            </w:tcBorders>
            <w:gridSpan w:val="5"/>
          </w:tcPr>
          <w:p>
            <w:pPr>
              <w:spacing w:after="0"/>
              <w:rPr>
                <w:sz w:val="24"/>
                <w:szCs w:val="24"/>
                <w:color w:val="auto"/>
              </w:rPr>
            </w:pPr>
          </w:p>
        </w:tc>
        <w:tc>
          <w:tcPr>
            <w:tcW w:w="3180" w:type="dxa"/>
            <w:vAlign w:val="bottom"/>
            <w:gridSpan w:val="6"/>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6000" w:type="dxa"/>
            <w:vAlign w:val="bottom"/>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March 31, 2015 and December 31, 2014</w:t>
              </w:r>
            </w:hyperlink>
          </w:p>
        </w:tc>
        <w:tc>
          <w:tcPr>
            <w:tcW w:w="2580" w:type="dxa"/>
            <w:vAlign w:val="bottom"/>
            <w:gridSpan w:val="5"/>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7540" w:type="dxa"/>
            <w:vAlign w:val="bottom"/>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for the three months ended March 31, 2015 and 2014</w:t>
              </w:r>
            </w:hyperlink>
          </w:p>
        </w:tc>
        <w:tc>
          <w:tcPr>
            <w:tcW w:w="1040" w:type="dxa"/>
            <w:vAlign w:val="bottom"/>
            <w:gridSpan w:val="3"/>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8260" w:type="dxa"/>
            <w:vAlign w:val="bottom"/>
            <w:gridSpan w:val="1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Comprehensive Loss for the three months ended March 31, 2015 and 2014</w:t>
              </w:r>
            </w:hyperlink>
          </w:p>
        </w:tc>
        <w:tc>
          <w:tcPr>
            <w:tcW w:w="320" w:type="dxa"/>
            <w:vAlign w:val="bottom"/>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8260" w:type="dxa"/>
            <w:vAlign w:val="bottom"/>
            <w:gridSpan w:val="17"/>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Condensed Consolidated Statements of Cash Flows for the three months ended March 31, 2015 and 2014</w:t>
              </w:r>
            </w:hyperlink>
          </w:p>
        </w:tc>
        <w:tc>
          <w:tcPr>
            <w:tcW w:w="320" w:type="dxa"/>
            <w:vAlign w:val="bottom"/>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4"/>
                <w:szCs w:val="24"/>
                <w:color w:val="auto"/>
              </w:rPr>
            </w:pPr>
          </w:p>
        </w:tc>
        <w:tc>
          <w:tcPr>
            <w:tcW w:w="4000" w:type="dxa"/>
            <w:vAlign w:val="bottom"/>
            <w:gridSpan w:val="9"/>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Notes to Condensed Consolidated Financial Statements</w:t>
              </w:r>
            </w:hyperlink>
          </w:p>
        </w:tc>
        <w:tc>
          <w:tcPr>
            <w:tcW w:w="3580" w:type="dxa"/>
            <w:vAlign w:val="bottom"/>
            <w:gridSpan w:val="7"/>
          </w:tcPr>
          <w:p>
            <w:pPr>
              <w:spacing w:after="0"/>
              <w:rPr>
                <w:sz w:val="24"/>
                <w:szCs w:val="24"/>
                <w:color w:val="auto"/>
              </w:rPr>
            </w:pPr>
          </w:p>
        </w:tc>
        <w:tc>
          <w:tcPr>
            <w:tcW w:w="1000" w:type="dxa"/>
            <w:vAlign w:val="bottom"/>
            <w:gridSpan w:val="2"/>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FF"/>
                <w:w w:val="90"/>
              </w:rPr>
            </w:pPr>
            <w:hyperlink w:anchor="page15">
              <w:r>
                <w:rPr>
                  <w:rFonts w:ascii="Arial" w:cs="Arial" w:eastAsia="Arial" w:hAnsi="Arial"/>
                  <w:sz w:val="18"/>
                  <w:szCs w:val="18"/>
                  <w:color w:val="0000FF"/>
                  <w:w w:val="90"/>
                </w:rPr>
                <w:t>Management’s Discussion and Analysis of Financial Condition and Results of Operations</w:t>
              </w:r>
            </w:hyperlink>
          </w:p>
        </w:tc>
        <w:tc>
          <w:tcPr>
            <w:tcW w:w="2120" w:type="dxa"/>
            <w:vAlign w:val="bottom"/>
            <w:gridSpan w:val="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16</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0"/>
          </w:tcPr>
          <w:p>
            <w:pPr>
              <w:spacing w:after="0"/>
              <w:rPr>
                <w:rFonts w:ascii="Arial" w:cs="Arial" w:eastAsia="Arial" w:hAnsi="Arial"/>
                <w:sz w:val="18"/>
                <w:szCs w:val="18"/>
                <w:color w:val="0000FF"/>
                <w:w w:val="92"/>
              </w:rPr>
            </w:pPr>
            <w:hyperlink w:anchor="page23">
              <w:r>
                <w:rPr>
                  <w:rFonts w:ascii="Arial" w:cs="Arial" w:eastAsia="Arial" w:hAnsi="Arial"/>
                  <w:sz w:val="18"/>
                  <w:szCs w:val="18"/>
                  <w:color w:val="0000FF"/>
                  <w:w w:val="92"/>
                </w:rPr>
                <w:t>Quantitative and Qualitative Disclosures About Market Risk</w:t>
              </w:r>
            </w:hyperlink>
          </w:p>
        </w:tc>
        <w:tc>
          <w:tcPr>
            <w:tcW w:w="2100" w:type="dxa"/>
            <w:vAlign w:val="bottom"/>
            <w:gridSpan w:val="4"/>
          </w:tcPr>
          <w:p>
            <w:pPr>
              <w:spacing w:after="0"/>
              <w:rPr>
                <w:sz w:val="24"/>
                <w:szCs w:val="24"/>
                <w:color w:val="auto"/>
              </w:rPr>
            </w:pPr>
          </w:p>
        </w:tc>
        <w:tc>
          <w:tcPr>
            <w:tcW w:w="2120" w:type="dxa"/>
            <w:vAlign w:val="bottom"/>
            <w:gridSpan w:val="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23</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10"/>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Controls and Procedures</w:t>
              </w:r>
            </w:hyperlink>
          </w:p>
        </w:tc>
        <w:tc>
          <w:tcPr>
            <w:tcW w:w="4220" w:type="dxa"/>
            <w:vAlign w:val="bottom"/>
            <w:gridSpan w:val="8"/>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23</w:t>
              </w:r>
            </w:hyperlink>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PART II.</w:t>
            </w: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40" w:type="dxa"/>
            <w:vAlign w:val="bottom"/>
            <w:gridSpan w:val="11"/>
          </w:tcPr>
          <w:p>
            <w:pPr>
              <w:jc w:val="center"/>
              <w:ind w:right="3160"/>
              <w:spacing w:after="0"/>
              <w:rPr>
                <w:rFonts w:ascii="Arial" w:cs="Arial" w:eastAsia="Arial" w:hAnsi="Arial"/>
                <w:sz w:val="18"/>
                <w:szCs w:val="18"/>
                <w:color w:val="0000FF"/>
                <w:w w:val="96"/>
              </w:rPr>
            </w:pPr>
            <w:hyperlink w:anchor="page24">
              <w:r>
                <w:rPr>
                  <w:rFonts w:ascii="Arial" w:cs="Arial" w:eastAsia="Arial" w:hAnsi="Arial"/>
                  <w:sz w:val="18"/>
                  <w:szCs w:val="18"/>
                  <w:color w:val="0000FF"/>
                  <w:w w:val="96"/>
                </w:rPr>
                <w:t>OTHER INFORMATION</w:t>
              </w:r>
            </w:hyperlink>
          </w:p>
        </w:tc>
        <w:tc>
          <w:tcPr>
            <w:tcW w:w="1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4"/>
          </w:tcPr>
          <w:p>
            <w:pPr>
              <w:spacing w:after="0"/>
              <w:rPr>
                <w:rFonts w:ascii="Arial" w:cs="Arial" w:eastAsia="Arial" w:hAnsi="Arial"/>
                <w:sz w:val="18"/>
                <w:szCs w:val="18"/>
                <w:color w:val="0000FF"/>
                <w:w w:val="85"/>
              </w:rPr>
            </w:pPr>
            <w:hyperlink w:anchor="page25">
              <w:r>
                <w:rPr>
                  <w:rFonts w:ascii="Arial" w:cs="Arial" w:eastAsia="Arial" w:hAnsi="Arial"/>
                  <w:sz w:val="18"/>
                  <w:szCs w:val="18"/>
                  <w:color w:val="0000FF"/>
                  <w:w w:val="85"/>
                </w:rPr>
                <w:t>Legal Proceedings</w:t>
              </w:r>
            </w:hyperlink>
          </w:p>
        </w:tc>
        <w:tc>
          <w:tcPr>
            <w:tcW w:w="2020" w:type="dxa"/>
            <w:vAlign w:val="bottom"/>
            <w:gridSpan w:val="4"/>
          </w:tcPr>
          <w:p>
            <w:pPr>
              <w:spacing w:after="0"/>
              <w:rPr>
                <w:sz w:val="24"/>
                <w:szCs w:val="24"/>
                <w:color w:val="auto"/>
              </w:rPr>
            </w:pPr>
          </w:p>
        </w:tc>
        <w:tc>
          <w:tcPr>
            <w:tcW w:w="1880" w:type="dxa"/>
            <w:vAlign w:val="bottom"/>
            <w:tcBorders>
              <w:top w:val="single" w:sz="8" w:color="0000FF"/>
            </w:tcBorders>
            <w:gridSpan w:val="3"/>
          </w:tcPr>
          <w:p>
            <w:pPr>
              <w:spacing w:after="0"/>
              <w:rPr>
                <w:sz w:val="24"/>
                <w:szCs w:val="24"/>
                <w:color w:val="auto"/>
              </w:rPr>
            </w:pPr>
          </w:p>
        </w:tc>
        <w:tc>
          <w:tcPr>
            <w:tcW w:w="3360" w:type="dxa"/>
            <w:vAlign w:val="bottom"/>
            <w:gridSpan w:val="7"/>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25</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Risk Factors</w:t>
              </w:r>
            </w:hyperlink>
          </w:p>
        </w:tc>
        <w:tc>
          <w:tcPr>
            <w:tcW w:w="7260" w:type="dxa"/>
            <w:vAlign w:val="bottom"/>
            <w:gridSpan w:val="1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25</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60" w:type="dxa"/>
            <w:vAlign w:val="bottom"/>
            <w:gridSpan w:val="1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Other Information</w:t>
              </w:r>
            </w:hyperlink>
          </w:p>
        </w:tc>
        <w:tc>
          <w:tcPr>
            <w:tcW w:w="7260" w:type="dxa"/>
            <w:vAlign w:val="bottom"/>
            <w:gridSpan w:val="1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260" w:type="dxa"/>
            <w:vAlign w:val="bottom"/>
            <w:gridSpan w:val="1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FF"/>
                <w:w w:val="91"/>
              </w:rPr>
            </w:pPr>
            <w:hyperlink w:anchor="page48">
              <w:r>
                <w:rPr>
                  <w:rFonts w:ascii="Arial" w:cs="Arial" w:eastAsia="Arial" w:hAnsi="Arial"/>
                  <w:sz w:val="18"/>
                  <w:szCs w:val="18"/>
                  <w:color w:val="0000FF"/>
                  <w:w w:val="91"/>
                </w:rPr>
                <w:t>Exhibits</w:t>
              </w:r>
            </w:hyperlink>
          </w:p>
        </w:tc>
        <w:tc>
          <w:tcPr>
            <w:tcW w:w="720" w:type="dxa"/>
            <w:vAlign w:val="bottom"/>
            <w:gridSpan w:val="2"/>
          </w:tcPr>
          <w:p>
            <w:pPr>
              <w:spacing w:after="0"/>
              <w:rPr>
                <w:sz w:val="24"/>
                <w:szCs w:val="24"/>
                <w:color w:val="auto"/>
              </w:rPr>
            </w:pPr>
          </w:p>
        </w:tc>
        <w:tc>
          <w:tcPr>
            <w:tcW w:w="7260" w:type="dxa"/>
            <w:vAlign w:val="bottom"/>
            <w:gridSpan w:val="1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48</w:t>
              </w:r>
            </w:hyperlink>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7980" w:type="dxa"/>
            <w:vAlign w:val="bottom"/>
            <w:gridSpan w:val="1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96"/>
        </w:trPr>
        <w:tc>
          <w:tcPr>
            <w:tcW w:w="1100" w:type="dxa"/>
            <w:vAlign w:val="bottom"/>
            <w:gridSpan w:val="2"/>
          </w:tcPr>
          <w:p>
            <w:pPr>
              <w:spacing w:after="0"/>
              <w:rPr>
                <w:rFonts w:ascii="Arial" w:cs="Arial" w:eastAsia="Arial" w:hAnsi="Arial"/>
                <w:sz w:val="18"/>
                <w:szCs w:val="18"/>
                <w:color w:val="0000FF"/>
                <w:w w:val="90"/>
              </w:rPr>
            </w:pPr>
            <w:hyperlink w:anchor="page49">
              <w:r>
                <w:rPr>
                  <w:rFonts w:ascii="Arial" w:cs="Arial" w:eastAsia="Arial" w:hAnsi="Arial"/>
                  <w:sz w:val="18"/>
                  <w:szCs w:val="18"/>
                  <w:color w:val="0000FF"/>
                  <w:w w:val="90"/>
                </w:rPr>
                <w:t>SIGNATURES</w:t>
              </w:r>
            </w:hyperlink>
          </w:p>
        </w:tc>
        <w:tc>
          <w:tcPr>
            <w:tcW w:w="8380" w:type="dxa"/>
            <w:vAlign w:val="bottom"/>
            <w:gridSpan w:val="17"/>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50</w:t>
              </w:r>
            </w:hyperlink>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8380" w:type="dxa"/>
            <w:vAlign w:val="bottom"/>
            <w:gridSpan w:val="17"/>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FF"/>
                <w:w w:val="93"/>
              </w:rPr>
            </w:pPr>
            <w:hyperlink w:anchor="page50">
              <w:r>
                <w:rPr>
                  <w:rFonts w:ascii="Arial" w:cs="Arial" w:eastAsia="Arial" w:hAnsi="Arial"/>
                  <w:sz w:val="18"/>
                  <w:szCs w:val="18"/>
                  <w:color w:val="0000FF"/>
                  <w:w w:val="93"/>
                </w:rPr>
                <w:t>EXHIBIT LIST</w:t>
              </w:r>
            </w:hyperlink>
          </w:p>
        </w:tc>
        <w:tc>
          <w:tcPr>
            <w:tcW w:w="8380" w:type="dxa"/>
            <w:vAlign w:val="bottom"/>
            <w:gridSpan w:val="17"/>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51</w:t>
              </w:r>
            </w:hyperlink>
          </w:p>
        </w:tc>
      </w:tr>
      <w:tr>
        <w:trPr>
          <w:trHeight w:val="20"/>
        </w:trPr>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00"/>
          </w:cols>
          <w:pgMar w:left="240" w:top="125" w:right="4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March 31,</w:t>
            </w:r>
          </w:p>
        </w:tc>
        <w:tc>
          <w:tcPr>
            <w:tcW w:w="300" w:type="dxa"/>
            <w:vAlign w:val="bottom"/>
          </w:tcPr>
          <w:p>
            <w:pPr>
              <w:spacing w:after="0"/>
              <w:rPr>
                <w:sz w:val="14"/>
                <w:szCs w:val="14"/>
                <w:color w:val="auto"/>
              </w:rPr>
            </w:pPr>
          </w:p>
        </w:tc>
        <w:tc>
          <w:tcPr>
            <w:tcW w:w="1520" w:type="dxa"/>
            <w:vAlign w:val="bottom"/>
          </w:tcPr>
          <w:p>
            <w:pPr>
              <w:jc w:val="center"/>
              <w:ind w:right="252"/>
              <w:spacing w:after="0"/>
              <w:rPr>
                <w:sz w:val="20"/>
                <w:szCs w:val="20"/>
                <w:color w:val="auto"/>
              </w:rPr>
            </w:pPr>
            <w:r>
              <w:rPr>
                <w:rFonts w:ascii="Arial" w:cs="Arial" w:eastAsia="Arial" w:hAnsi="Arial"/>
                <w:sz w:val="14"/>
                <w:szCs w:val="14"/>
                <w:b w:val="1"/>
                <w:bCs w:val="1"/>
                <w:color w:val="auto"/>
                <w:w w:val="90"/>
              </w:rPr>
              <w:t>December 31,</w:t>
            </w:r>
          </w:p>
        </w:tc>
      </w:tr>
      <w:tr>
        <w:trPr>
          <w:trHeight w:val="192"/>
        </w:trPr>
        <w:tc>
          <w:tcPr>
            <w:tcW w:w="7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7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(Unaudited)</w:t>
            </w:r>
          </w:p>
        </w:tc>
        <w:tc>
          <w:tcPr>
            <w:tcW w:w="300" w:type="dxa"/>
            <w:vAlign w:val="bottom"/>
          </w:tcPr>
          <w:p>
            <w:pPr>
              <w:spacing w:after="0"/>
              <w:rPr>
                <w:sz w:val="21"/>
                <w:szCs w:val="21"/>
                <w:color w:val="auto"/>
              </w:rPr>
            </w:pPr>
          </w:p>
        </w:tc>
        <w:tc>
          <w:tcPr>
            <w:tcW w:w="1520" w:type="dxa"/>
            <w:vAlign w:val="bottom"/>
          </w:tcPr>
          <w:p>
            <w:pPr>
              <w:jc w:val="center"/>
              <w:ind w:right="212"/>
              <w:spacing w:after="0"/>
              <w:rPr>
                <w:sz w:val="20"/>
                <w:szCs w:val="20"/>
                <w:color w:val="auto"/>
              </w:rPr>
            </w:pPr>
            <w:r>
              <w:rPr>
                <w:rFonts w:ascii="Arial" w:cs="Arial" w:eastAsia="Arial" w:hAnsi="Arial"/>
                <w:sz w:val="14"/>
                <w:szCs w:val="14"/>
                <w:b w:val="1"/>
                <w:bCs w:val="1"/>
                <w:color w:val="auto"/>
                <w:w w:val="95"/>
              </w:rPr>
              <w:t>(Note 2)</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33,713</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79,424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81,588</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Accounts receivable (net of allowances of $76 at March 31, 2015 and $120 at December 31, 2014)</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22,384</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17,394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15,991</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2,221</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155,233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155,897</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27,499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14,053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13,889</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Developed technology, net</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99,400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102,200</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104,108</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395,031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407,559</w:t>
            </w:r>
          </w:p>
        </w:tc>
      </w:tr>
      <w:tr>
        <w:trPr>
          <w:trHeight w:val="67"/>
        </w:trPr>
        <w:tc>
          <w:tcPr>
            <w:tcW w:w="76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31"/>
        </w:trPr>
        <w:tc>
          <w:tcPr>
            <w:tcW w:w="7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5,919</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4,840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6,874</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9,664</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Deferred revenue, current portion</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7,346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6,928</w:t>
            </w: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29,385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195,512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195,455</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26,152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revenue, net of current portion</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5,096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4,357</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1,791</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252,578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257,140</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Preferred stock, $0.001 par value, 10,000 shares authorized, no shares issued and outstanding at</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March 31, 2015 and December 31, 2014</w:t>
            </w:r>
          </w:p>
        </w:tc>
        <w:tc>
          <w:tcPr>
            <w:tcW w:w="3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1"/>
              </w:rPr>
              <w:t>Common stock, $0.001 par value, 200,000 shares authorized at March 31, 2015 and December 31,</w:t>
            </w: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w w:val="93"/>
              </w:rPr>
              <w:t>2014; 28,715 and 28,341 shares issued and outstanding as of March 31, 2015 and December 31,</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2014, respectively</w:t>
            </w:r>
          </w:p>
        </w:tc>
        <w:tc>
          <w:tcPr>
            <w:tcW w:w="340" w:type="dxa"/>
            <w:vAlign w:val="bottom"/>
          </w:tcPr>
          <w:p>
            <w:pPr>
              <w:spacing w:after="0"/>
              <w:rPr>
                <w:sz w:val="20"/>
                <w:szCs w:val="20"/>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28</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469,132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461,362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(326,108)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(310,177)</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142,453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150,419</w:t>
            </w: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395,031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407,559</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26,646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25,449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License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Grant revenue</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25,724</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9,990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Acquisition-related expenses</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10,696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42,303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net loss per share, basic and diluted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26,900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comprehensive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(15,442)</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520" w:type="dxa"/>
            <w:vAlign w:val="bottom"/>
            <w:tcBorders>
              <w:bottom w:val="single" w:sz="8" w:color="auto"/>
            </w:tcBorders>
            <w:gridSpan w:val="5"/>
          </w:tcPr>
          <w:p>
            <w:pPr>
              <w:jc w:val="right"/>
              <w:ind w:right="67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17"/>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(15,931)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(15,414)</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920</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Acquisition-related share-based awards acceleration expense</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2,648</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developed technology</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Non-cash charges for sale of inventory revalued at the date of acquisition</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517</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3,096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(601)</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2,514</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(9,800)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(10,547)</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Acquisition, net of cash acquired</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(113,190)</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investments</w:t>
            </w:r>
          </w:p>
        </w:tc>
        <w:tc>
          <w:tcPr>
            <w:tcW w:w="1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sales and maturities of investments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11,100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8,775</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intangible assets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(1,813)</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(121,231)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convertible notes, net</w:t>
            </w:r>
          </w:p>
        </w:tc>
        <w:tc>
          <w:tcPr>
            <w:tcW w:w="1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195,212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3,732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2,287</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197,499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42</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65,763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33,713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35,261</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tcBorders>
              <w:bottom w:val="single" w:sz="8" w:color="CCEEFF"/>
            </w:tcBorders>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36,982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101,024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cash flow information:</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64"/>
        </w:trPr>
        <w:tc>
          <w:tcPr>
            <w:tcW w:w="7900" w:type="dxa"/>
            <w:vAlign w:val="bottom"/>
          </w:tcPr>
          <w:p>
            <w:pPr>
              <w:ind w:left="180"/>
              <w:spacing w:after="0"/>
              <w:rPr>
                <w:sz w:val="20"/>
                <w:szCs w:val="20"/>
                <w:color w:val="auto"/>
              </w:rPr>
            </w:pPr>
            <w:r>
              <w:rPr>
                <w:rFonts w:ascii="Arial" w:cs="Arial" w:eastAsia="Arial" w:hAnsi="Arial"/>
                <w:sz w:val="18"/>
                <w:szCs w:val="18"/>
                <w:color w:val="auto"/>
              </w:rPr>
              <w:t>Issuance of common stock and options related to acquisition</w:t>
            </w:r>
          </w:p>
        </w:tc>
        <w:tc>
          <w:tcPr>
            <w:tcW w:w="1020" w:type="dxa"/>
            <w:vAlign w:val="bottom"/>
          </w:tcPr>
          <w:p>
            <w:pPr>
              <w:jc w:val="right"/>
              <w:ind w:right="817"/>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78,196</w:t>
            </w:r>
          </w:p>
        </w:tc>
      </w:tr>
      <w:tr>
        <w:trPr>
          <w:trHeight w:val="20"/>
        </w:trPr>
        <w:tc>
          <w:tcPr>
            <w:tcW w:w="79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Fluidigm Corporation (we, our, or us) was incorporated in the State of California in May 1999 to commercialize microfluidic technology initially developed at the California Institute of Technology. In July 2007, we were reincorporated in Delaware. Our headquarters are located in South San Francisco, California.</w:t>
      </w:r>
    </w:p>
    <w:p>
      <w:pPr>
        <w:spacing w:after="0" w:line="12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create, manufacture, and market innovative technologies and life-science tools focused on the exploration and analysis of single cells, as well as the industrial application of genomics, based upon our core microfluidics and mass cytometry technologies. We sell instruments and consumables, including integrated fluidic circuits (IFCs), assays, and reagents, to academic institutions, clinical laboratories, and pharmaceutical, biotechnology, and agricultural biotechnology (Ag-Bio) companies.</w:t>
      </w:r>
    </w:p>
    <w:p>
      <w:pPr>
        <w:spacing w:after="0" w:line="264" w:lineRule="exact"/>
        <w:rPr>
          <w:sz w:val="20"/>
          <w:szCs w:val="20"/>
          <w:color w:val="auto"/>
        </w:rPr>
      </w:pPr>
    </w:p>
    <w:p>
      <w:pPr>
        <w:ind w:right="786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(U.S. GAAP) and following the requirements of the Securities and Exchange Commission (SEC) for interim reporting. As permitted under those rules, certain footnotes or other financial information that are normally required by U.S. GAAP have been condensed or omitted, and accordingly the balance sheet as of December 31, 2014 has been derived from audited consolidated financial statements at that date but does not include all of the information required by U.S. GAAP for complete financial statements. These financial statements have been prepared on the same basis as our annual financial statements and, in the opinion of management, reflect all adjustments (consisting only of normal recurring adjustments) that are necessary for a fair presentation of our financial information. The results of operations for the three months ended March 31, 2015 are not necessarily indicative of the results to be expected for the year ending December 31, 2015 or for any other interim period or for any other future year. All intercompany accounts and transactions have been eliminated upon consolidation.</w:t>
      </w:r>
    </w:p>
    <w:p>
      <w:pPr>
        <w:spacing w:after="0" w:line="128"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preparation of these condensed consolidated financial statements requires us to make estimates and judgments that affect the reported amounts of assets, liabilities, revenue, expenses, and related disclosures. On an ongoing basis, we evaluate our estimates, including critical accounting policies or estimates related to revenue recognition, income tax provisions, stock-based compensation, inventory valuation, allowances for doubtful accounts, and useful lives of long-lived assets. We base our estimates on historical experience and on various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w:t>
      </w:r>
    </w:p>
    <w:p>
      <w:pPr>
        <w:spacing w:after="0" w:line="12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related notes thereto for the year ended December 31, 2014 included in our Annual Report on Form 10-K filed with the SEC.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9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basic and diluted net loss per share is calculated by dividing net loss by the weighted-average number of shares of common stock outstanding for the period. Restricted stock units and options to purchase common stock are considered to be potentially dilutive common shares but have been excluded from the calculation of diluted net loss per share as their effect is anti-dilutive for all periods presented.</w:t>
      </w:r>
    </w:p>
    <w:p>
      <w:pPr>
        <w:spacing w:after="0" w:line="12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potentially dilutive common shares were excluded from the computation of diluted net loss per share for the interim periods presented because including them would have been anti-dilutive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5"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23495</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restricted stock units and restricted stock awards</w:t>
            </w: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3,940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3,927</w:t>
            </w:r>
          </w:p>
        </w:tc>
      </w:tr>
      <w:tr>
        <w:trPr>
          <w:trHeight w:val="243"/>
        </w:trPr>
        <w:tc>
          <w:tcPr>
            <w:tcW w:w="9300" w:type="dxa"/>
            <w:vAlign w:val="bottom"/>
            <w:gridSpan w:val="2"/>
          </w:tcPr>
          <w:p>
            <w:pPr>
              <w:ind w:left="40"/>
              <w:spacing w:after="0"/>
              <w:rPr>
                <w:sz w:val="20"/>
                <w:szCs w:val="20"/>
                <w:color w:val="auto"/>
              </w:rPr>
            </w:pPr>
            <w:r>
              <w:rPr>
                <w:rFonts w:ascii="Arial" w:cs="Arial" w:eastAsia="Arial" w:hAnsi="Arial"/>
                <w:sz w:val="18"/>
                <w:szCs w:val="18"/>
                <w:color w:val="auto"/>
              </w:rPr>
              <w:t>Convertible notes</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3,598</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3,598</w:t>
            </w:r>
          </w:p>
        </w:tc>
      </w:tr>
      <w:tr>
        <w:trPr>
          <w:trHeight w:val="27"/>
        </w:trPr>
        <w:tc>
          <w:tcPr>
            <w:tcW w:w="84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7,538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7,525</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components of accumulated other comprehensive loss, net of tax, for the three months ended March 31, 2015 are summarized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 Unrealized Gain</w:t>
            </w:r>
          </w:p>
        </w:tc>
        <w:tc>
          <w:tcPr>
            <w:tcW w:w="120" w:type="dxa"/>
            <w:vAlign w:val="bottom"/>
          </w:tcPr>
          <w:p>
            <w:pPr>
              <w:spacing w:after="0"/>
              <w:rPr>
                <w:sz w:val="14"/>
                <w:szCs w:val="14"/>
                <w:color w:val="auto"/>
              </w:rPr>
            </w:pPr>
          </w:p>
        </w:tc>
        <w:tc>
          <w:tcPr>
            <w:tcW w:w="1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Foreign Currency</w:t>
            </w:r>
          </w:p>
        </w:tc>
        <w:tc>
          <w:tcPr>
            <w:tcW w:w="180" w:type="dxa"/>
            <w:vAlign w:val="bottom"/>
          </w:tcPr>
          <w:p>
            <w:pPr>
              <w:spacing w:after="0"/>
              <w:rPr>
                <w:sz w:val="14"/>
                <w:szCs w:val="14"/>
                <w:color w:val="auto"/>
              </w:rPr>
            </w:pPr>
          </w:p>
        </w:tc>
        <w:tc>
          <w:tcPr>
            <w:tcW w:w="154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w w:val="99"/>
              </w:rPr>
              <w:t>Accumulated Other</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(Loss) on Marketable</w:t>
            </w:r>
          </w:p>
        </w:tc>
        <w:tc>
          <w:tcPr>
            <w:tcW w:w="1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Translation Adjustment</w:t>
            </w:r>
          </w:p>
        </w:tc>
        <w:tc>
          <w:tcPr>
            <w:tcW w:w="180" w:type="dxa"/>
            <w:vAlign w:val="bottom"/>
          </w:tcPr>
          <w:p>
            <w:pPr>
              <w:spacing w:after="0"/>
              <w:rPr>
                <w:sz w:val="16"/>
                <w:szCs w:val="16"/>
                <w:color w:val="auto"/>
              </w:rPr>
            </w:pPr>
          </w:p>
        </w:tc>
        <w:tc>
          <w:tcPr>
            <w:tcW w:w="1540" w:type="dxa"/>
            <w:vAlign w:val="bottom"/>
          </w:tcPr>
          <w:p>
            <w:pPr>
              <w:jc w:val="right"/>
              <w:ind w:right="137"/>
              <w:spacing w:after="0"/>
              <w:rPr>
                <w:sz w:val="20"/>
                <w:szCs w:val="20"/>
                <w:color w:val="auto"/>
              </w:rPr>
            </w:pPr>
            <w:r>
              <w:rPr>
                <w:rFonts w:ascii="Arial" w:cs="Arial" w:eastAsia="Arial" w:hAnsi="Arial"/>
                <w:sz w:val="14"/>
                <w:szCs w:val="14"/>
                <w:b w:val="1"/>
                <w:bCs w:val="1"/>
                <w:color w:val="auto"/>
                <w:w w:val="91"/>
              </w:rPr>
              <w:t>Comprehensive Loss</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1560" w:type="dxa"/>
            <w:vAlign w:val="bottom"/>
          </w:tcPr>
          <w:p>
            <w:pPr>
              <w:jc w:val="right"/>
              <w:ind w:right="19"/>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 Accounting for business acquisitions requires management to make judgments as to whether a purchase transaction is a multiple element contract, meaning that it includes other transaction components such as a settlement of a preexisting relationship. This judgment and determination affects the amount of consideration paid that is allocable to assets and liabilities acquired in the business purchase transaction (See Note 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including Goodwill</w:t>
      </w:r>
    </w:p>
    <w:p>
      <w:pPr>
        <w:spacing w:after="0" w:line="94"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its carrying value, goodwill is not considered impaired and no further analysis is required. If the carrying value of the reporting unit exceeds its fair value, then the second step of the impairment test must be performed in order to determine the implied fair value of the goodwill. If the carrying value of the goodwill exceeds its implied fair value, then an impairment loss equal to the difference would be recorded.</w:t>
      </w:r>
    </w:p>
    <w:p>
      <w:pPr>
        <w:spacing w:after="0" w:line="206"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evaluate our finite lived intangible assets for indicators of possible impairment when events or changes in circumstances indicate the carrying amount of an asset may not be recoverable. If any indicator of impairment exists, we assess the recoverability of the affected intangible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 April 2015, the Financial Accounting Standards Board (FASB) issued Accounting Standards Update No. 2015-03, Interest - Imputation of Interest (Subtopic 835-30): Simplifying the Presentation of Debt Issuance Costs. This guidance is intended to simplify the presentation of debt issuance costs. These amendments require that debt issuance costs related to a recognized debt liability be presented in the balance sheet as a direct deduction from the carrying amount of that debt liability, consistent with debt discounts. It will be effective for our interim and annual financial statements beginning in the first quarter of 2016 and early adoption is permitted. We will apply the guidance in ASU 2015-03 in our financial statements commencing in the first quarter of 2016, which will result in a reclassification of approximately $1.0 million from Other assets to Convertible notes, net.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Convertible Notes</w:t>
      </w:r>
    </w:p>
    <w:p>
      <w:pPr>
        <w:spacing w:after="0" w:line="22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On February 4, 2014, we closed an underwritten public offering of $201.3 million aggregate principal amount of our 2.75% Senior Convertible Notes due 2034 (Notes) pursuant to an underwriting agreement, dated January 29, 2014. The Notes accrue interest at a rate of 2.75% per year, payable semi-annually in arrears on February 1 and August 1 of each year, commencing August 1, 2014. The Notes will mature on February 1, 2034, unless earlier converted, redeemed, or repurchased in accordance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with the terms of the Notes. The initial conversion rate of the Notes is 17.8750 shares of our common stock, par value $0.001 per share, per $1,000 principal amount of Notes (which is equivalent to an initial conversion price of approximately $55.94 per share). The conversion rate will be subject to adjustment upon the occurrence of certain specified events. Holders may surrender their Notes for conversion at any time prior to the stated maturity date. On or after February 6, 2018 and prior to February 6, 2021, we may redeem any or all of the Notes in cash if the closing price of our common stock exceeds 130% of the conversion price for a specified number of days, and on or after February 6, 2021, we may redeem any or all of the Notes in cash without any such condition. The redemption price of the Notes will equal 100% of the principal amount of the Notes plus accrued and unpaid interest. Holders may require us to repurchase all or a portion of their Notes on each of February 6, 2021, February 6, 2024, and February 6, 2029 at a repurchase price in cash equal to 100% of the principal amount of the Notes plus accrued and unpaid interest. If we undergo a fundamental change, as defined in the terms of the Notes, holders may require us to repurchase the Notes in whole or in part for cash at a repurchase price equal to 100% of the principal amount of the Notes plus accrued and unpaid interest.</w:t>
      </w:r>
    </w:p>
    <w:p>
      <w:pPr>
        <w:spacing w:after="0" w:line="7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February 2014, we received $195.2 million, net of underwriting discounts, from the issuance of the Notes and incurred approximately $1.1 million in offering-related expenses. We used $113.2 million of the net proceeds to fund the cash portion of the consideration payable by us in connection with our acquisition of DVS Sciences, Inc. (now Fluidigm Sciences Inc.) (DVS) (See Note 4). Interest expense related to the Notes was approximately $1.5 million and $1.0 million for the three months ended March 31, 2015 and 2014, respectively. Approximately $2.8 million of accrued interest under the Notes became due and was paid during the three months ended March 31, 2015.</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February 13, 2014 (Acquisition Date), we acquired DVS primarily to broaden our addressable single-cell biology market opportunity and complement our existing product offerings. DVS develops, manufactures, markets, and sells high-parameter single-cell protein analysis systems and related reagents and data analysis tools. DVS’s principal market is the life sciences research market consisting of drug development companies, government research centers, and universities worldwide.</w:t>
      </w:r>
    </w:p>
    <w:p>
      <w:pPr>
        <w:spacing w:after="0" w:line="79"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The contractual price for the acquisition was $207.5 million, subject to certain adjustments as specified in the merger agreement. The aggregate purchase price was determined to be $199.9 million, as detailed in the table below (in thousands):</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Estimated Fair Value</w:t>
            </w: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126,048</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Issued 1,759,007 shares of Fluidigm common stock</w:t>
            </w:r>
          </w:p>
        </w:tc>
        <w:tc>
          <w:tcPr>
            <w:tcW w:w="24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76,805</w:t>
            </w: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consideration paid at Acquisition Date</w:t>
            </w:r>
          </w:p>
        </w:tc>
        <w:tc>
          <w:tcPr>
            <w:tcW w:w="2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202,853</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 xml:space="preserve">Accelerated stock compensation </w:t>
            </w:r>
            <w:r>
              <w:rPr>
                <w:rFonts w:ascii="Arial" w:cs="Arial" w:eastAsia="Arial" w:hAnsi="Arial"/>
                <w:sz w:val="12"/>
                <w:szCs w:val="12"/>
                <w:color w:val="auto"/>
              </w:rPr>
              <w:t>(1)</w:t>
            </w:r>
          </w:p>
        </w:tc>
        <w:tc>
          <w:tcPr>
            <w:tcW w:w="2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(6,690)</w:t>
            </w: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Estimated fair value of vested Fluidigm equivalent stock options </w:t>
            </w:r>
            <w:r>
              <w:rPr>
                <w:rFonts w:ascii="Arial" w:cs="Arial" w:eastAsia="Arial" w:hAnsi="Arial"/>
                <w:sz w:val="12"/>
                <w:szCs w:val="12"/>
                <w:color w:val="auto"/>
              </w:rPr>
              <w:t>(2)</w:t>
            </w:r>
          </w:p>
        </w:tc>
        <w:tc>
          <w:tcPr>
            <w:tcW w:w="2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4,039</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Working capital adjustment</w:t>
            </w:r>
          </w:p>
        </w:tc>
        <w:tc>
          <w:tcPr>
            <w:tcW w:w="2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57"/>
        </w:trPr>
        <w:tc>
          <w:tcPr>
            <w:tcW w:w="7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Aggregate purchase price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199,933</w:t>
            </w: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right="100" w:hanging="328"/>
        <w:spacing w:after="0" w:line="288"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a part of the acquisition, we accelerated vesting of certain DVS stock options and shares of restricted stock, and incurred a $6.7 million expense, based upon the per share consideration paid to holders of shares of DVS common stock as of February 13, 2014. This expense is accounted for as a separate transaction and reflected in the acquisition-related expenses line of the condensed consolidated statements of operations.</w:t>
      </w:r>
    </w:p>
    <w:p>
      <w:pPr>
        <w:ind w:left="660" w:right="1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conjunction with the acquisition, we assumed all outstanding DVS stock options and unvested shares of restricted stock and converted, as of the Acquisition Date, the unvested stock options outstanding under the DVS stock option plan</w:t>
      </w:r>
    </w:p>
    <w:p>
      <w:pPr>
        <w:ind w:left="660" w:right="200"/>
        <w:spacing w:after="0" w:line="292" w:lineRule="auto"/>
        <w:rPr>
          <w:rFonts w:ascii="Arial" w:cs="Arial" w:eastAsia="Arial" w:hAnsi="Arial"/>
          <w:sz w:val="18"/>
          <w:szCs w:val="18"/>
          <w:color w:val="auto"/>
        </w:rPr>
      </w:pPr>
      <w:r>
        <w:rPr>
          <w:rFonts w:ascii="Arial" w:cs="Arial" w:eastAsia="Arial" w:hAnsi="Arial"/>
          <w:sz w:val="16"/>
          <w:szCs w:val="16"/>
          <w:color w:val="auto"/>
        </w:rPr>
        <w:t>into unvested stock options to purchase approximately 143,000 shares of Fluidigm common stock and the unvested DVS restricted stock into approximately 186,000 shares of restricted Fluidigm common stock, retaining the original vesting schedules. The fair value of all converted share-based awards was $14.6 million, of which $4.0 million was attributed to the pre-combination service period and was included in the calculation of the purchase price. The remaining fair value will be recognized over the awards’ remaining vesting periods subsequent to the acquisition. The fair value of the Fluidigm equivalent share-based awards as of the Acquisition Date was estimated using the Black-Scholes valuation model.</w:t>
      </w:r>
    </w:p>
    <w:p>
      <w:pPr>
        <w:spacing w:after="0" w:line="55"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Approximately 885,000 shares of Fluidigm common stock, with a fair value of $38.6 million as of the Acquisition Date, representing 50.3030% of the shares otherwise payable to the former stockholders of DVS, were deposited into escrow. These shares comprise a portion of the merger consideration and are being held in escrow to secure indemnification obligations under the merger agreement, if any, for a period of 13 to 18 months following the Acquisition Date, subject to any then pending indemnification claims. Under the terms of the merger agreement, fifty percent (50.0%) of the aggregate shares subject to the indemnification escrow were eligible for release on March 13, 2015 (Initial Release Date), and the balance of the shares would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become eligible for release on August 13, 2015, provided that in each case shares will continue to be held in escrow in amounts that we may reasonably determine in good faith to be necessary to satisfy any claims for which we have delivered a notice of claim which has not been fully resolved between us and the representative of the former stockholders of DVS (Stockholder Representative). Prior to the Initial Release Date, we submitted escrow claim notices under the terms of the merger agreement. On April 9, 2015, the Stockholder Representative provided notices objecting to our claims. We are currently in discussions with the Stockholder Representative regarding the claims. Pursuant to the terms of the merger agreement, if the parties do not reach an agreement by May 9, 2015, either party may seek to resolve the dispute by filing an action with the Court of Chancery of the State of Delaware. As of the date of this filing, no shares have been released from the escrow, and we cannot predict whether the dispute will result in litigation, whether we would prevail in any such litigation, and whether and to what extent we will be able to recover shares from the escrow.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 Acquired</w:t>
      </w:r>
    </w:p>
    <w:p>
      <w:pPr>
        <w:spacing w:after="0" w:line="121"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that assets acquired and liabilities assumed be recognized at their fair values as of the Acquisition Date. The following table summarizes the assets acquired and liabilities assumed as of the Acquisition Date (in thousands):</w:t>
      </w:r>
    </w:p>
    <w:p>
      <w:pPr>
        <w:spacing w:after="0" w:line="339"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Allocation of purchase price</w:t>
            </w:r>
          </w:p>
        </w:tc>
      </w:tr>
      <w:tr>
        <w:trPr>
          <w:trHeight w:val="27"/>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8,405</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7,698</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3,489</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1,482</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112,000</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104,108</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238,472</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and related benefits</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(1,204)</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Tax payable</w:t>
            </w: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(31,942)</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(1,629)</w:t>
            </w:r>
          </w:p>
        </w:tc>
      </w:tr>
      <w:tr>
        <w:trPr>
          <w:trHeight w:val="27"/>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57"/>
        </w:trPr>
        <w:tc>
          <w:tcPr>
            <w:tcW w:w="6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199,933</w:t>
            </w:r>
          </w:p>
        </w:tc>
      </w:tr>
      <w:tr>
        <w:trPr>
          <w:trHeight w:val="20"/>
        </w:trPr>
        <w:tc>
          <w:tcPr>
            <w:tcW w:w="6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table provides details of intangible assets acquired in connection with the DVS acquisition as of March 31, 2015 (in thousands, except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112,000</w:t>
            </w:r>
          </w:p>
        </w:tc>
        <w:tc>
          <w:tcPr>
            <w:tcW w:w="4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(12,600)</w:t>
            </w:r>
          </w:p>
        </w:tc>
        <w:tc>
          <w:tcPr>
            <w:tcW w:w="4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99,400</w:t>
            </w:r>
          </w:p>
        </w:tc>
        <w:tc>
          <w:tcPr>
            <w:tcW w:w="44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We recognized $2.8 million and $1.4 million in intangible asset amortization expense during the three months ended March 31, 2015 and 2014, respectively.</w:t>
      </w:r>
    </w:p>
    <w:p>
      <w:pPr>
        <w:spacing w:after="0" w:line="251"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The $104.1 million of goodwill recognized as part of the transaction is attributable primarily to expected synergies and other benefits from the acquisition, including expansion of our addressable market from the single-cell genomics market to the larger single-cell biology market and the ability to leverage our larger global commercial sales organization and infrastructure to expand awareness of DVS's products and technology. Goodwill is not expected to be deductible for income tax purposes. There were no changes in goodwill between December 31, 2014 and March 31, 2015.</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Costs</w:t>
      </w:r>
    </w:p>
    <w:p>
      <w:pPr>
        <w:spacing w:after="0" w:line="175"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Acquisition-related expenses were $10.7 million for the three months ended March 31, 2014 and primarily included accelerated vesting of certain DVS restricted stock and options, and consulting, legal, and investment banking fees. These costs are included within the acquisition-related expenses line of the condensed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Details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2015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250"/>
        </w:trPr>
        <w:tc>
          <w:tcPr>
            <w:tcW w:w="72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tcBorders>
              <w:top w:val="single" w:sz="8" w:color="auto"/>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3,322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3,524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8,119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7,797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17,394</w:t>
            </w:r>
          </w:p>
        </w:tc>
        <w:tc>
          <w:tcPr>
            <w:tcW w:w="100" w:type="dxa"/>
            <w:vAlign w:val="bottom"/>
          </w:tcPr>
          <w:p>
            <w:pPr>
              <w:spacing w:after="0"/>
              <w:rPr>
                <w:sz w:val="20"/>
                <w:szCs w:val="20"/>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15,991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Property and Equipment, net</w:t>
            </w: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72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200" w:type="dxa"/>
            <w:vAlign w:val="bottom"/>
            <w:gridSpan w:val="2"/>
          </w:tcPr>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80" w:type="dxa"/>
            <w:vAlign w:val="bottom"/>
          </w:tcPr>
          <w:p>
            <w:pPr>
              <w:spacing w:after="0"/>
              <w:rPr>
                <w:sz w:val="24"/>
                <w:szCs w:val="24"/>
                <w:color w:val="auto"/>
              </w:rPr>
            </w:pPr>
          </w:p>
        </w:tc>
        <w:tc>
          <w:tcPr>
            <w:tcW w:w="67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March 31, 2015</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4,144</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Laboratory and manufacturing equipment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18,875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17,592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Office furniture and fixtures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1,702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1,804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28,289</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(17,299)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(16,360)</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80" w:type="dxa"/>
            <w:vAlign w:val="bottom"/>
          </w:tcPr>
          <w:p>
            <w:pPr>
              <w:spacing w:after="0"/>
              <w:rPr>
                <w:sz w:val="22"/>
                <w:szCs w:val="22"/>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14,053</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13,889</w:t>
            </w:r>
          </w:p>
        </w:tc>
        <w:tc>
          <w:tcPr>
            <w:tcW w:w="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4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total intangible assets, which includes developed technology as a result of the DVS acquisition and other intangible assets included in Other non-current assets, was $101.1 million as of March 31, 2015. The estimated future amortization expense of intangible assets as of March 31, 2015 is as follows (in thousands):</w:t>
      </w:r>
    </w:p>
    <w:p>
      <w:pPr>
        <w:spacing w:after="0" w:line="200" w:lineRule="exact"/>
        <w:rPr>
          <w:sz w:val="20"/>
          <w:szCs w:val="20"/>
          <w:color w:val="auto"/>
        </w:rPr>
      </w:pPr>
    </w:p>
    <w:p>
      <w:pPr>
        <w:spacing w:after="0" w:line="257"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7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Amount</w:t>
            </w: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(remainder of year)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8,748</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11,496</w:t>
            </w:r>
          </w:p>
        </w:tc>
      </w:tr>
      <w:tr>
        <w:trPr>
          <w:trHeight w:val="27"/>
        </w:trPr>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11,481</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11,417</w:t>
            </w:r>
          </w:p>
        </w:tc>
      </w:tr>
      <w:tr>
        <w:trPr>
          <w:trHeight w:val="27"/>
        </w:trPr>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11,326</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46,654</w:t>
            </w:r>
          </w:p>
        </w:tc>
      </w:tr>
      <w:tr>
        <w:trPr>
          <w:trHeight w:val="27"/>
        </w:trPr>
        <w:tc>
          <w:tcPr>
            <w:tcW w:w="7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101,122</w:t>
            </w:r>
          </w:p>
        </w:tc>
      </w:tr>
      <w:tr>
        <w:trPr>
          <w:trHeight w:val="20"/>
        </w:trPr>
        <w:tc>
          <w:tcPr>
            <w:tcW w:w="7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80"/>
          </w:cols>
          <w:pgMar w:left="240" w:top="125" w:right="27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a basis for considering fair value, we follow a three-tier value hierarchy, which prioritizes the inputs used in measuring fair value as follows: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III: unobservable inputs in which there is little or no market data, which requires us to develop our own assumptions.</w:t>
      </w:r>
    </w:p>
    <w:p>
      <w:pPr>
        <w:spacing w:after="0" w:line="17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Our cash equivalents, which include money market funds, are classified as Level I because they are valued using quoted market prices. Our investments are generally classified as Level II because their value is based on valuations using significant inputs derived from or corroborated by observable market data. Depending on the security, the income and market approaches are used in the model driven valuations. Inputs of these models include recently executed transaction prices in securities of the issuer or comparable issuers and yield curves.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our financial instruments that were measured at fair value by level within the fair value hierarchy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March 31, 2015</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2014</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I</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II</w:t>
            </w:r>
          </w:p>
        </w:tc>
        <w:tc>
          <w:tcPr>
            <w:tcW w:w="18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III</w:t>
            </w:r>
          </w:p>
        </w:tc>
        <w:tc>
          <w:tcPr>
            <w:tcW w:w="220" w:type="dxa"/>
            <w:vAlign w:val="bottom"/>
          </w:tcPr>
          <w:p>
            <w:pPr>
              <w:spacing w:after="0"/>
              <w:rPr>
                <w:sz w:val="22"/>
                <w:szCs w:val="22"/>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II</w:t>
            </w:r>
          </w:p>
        </w:tc>
        <w:tc>
          <w:tcPr>
            <w:tcW w:w="18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III</w:t>
            </w:r>
          </w:p>
        </w:tc>
        <w:tc>
          <w:tcPr>
            <w:tcW w:w="220" w:type="dxa"/>
            <w:vAlign w:val="bottom"/>
          </w:tcPr>
          <w:p>
            <w:pPr>
              <w:spacing w:after="0"/>
              <w:rPr>
                <w:sz w:val="22"/>
                <w:szCs w:val="22"/>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15,898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15,898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10,220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10,220</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government and agency</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97,932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97,932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109,087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109,087</w:t>
            </w:r>
          </w:p>
        </w:tc>
        <w:tc>
          <w:tcPr>
            <w:tcW w:w="0" w:type="dxa"/>
            <w:vAlign w:val="bottom"/>
          </w:tcPr>
          <w:p>
            <w:pPr>
              <w:spacing w:after="0"/>
              <w:rPr>
                <w:sz w:val="1"/>
                <w:szCs w:val="1"/>
                <w:color w:val="auto"/>
              </w:rPr>
            </w:pPr>
          </w:p>
        </w:tc>
      </w:tr>
      <w:tr>
        <w:trPr>
          <w:trHeight w:val="205"/>
        </w:trPr>
        <w:tc>
          <w:tcPr>
            <w:tcW w:w="242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5"/>
              </w:rPr>
              <w:t>Total assets measured at fair</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15,898</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97,932</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113,830</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10,220</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109,087</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119,307</w:t>
            </w:r>
          </w:p>
        </w:tc>
        <w:tc>
          <w:tcPr>
            <w:tcW w:w="0" w:type="dxa"/>
            <w:vAlign w:val="bottom"/>
          </w:tcPr>
          <w:p>
            <w:pPr>
              <w:spacing w:after="0"/>
              <w:rPr>
                <w:sz w:val="1"/>
                <w:szCs w:val="1"/>
                <w:color w:val="auto"/>
              </w:rPr>
            </w:pPr>
          </w:p>
        </w:tc>
      </w:tr>
      <w:tr>
        <w:trPr>
          <w:trHeight w:val="246"/>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rPr>
              <w:t>value</w:t>
            </w:r>
          </w:p>
        </w:tc>
        <w:tc>
          <w:tcPr>
            <w:tcW w:w="22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There were no transfers in and out of Level I and Level II fair value measurement categories during the three months ended March 31, 2015 and 2014, and there were no changes in the valuation techniques used.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investments at March 31, 2015 and December 31, 2014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04"/>
              <w:spacing w:after="0"/>
              <w:rPr>
                <w:sz w:val="20"/>
                <w:szCs w:val="20"/>
                <w:color w:val="auto"/>
              </w:rPr>
            </w:pPr>
            <w:r>
              <w:rPr>
                <w:rFonts w:ascii="Arial" w:cs="Arial" w:eastAsia="Arial" w:hAnsi="Arial"/>
                <w:sz w:val="14"/>
                <w:szCs w:val="14"/>
                <w:b w:val="1"/>
                <w:bCs w:val="1"/>
                <w:color w:val="auto"/>
              </w:rPr>
              <w:t>March 31, 2015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4"/>
              <w:spacing w:after="0" w:line="153" w:lineRule="exact"/>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304"/>
              <w:spacing w:after="0" w:line="153"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304"/>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84"/>
              <w:spacing w:after="0"/>
              <w:rPr>
                <w:sz w:val="20"/>
                <w:szCs w:val="20"/>
                <w:color w:val="auto"/>
              </w:rPr>
            </w:pPr>
            <w:r>
              <w:rPr>
                <w:rFonts w:ascii="Arial" w:cs="Arial" w:eastAsia="Arial" w:hAnsi="Arial"/>
                <w:sz w:val="14"/>
                <w:szCs w:val="14"/>
                <w:b w:val="1"/>
                <w:bCs w:val="1"/>
                <w:color w:val="auto"/>
                <w:w w:val="96"/>
              </w:rPr>
              <w:t>Gain</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left="304"/>
              <w:spacing w:after="0"/>
              <w:rPr>
                <w:sz w:val="20"/>
                <w:szCs w:val="20"/>
                <w:color w:val="auto"/>
              </w:rPr>
            </w:pPr>
            <w:r>
              <w:rPr>
                <w:rFonts w:ascii="Arial" w:cs="Arial" w:eastAsia="Arial" w:hAnsi="Arial"/>
                <w:sz w:val="14"/>
                <w:szCs w:val="14"/>
                <w:b w:val="1"/>
                <w:bCs w:val="1"/>
                <w:color w:val="auto"/>
                <w:w w:val="85"/>
              </w:rPr>
              <w:t>Loss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5"/>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97,926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jc w:val="right"/>
              <w:ind w:right="944"/>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CCEEFF"/>
            </w:tcBorders>
            <w:shd w:val="clear" w:color="auto" w:fill="CCEEFF"/>
          </w:tcPr>
          <w:p>
            <w:pPr>
              <w:jc w:val="right"/>
              <w:ind w:right="90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97,932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4"/>
                <w:szCs w:val="14"/>
                <w:b w:val="1"/>
                <w:bCs w:val="1"/>
                <w:color w:val="auto"/>
              </w:rPr>
              <w:t>December 31, 2014</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4"/>
              <w:spacing w:after="0" w:line="153" w:lineRule="exact"/>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304"/>
              <w:spacing w:after="0" w:line="153"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304"/>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84"/>
              <w:spacing w:after="0"/>
              <w:rPr>
                <w:sz w:val="20"/>
                <w:szCs w:val="20"/>
                <w:color w:val="auto"/>
              </w:rPr>
            </w:pPr>
            <w:r>
              <w:rPr>
                <w:rFonts w:ascii="Arial" w:cs="Arial" w:eastAsia="Arial" w:hAnsi="Arial"/>
                <w:sz w:val="14"/>
                <w:szCs w:val="14"/>
                <w:b w:val="1"/>
                <w:bCs w:val="1"/>
                <w:color w:val="auto"/>
                <w:w w:val="96"/>
              </w:rPr>
              <w:t>Gain</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left="304"/>
              <w:spacing w:after="0"/>
              <w:rPr>
                <w:sz w:val="20"/>
                <w:szCs w:val="20"/>
                <w:color w:val="auto"/>
              </w:rPr>
            </w:pPr>
            <w:r>
              <w:rPr>
                <w:rFonts w:ascii="Arial" w:cs="Arial" w:eastAsia="Arial" w:hAnsi="Arial"/>
                <w:sz w:val="14"/>
                <w:szCs w:val="14"/>
                <w:b w:val="1"/>
                <w:bCs w:val="1"/>
                <w:color w:val="auto"/>
                <w:w w:val="85"/>
              </w:rPr>
              <w:t>Loss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5"/>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109,136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jc w:val="right"/>
              <w:ind w:right="944"/>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CCEEFF"/>
            </w:tcBorders>
            <w:shd w:val="clear" w:color="auto" w:fill="CCEEFF"/>
          </w:tcPr>
          <w:p>
            <w:pPr>
              <w:jc w:val="right"/>
              <w:ind w:right="90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109,087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contractual maturity dates of $79.5 million of our investments are within one year from March 31, 2015. The contractual maturity dates of our remaining securities are less than eighteen months from March 31, 2015.</w:t>
      </w:r>
    </w:p>
    <w:p>
      <w:pPr>
        <w:spacing w:after="0" w:line="35"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Based on an evaluation of securities that were in a loss position, we did not recognize any other-than-temporary impairment charges for the three months ended March 31, 2015 and 2014. None of these investments have been in a continuous loss position for more than 12 months. Our conclusion that these losses are not “other-than-temporary” is based on the high credit quality of the securities, their short remaining maturity periods, and our intent and ability to hold such securities until the date of recovery of their respective market values or maturity.</w:t>
      </w:r>
    </w:p>
    <w:p>
      <w:pPr>
        <w:spacing w:after="0" w:line="117" w:lineRule="exact"/>
        <w:rPr>
          <w:sz w:val="20"/>
          <w:szCs w:val="20"/>
          <w:color w:val="auto"/>
        </w:rPr>
      </w:pPr>
    </w:p>
    <w:p>
      <w:pPr>
        <w:ind w:right="340" w:firstLine="405"/>
        <w:spacing w:after="0" w:line="286" w:lineRule="auto"/>
        <w:rPr>
          <w:sz w:val="20"/>
          <w:szCs w:val="20"/>
          <w:color w:val="auto"/>
        </w:rPr>
      </w:pPr>
      <w:r>
        <w:rPr>
          <w:rFonts w:ascii="Arial" w:cs="Arial" w:eastAsia="Arial" w:hAnsi="Arial"/>
          <w:sz w:val="17"/>
          <w:szCs w:val="17"/>
          <w:color w:val="auto"/>
        </w:rPr>
        <w:t>The estimated fair value of the Notes is based on a market approach. The estimated fair value was approximately $213.8 million (par value $201.3 million) as of March 31, 2015 and represents a Level II valuation. When determining the estimated fair value of our long-term debt, we used a commonly accepted valuation methodology and market-based risk measurements that are indirectly observable, such as credit risk.</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our cash and cash equivalents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2015</w:t>
            </w:r>
          </w:p>
        </w:tc>
        <w:tc>
          <w:tcPr>
            <w:tcW w:w="22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December 31, 2014</w:t>
            </w:r>
          </w:p>
        </w:tc>
      </w:tr>
      <w:tr>
        <w:trPr>
          <w:trHeight w:val="250"/>
        </w:trPr>
        <w:tc>
          <w:tcPr>
            <w:tcW w:w="8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23,493</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15,898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10,220</w:t>
            </w:r>
          </w:p>
        </w:tc>
      </w:tr>
      <w:tr>
        <w:trPr>
          <w:trHeight w:val="27"/>
        </w:trPr>
        <w:tc>
          <w:tcPr>
            <w:tcW w:w="8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33,713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75"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On April 9, 2013, we entered into an amendment (the 2013 Amendment) to the lease agreement dated September 14, 2010 (as amended, the Lease) relating to the lease of office and laboratory space at our corporate headquarters located in South San Francisco, California. The 2013 Amendment provided for an expansion of the premises covered under the Lease, effective April 1, 2014; an extension of the term of the Lease to April 30, 2020 with an option to renew for an additional five years; payment of base rent with rent escalation; and payment of certain operating expenses during the term of the Lease. The 2013 Amendment also provided for an allowance of approximately $0.7 million for tenant improvements, $0.2 million of which was unused by March 31, 2015 and will be used to offset base rent obligations, and an additional allowance of approximately $0.5 million for tenant improvements, which, if used, will be repaid in equal monthly payments with interest at a rate of 9% per annum over the remaining term of the Lease.</w:t>
      </w:r>
    </w:p>
    <w:p>
      <w:pPr>
        <w:spacing w:after="0" w:line="113"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On June 4, 2014, we entered into an additional amendment to the Lease (the June 2014 Amendment), which provided for an expansion of the premises covered under the Lease by approximately 13,000 square feet, effective October 1, 2014; payment of base rent with rent escalation; and payment of certain operating expenses during the term of the Lease. The June 2014 Amendment also provided for an allowance of approximately $0.2 million for tenant improvements, which was fully utilized by March 31, 2015, and an additional allowance of approximately $0.1 million for tenant improvements, which, if used, will be repaid in equal monthly payments with interest at a rate of 9% per annum over the remaining term of the Lease. The total future minimum lease payments for the additional space, which will be paid through April 2020, are approximately $2.3 million as of March 31, 2015.</w:t>
      </w:r>
    </w:p>
    <w:p>
      <w:pPr>
        <w:spacing w:after="0" w:line="11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On September 15, 2014, we entered into an additional amendment to the Lease (the September 2014 Amendment), which provided for an expansion of the premises covered under the Lease by approximately 9,000 square feet, effective October 1, 2014; payment of base rent with rent escalation; and payment of certain operating expenses during the term of the Lease. The September 2014 Amendment also provided for an allowance of approximately $0.2 million for tenant improvements. The total future minimum lease payments for the additional space, which will be paid through April 2020, are approximately $1.6 million as of March 31, 2015.</w:t>
      </w:r>
    </w:p>
    <w:p>
      <w:pPr>
        <w:spacing w:after="0" w:line="134"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On October 14, 2013, Fluidigm Singapore Pte. Ltd., our wholly-owned subsidiary (Fluidigm Singapore), accepted an offer of tenancy (Singapore Lease) from HSBC Institutional Trust Services (Singapore) Limited, as trustee of Ascendas Real Estate Investment Trust (Landlord), relating to the lease of a new facility located in Singapore. Pursuant to the terms of the Singapore Lease, Fluidigm Singapore took possession of the facility commencing on March 3, 2014 for a term of 99 months, and the Singapore Lease and rental obligations thereunder commenced on June 3, 2014. The Singapore Lease also provides Fluidigm Singapore with an option to renew the Singapore Lease for an additional 60 months at the then prevailing market rent, and on similar terms as the existing Singapore Lease. In June 2014, Fluidigm Singapore leased additional space of approximately 2,400 square feet in the same building as the new facility on the same terms as the Singapore Lease (the June 2014 Singapore Lease). We completed the consolidation of our Singapore manufacturing operations in the new space in July 2014 and the site qualification was completed in August 2014. The leases relating to our prior manufacturing facility in Singapore terminated on August 31, 2014. In April 2015, Fluidigm Singapore leased additional space of approximately 10,000 square feet in the same building on the same terms as the Singapore Lease (the April 2015 Singapore Lease). In connection with the April 2015 Singapore Lease, Fluidigm Singapore will terminate the June 2014 Singapore Lease on June 30, 2015. The total future minimum lease payments which will be paid through June 2022, are approximately $4.5 million as of March 31, 2015.</w:t>
      </w:r>
    </w:p>
    <w:p>
      <w:pPr>
        <w:spacing w:after="0" w:line="4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connection with our acquisition of DVS (See Note 4), we acquired the operating leases for facilities in Sunnyvale, California and Markham, Ontario, Canada, which expire in July 2016 and January 2016, respectively. The Canada lease includes an option to renew the lease for an additional five years at the then prevailing market rent, and on similar terms as the existing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lease. We recognize rent expense on a straight-line basis over the non-cancelable lease term. The total future minimum lease payments for the operating leases in Sunnyvale, California and Markham, Ontario, Canada are approximately $368,000 as of March 31, 2015.</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w:t>
      </w:r>
    </w:p>
    <w:p>
      <w:pPr>
        <w:spacing w:after="0" w:line="17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accrue for estimated warranty obligations at the time of product shipment. Management periodically reviews the estimated fair value of its warranty liability and records adjustments based on the terms of warranties provided to customers, historical and anticipated warranty claim experience. Activity for our warranty accrual for the three months ended March 31, 2015 and 2014, which is included in other accrued liabilities, is summarized below (in thousands):</w:t>
      </w:r>
    </w:p>
    <w:p>
      <w:pPr>
        <w:spacing w:after="0" w:line="287"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5"/>
                <w:szCs w:val="15"/>
                <w:color w:val="auto"/>
              </w:rPr>
            </w:pPr>
          </w:p>
        </w:tc>
      </w:tr>
      <w:tr>
        <w:trPr>
          <w:trHeight w:val="258"/>
        </w:trPr>
        <w:tc>
          <w:tcPr>
            <w:tcW w:w="8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14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344</w:t>
            </w:r>
          </w:p>
        </w:tc>
      </w:tr>
      <w:tr>
        <w:trPr>
          <w:trHeight w:val="30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accrual, net</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767</w:t>
            </w:r>
          </w:p>
        </w:tc>
      </w:tr>
      <w:tr>
        <w:trPr>
          <w:trHeight w:val="264"/>
        </w:trPr>
        <w:tc>
          <w:tcPr>
            <w:tcW w:w="812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14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1,111</w:t>
            </w: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From time to time, we may be subject to various legal proceedings and claims arising in the ordinary course of business. We assess contingencies to determine the degree of probability and range of possible loss for potential accrual in our financial statements. An estimated loss contingency is accrued in the financial statements if it is probable that a liability has been incurred and the amount of the loss can be reasonably estimated.</w:t>
      </w:r>
    </w:p>
    <w:p>
      <w:pPr>
        <w:spacing w:after="0" w:line="93"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Pursuant to the terms of a patent cross license agreement with Applied Biosystems, LLC (a subsidiary of Life Technologies Corporation, or Life, and now part of Thermo Fisher Scientific), we were obligated to make a $1.0 million payment to Life upon satisfaction of certain conditions. We do not believe that the conditions triggering the payment obligation have been met; however, on October 16, 2013, Life provided notice that the $1.0 million payment was due and payable under the license agreement. We accrued a loss contingency of $1.0 million on September 30, 2013 and on January 30, 2014, we paid Life the amount due while reserving our rights with respect to such matter. Among other reasons, we made the payment to avoid what would have been, in our view, an improper termination of our license to certain Life patent filings under the agreement, which could have subjected our relevant product lines to risks associated with patent infringement litigation.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94" w:lineRule="exact"/>
        <w:rPr>
          <w:sz w:val="20"/>
          <w:szCs w:val="20"/>
          <w:color w:val="auto"/>
        </w:rPr>
      </w:pPr>
    </w:p>
    <w:p>
      <w:pPr>
        <w:jc w:val="both"/>
        <w:ind w:right="220" w:firstLine="432"/>
        <w:spacing w:after="0" w:line="259" w:lineRule="auto"/>
        <w:rPr>
          <w:sz w:val="20"/>
          <w:szCs w:val="20"/>
          <w:color w:val="auto"/>
        </w:rPr>
      </w:pPr>
      <w:r>
        <w:rPr>
          <w:rFonts w:ascii="Arial" w:cs="Arial" w:eastAsia="Arial" w:hAnsi="Arial"/>
          <w:sz w:val="18"/>
          <w:szCs w:val="18"/>
          <w:color w:val="auto"/>
        </w:rPr>
        <w:t>During the three months ended March 31, 2015 and 2014, we granted certain employees options to purchase 276,000 and 352,000 shares of common stock, respectively. The options granted during the three months ended March 31, 2015 had exercise prices ranging from $38.53 to $44.20 and a total grant date fair value of $5.5 million. The options granted during the three months ended March 31, 2014 had exercise prices ranging from $44.07 to $47.55 and a total grant date fair value of $9.2 million.</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three months ended March 31, 2015 and 2014, we granted certain employees 349,000 and 285,000 restricted stock units, respectively.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units granted during the three months ended March 31, 2015 had fair market values ranging from $37.45 to $44.20 and a total grant date fair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value of $14.3 million. The restricted stock units granted during the three months ended March 31, 2014 had fair market values ranging from $42.43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$47.55 and a total grant date fair value of $13.2 million. The fair value of restricted stock units is determined based on the value of the underlying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on the date of grant.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expenses relating to these options and restricted stock units will be recognized over their respective four-year vesting periods.</w:t>
      </w:r>
    </w:p>
    <w:p>
      <w:pPr>
        <w:spacing w:after="0" w:line="171" w:lineRule="exact"/>
        <w:rPr>
          <w:sz w:val="20"/>
          <w:szCs w:val="20"/>
          <w:color w:val="auto"/>
        </w:rPr>
      </w:pPr>
    </w:p>
    <w:p>
      <w:pPr>
        <w:ind w:right="360" w:firstLine="432"/>
        <w:spacing w:after="0" w:line="312" w:lineRule="auto"/>
        <w:rPr>
          <w:sz w:val="20"/>
          <w:szCs w:val="20"/>
          <w:color w:val="auto"/>
        </w:rPr>
      </w:pPr>
      <w:r>
        <w:rPr>
          <w:rFonts w:ascii="Arial" w:cs="Arial" w:eastAsia="Arial" w:hAnsi="Arial"/>
          <w:sz w:val="16"/>
          <w:szCs w:val="16"/>
          <w:color w:val="auto"/>
        </w:rPr>
        <w:t>We recognized stock-based compensation expense of $4.1 million and $3.4 million during the three months ended March 31, 2015 and 2014, respectively. As of March 31, 2015, we had $18.0 million and $24.2 million of unrecognized stock-based compensation costs related to stock options and restricted stock units, respectively, which are expected to be recognized over a weighted average period of 2.6 years and 3.5 years, respectively.</w:t>
      </w:r>
    </w:p>
    <w:p>
      <w:pPr>
        <w:spacing w:after="0" w:line="93"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In conjunction with the DVS acquisition, we assumed all outstanding DVS stock options and unvested shares of restricted stock (See Note 4). As of March 31, 2015, we had $0.8 million and $0.02 million of unrecognized stock-based compensation costs related to the assumed stock options and restricted stock, respectively, which are expected to be recognized over a remaining weighted average period of 1.5 years and 0.1 years,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Income taxes are primarily comprised of state and foreign income taxes. The provision or benefit for income taxes for the periods presented differs from the 34% U.S. Federal statutory rate primarily due to maintaining a valuation allowance for U.S. losses and tax assets, which we do not consider to be realizable. Income tax expense primarily consists of amounts payable in foreign jurisdictions.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Information about Geographic Areas</w:t>
      </w:r>
    </w:p>
    <w:p>
      <w:pPr>
        <w:spacing w:after="0" w:line="17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operate in one reporting segment, which is the development, manufacturing, and commercialization of life science analytical and preparatory systems consisting of instruments and consumables for academic institutions, clinical laboratories, and pharmaceutical, biotechnology, and Ag-Bio companies in growth markets, such as single-cell biology and production genomics.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our product revenue by geography based on the billing address of our customers for each period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69119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11975" cy="171450"/>
                    </a:xfrm>
                    <a:prstGeom prst="rect">
                      <a:avLst/>
                    </a:prstGeom>
                    <a:noFill/>
                  </pic:spPr>
                </pic:pic>
              </a:graphicData>
            </a:graphic>
          </wp:anchor>
        </w:drawing>
      </w:r>
    </w:p>
    <w:p>
      <w:pPr>
        <w:spacing w:after="0" w:line="233"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23495</wp:posOffset>
            </wp:positionV>
            <wp:extent cx="19380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2014</w:t>
            </w: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11,238</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6,916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6,382</w:t>
            </w:r>
          </w:p>
        </w:tc>
      </w:tr>
      <w:tr>
        <w:trPr>
          <w:trHeight w:val="27"/>
        </w:trPr>
        <w:tc>
          <w:tcPr>
            <w:tcW w:w="7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4,354</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3,332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2,092</w:t>
            </w:r>
          </w:p>
        </w:tc>
      </w:tr>
      <w:tr>
        <w:trPr>
          <w:trHeight w:val="27"/>
        </w:trPr>
        <w:tc>
          <w:tcPr>
            <w:tcW w:w="7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1,383</w:t>
            </w:r>
          </w:p>
        </w:tc>
      </w:tr>
      <w:tr>
        <w:trPr>
          <w:trHeight w:val="237"/>
        </w:trPr>
        <w:tc>
          <w:tcPr>
            <w:tcW w:w="784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26,646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25,449</w:t>
            </w:r>
          </w:p>
        </w:tc>
      </w:tr>
      <w:tr>
        <w:trPr>
          <w:trHeight w:val="27"/>
        </w:trPr>
        <w:tc>
          <w:tcPr>
            <w:tcW w:w="7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Our license and grant revenues are primarily generated in the United States. No individual customer represented more than 10% of our revenues for the three month periods ended March 31, 2015 and 2014.</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operating and other expenses, unit sales, business strategies, financing plans, expansion of our business,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24"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Form 10-Q, and in our Annual Report on Form 10-K filed with the Securities and Exchange Commission, or SEC. Given these uncertainties, you should not place undue reliance on these forward-looking statements. Also, forward-looking statements represent our management’s beliefs and assumptions only as of the date of this Form 10-Q.</w:t>
      </w:r>
    </w:p>
    <w:p>
      <w:pPr>
        <w:spacing w:after="0" w:line="10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111"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i w:val="1"/>
          <w:iCs w:val="1"/>
          <w:color w:val="auto"/>
        </w:rPr>
        <w:t>“Fluidigm,” the Fluidigm logo, “Access Array,” “Biomark,” “C1,” “CyTOF,” “Delta Gene,” “EP1,” “Juno,” and “SNP Type,” are trademarks or registered trademarks of Fluidigm Corporation. Other service marks, trademarks, and trade names referred to in this Form 10-Q are the property of their respective owners.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 this Form 10-Q, “we,” “us,” and “our” refer to Fluidigm Corporation and its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create, manufacture, and market innovative technologies and life-science tools focused on the exploration and analysis of single cells, as well as the industrial application of genomics, based upon our core microfluidics and mass cytometry technologies. We sell instruments and consumables, including integrated fluidic circuits, or IFCs, assays, and reagents, to academic institutions, clinical laboratories, and pharmaceutical, biotechnology, and agricultural biotechnology, or Ag-Bio, companies.</w:t>
      </w:r>
    </w:p>
    <w:p>
      <w:pPr>
        <w:spacing w:after="0" w:line="133" w:lineRule="exact"/>
        <w:rPr>
          <w:sz w:val="20"/>
          <w:szCs w:val="20"/>
          <w:color w:val="auto"/>
        </w:rPr>
      </w:pPr>
    </w:p>
    <w:p>
      <w:pPr>
        <w:ind w:right="340" w:firstLine="405"/>
        <w:spacing w:after="0" w:line="272" w:lineRule="auto"/>
        <w:rPr>
          <w:sz w:val="20"/>
          <w:szCs w:val="20"/>
          <w:color w:val="auto"/>
        </w:rPr>
      </w:pPr>
      <w:r>
        <w:rPr>
          <w:rFonts w:ascii="Arial" w:cs="Arial" w:eastAsia="Arial" w:hAnsi="Arial"/>
          <w:sz w:val="17"/>
          <w:szCs w:val="17"/>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primarily located in Singapore and Canada. Our facility in Singapore manufactures our genomics instruments, several of which are assembled at facilities of our contract manufacturers in Singapore, with testing and calibration of the assembled products performed at our Singapore facility. All of our IFCs for commercial sale and some IFCs for our research and development purposes are also fabricated at our Singapore facility. Our proteomics analytical instruments are manufactured at our facility in Canada. We also manufacture IFCs for research and development, assays, and reagents at our facilities in South San Francisco, California.</w:t>
      </w:r>
    </w:p>
    <w:p>
      <w:pPr>
        <w:spacing w:after="0" w:line="43" w:lineRule="exact"/>
        <w:rPr>
          <w:sz w:val="20"/>
          <w:szCs w:val="20"/>
          <w:color w:val="auto"/>
        </w:rPr>
      </w:pPr>
    </w:p>
    <w:p>
      <w:pPr>
        <w:jc w:val="both"/>
        <w:ind w:right="220" w:firstLine="432"/>
        <w:spacing w:after="0" w:line="312" w:lineRule="auto"/>
        <w:rPr>
          <w:sz w:val="20"/>
          <w:szCs w:val="20"/>
          <w:color w:val="auto"/>
        </w:rPr>
      </w:pPr>
      <w:r>
        <w:rPr>
          <w:rFonts w:ascii="Arial" w:cs="Arial" w:eastAsia="Arial" w:hAnsi="Arial"/>
          <w:sz w:val="16"/>
          <w:szCs w:val="16"/>
          <w:color w:val="auto"/>
        </w:rPr>
        <w:t>Our total revenue grew from $71.2 million in 2013 to $116.5 million in 2014 (including $20.7 million in revenue from the sales of CyTOF 2 systems and related consumables following our acquisition of DVS in February 2014), and for the three months ended March 31, 2015, our total revenue was $26.7 million. We have incurred significant net losses since our inception in 1999 and, as of March 31, 2015, our accumulated deficit was $326.1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94"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Our condensed consolidated financial statements and the related notes included elsewhere in this Form 10-Q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Accordingly, actual results could differ significantly from the estimates made by our management. We evaluate our estimates and assumptions on an ongoing basis. To the extent there are material differences between these estimates and actual results, our future financial statement presentation, financial condition, results of operations, and cash flows will be affected.</w:t>
      </w:r>
    </w:p>
    <w:p>
      <w:pPr>
        <w:spacing w:after="0" w:line="12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Except as otherwise disclosed, there have been no material changes in our critical accounting policies and estimates in the preparation of our condensed consolidated financial statements during the three months ended March 31, 2015 compared to those disclosed in our Annual Report on Form 10-K for the year ended December 31, 2014, as filed with the SEC on February 26,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presents our historical condensed consolidated statements of operations data for the three months ended March 31, 2015 and 2014, and as a percentage of total revenue for the respective periods ($ in thousands):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r>
      <w:tr>
        <w:trPr>
          <w:trHeight w:val="276"/>
        </w:trPr>
        <w:tc>
          <w:tcPr>
            <w:tcW w:w="6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4"/>
        </w:trPr>
        <w:tc>
          <w:tcPr>
            <w:tcW w:w="68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8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26,729</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100 %</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25,724</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80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10,646</w:t>
            </w:r>
          </w:p>
        </w:tc>
        <w:tc>
          <w:tcPr>
            <w:tcW w:w="100" w:type="dxa"/>
            <w:vAlign w:val="bottom"/>
          </w:tcPr>
          <w:p>
            <w:pPr>
              <w:spacing w:after="0"/>
              <w:rPr>
                <w:sz w:val="21"/>
                <w:szCs w:val="21"/>
                <w:color w:val="auto"/>
              </w:rPr>
            </w:pPr>
          </w:p>
        </w:tc>
        <w:tc>
          <w:tcPr>
            <w:tcW w:w="900" w:type="dxa"/>
            <w:vAlign w:val="bottom"/>
          </w:tcPr>
          <w:p>
            <w:pPr>
              <w:jc w:val="right"/>
              <w:ind w:right="154"/>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8,704</w:t>
            </w:r>
          </w:p>
        </w:tc>
        <w:tc>
          <w:tcPr>
            <w:tcW w:w="100" w:type="dxa"/>
            <w:vAlign w:val="bottom"/>
          </w:tcPr>
          <w:p>
            <w:pPr>
              <w:spacing w:after="0"/>
              <w:rPr>
                <w:sz w:val="21"/>
                <w:szCs w:val="21"/>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34</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7,646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30</w:t>
            </w:r>
          </w:p>
        </w:tc>
      </w:tr>
      <w:tr>
        <w:trPr>
          <w:trHeight w:val="243"/>
        </w:trPr>
        <w:tc>
          <w:tcPr>
            <w:tcW w:w="68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20,094</w:t>
            </w:r>
          </w:p>
        </w:tc>
        <w:tc>
          <w:tcPr>
            <w:tcW w:w="100" w:type="dxa"/>
            <w:vAlign w:val="bottom"/>
          </w:tcPr>
          <w:p>
            <w:pPr>
              <w:spacing w:after="0"/>
              <w:rPr>
                <w:sz w:val="21"/>
                <w:szCs w:val="21"/>
                <w:color w:val="auto"/>
              </w:rPr>
            </w:pPr>
          </w:p>
        </w:tc>
        <w:tc>
          <w:tcPr>
            <w:tcW w:w="900" w:type="dxa"/>
            <w:vAlign w:val="bottom"/>
          </w:tcPr>
          <w:p>
            <w:pPr>
              <w:jc w:val="right"/>
              <w:ind w:right="154"/>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15,257</w:t>
            </w:r>
          </w:p>
        </w:tc>
        <w:tc>
          <w:tcPr>
            <w:tcW w:w="100" w:type="dxa"/>
            <w:vAlign w:val="bottom"/>
          </w:tcPr>
          <w:p>
            <w:pPr>
              <w:spacing w:after="0"/>
              <w:rPr>
                <w:sz w:val="21"/>
                <w:szCs w:val="21"/>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59</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expenses</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10,696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41</w:t>
            </w:r>
          </w:p>
        </w:tc>
      </w:tr>
      <w:tr>
        <w:trPr>
          <w:trHeight w:val="237"/>
        </w:trPr>
        <w:tc>
          <w:tcPr>
            <w:tcW w:w="680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40,730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42,303</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164</w:t>
            </w:r>
          </w:p>
        </w:tc>
      </w:tr>
      <w:tr>
        <w:trPr>
          <w:trHeight w:val="27"/>
        </w:trPr>
        <w:tc>
          <w:tcPr>
            <w:tcW w:w="6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(16,579)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(64)</w:t>
            </w:r>
          </w:p>
        </w:tc>
      </w:tr>
      <w:tr>
        <w:trPr>
          <w:trHeight w:val="243"/>
        </w:trPr>
        <w:tc>
          <w:tcPr>
            <w:tcW w:w="68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1"/>
                <w:szCs w:val="21"/>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(4)</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7"/>
        </w:trPr>
        <w:tc>
          <w:tcPr>
            <w:tcW w:w="6800" w:type="dxa"/>
            <w:vAlign w:val="bottom"/>
          </w:tcPr>
          <w:p>
            <w:pPr>
              <w:ind w:left="38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(17,557)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(68)</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 from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w:t>
            </w:r>
          </w:p>
        </w:tc>
      </w:tr>
      <w:tr>
        <w:trPr>
          <w:trHeight w:val="257"/>
        </w:trPr>
        <w:tc>
          <w:tcPr>
            <w:tcW w:w="6800" w:type="dxa"/>
            <w:vAlign w:val="bottom"/>
          </w:tcPr>
          <w:p>
            <w:pPr>
              <w:ind w:left="38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(15,931)</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(15,414)</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generate revenue from sales of our products, license agreements, and government grants. Our product revenue consists of sales of instruments and related services, and consumables, including IFCs, assays, and other reagents. We have entered into license agreements and have received government grants to conduct research and development activities.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361" w:lineRule="exact"/>
        <w:rPr>
          <w:sz w:val="20"/>
          <w:szCs w:val="20"/>
          <w:color w:val="auto"/>
        </w:rPr>
      </w:pPr>
    </w:p>
    <w:p>
      <w:pPr>
        <w:ind w:left="97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101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33020</wp:posOffset>
            </wp:positionV>
            <wp:extent cx="12261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Borders>
              <w:bottom w:val="single" w:sz="8" w:color="CCEEFF"/>
            </w:tcBorders>
          </w:tcPr>
          <w:p>
            <w:pPr>
              <w:spacing w:after="0"/>
              <w:rPr>
                <w:sz w:val="16"/>
                <w:szCs w:val="16"/>
                <w:color w:val="auto"/>
              </w:rPr>
            </w:pPr>
          </w:p>
        </w:tc>
        <w:tc>
          <w:tcPr>
            <w:tcW w:w="5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Revenue:</w:t>
            </w:r>
          </w:p>
        </w:tc>
        <w:tc>
          <w:tcPr>
            <w:tcW w:w="5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380"/>
              <w:spacing w:after="0"/>
              <w:rPr>
                <w:sz w:val="20"/>
                <w:szCs w:val="20"/>
                <w:color w:val="auto"/>
              </w:rPr>
            </w:pPr>
            <w:r>
              <w:rPr>
                <w:rFonts w:ascii="Arial" w:cs="Arial" w:eastAsia="Arial" w:hAnsi="Arial"/>
                <w:sz w:val="18"/>
                <w:szCs w:val="18"/>
                <w:color w:val="auto"/>
              </w:rPr>
              <w:t>Instruments</w:t>
            </w:r>
          </w:p>
        </w:tc>
        <w:tc>
          <w:tcPr>
            <w:tcW w:w="6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15,820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15,107</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Consumables</w:t>
            </w:r>
          </w:p>
        </w:tc>
        <w:tc>
          <w:tcPr>
            <w:tcW w:w="59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10,826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10,342</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59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26,646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25,449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 revenue</w:t>
            </w:r>
          </w:p>
        </w:tc>
        <w:tc>
          <w:tcPr>
            <w:tcW w:w="5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Grant revenue</w:t>
            </w:r>
          </w:p>
        </w:tc>
        <w:tc>
          <w:tcPr>
            <w:tcW w:w="5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6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25,724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bottom w:val="single" w:sz="8" w:color="CCEEFF"/>
            </w:tcBorders>
            <w:vMerge w:val="restart"/>
          </w:tcPr>
          <w:p>
            <w:pPr>
              <w:jc w:val="right"/>
              <w:ind w:right="3590"/>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00" w:type="dxa"/>
            <w:vAlign w:val="bottom"/>
          </w:tcPr>
          <w:p>
            <w:pPr>
              <w:spacing w:after="0"/>
              <w:rPr>
                <w:sz w:val="24"/>
                <w:szCs w:val="24"/>
                <w:color w:val="auto"/>
              </w:rPr>
            </w:pPr>
          </w:p>
        </w:tc>
        <w:tc>
          <w:tcPr>
            <w:tcW w:w="5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 presents our product revenue by geography and as a percentage of total product revenue by geography based on the billing address of our customers for each period presented ($ in thousands):</w:t>
      </w:r>
    </w:p>
    <w:p>
      <w:pPr>
        <w:spacing w:after="0" w:line="320"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37465</wp:posOffset>
            </wp:positionV>
            <wp:extent cx="2315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6"/>
                <w:szCs w:val="16"/>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6,916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6,382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3,332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778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26,646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25,449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customers include academic research institutions, clinical laboratories, and pharmaceutical, biotechnology, and Ag-Bio companies worldwide.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Total revenue from our five largest customers in each of the periods presented comprised 11% and 19% of our total revenue in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March 31, 2015 and 2014,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2015 and March 31, 2014</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Total revenue increased by $1.0 million, or 4%, to $26.7 million for the three months ended March 31, 2015, compared to $25.7 million for the three months ended March 31, 2014.</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Product revenue increased by $1.2 million, or 5%, to $26.6 million for the three months ended March 31, 2015, compared to $25.4 million for the three months ended March 31, 2014.</w:t>
      </w:r>
    </w:p>
    <w:p>
      <w:pPr>
        <w:spacing w:after="0" w:line="11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Instrument revenue increased by $0.7 million, or 5%, primarily driven by higher unit sales of our preparatory systems, including the C1 system and the recently introduced Juno system; increased revenue from service offerings; higher unit sales of the EP1 system; and to a lesser extent, increased unit sales of the CyTOF 2 system and contributions from our other new products. The revenue increase was partially offset by a significant decrease in unit sales of Biomark HD systems and negative effects of foreign currency of $0.8 million.</w:t>
      </w:r>
    </w:p>
    <w:p>
      <w:pPr>
        <w:spacing w:after="0" w:line="133"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Consumables revenue increased by $0.5 million, or 5%, primarily due to growth in C1 IFC unit sales volume, higher antibody consumable sales, and to a lesser extent, higher sales of reagents. The revenue increase was partially offset by a decrease in analytical IFC unit volume and assay sales and negative effects of foreign currency of $0.7 million. Annualized IFC pull-through for our genomics analytical systems was below our historical range of $40,000 to $50,000 per system due to volatility based on timing of large production genomics customer purchases, within our expected range of $15,000 to $25,000 per system for our genomics preparatory systems, and within the historical range of $50,000 to $70,000 per system for our proteomics analytical systems. IFC pull-through is determined by dividing the applicable IFC revenue for a specific period by the number of genomics analytical or preparatory systems, as applicable, in our installed base at the beginning of the period. Similarly, consumables pull-through for proteomics analytical systems is determined by dividing the related consumables revenue for a specific period by the number of proteomics analytical systems in our installed base at the beginning of the period. The IFC and consumables pull-through amounts are annualized by multiplying the pull-through amounts by a ratio, the numerator of which equals 12 and the denominator of which equals the number of months in the specific period.</w:t>
      </w:r>
    </w:p>
    <w:p>
      <w:pPr>
        <w:spacing w:after="0" w:line="124"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expect total unit sales of both instruments and consumables to increase over time as we continue our efforts to grow our customer base, expand our geographic market coverage, and launch new products. However, we expect the average selling prices of our products to fluctuate over time based on market conditions, product mix, and currency fluctuations.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Grant revenue consists of a grant from California Institute for Regenerative Medicine, or CIRM. Our CIRM grant was awarded in 2011 in the amount of $1.9 million to be earned over a three-year period which ended in April 2014. The CIRM grant revenue is recognized as the related research and development services are performed and costs associated with the grants are recognized as research and development expense during the period incurred.</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did not receive any grant revenue for the three months ended March 31, 2015. Grant revenue was $0.2 million for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cost of product revenue and product margin for each period presented ($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Three Months Ended</w:t>
            </w:r>
          </w:p>
        </w:tc>
        <w:tc>
          <w:tcPr>
            <w:tcW w:w="1160" w:type="dxa"/>
            <w:vAlign w:val="bottom"/>
          </w:tcPr>
          <w:p>
            <w:pPr>
              <w:spacing w:after="0"/>
              <w:rPr>
                <w:sz w:val="17"/>
                <w:szCs w:val="17"/>
                <w:color w:val="auto"/>
              </w:rPr>
            </w:pPr>
          </w:p>
        </w:tc>
      </w:tr>
      <w:tr>
        <w:trPr>
          <w:trHeight w:val="210"/>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gridSpan w:val="3"/>
          </w:tcPr>
          <w:p>
            <w:pPr>
              <w:jc w:val="right"/>
              <w:ind w:right="310"/>
              <w:spacing w:after="0"/>
              <w:rPr>
                <w:sz w:val="20"/>
                <w:szCs w:val="20"/>
                <w:color w:val="auto"/>
              </w:rPr>
            </w:pPr>
            <w:r>
              <w:rPr>
                <w:rFonts w:ascii="Arial" w:cs="Arial" w:eastAsia="Arial" w:hAnsi="Arial"/>
                <w:sz w:val="16"/>
                <w:szCs w:val="16"/>
                <w:b w:val="1"/>
                <w:bCs w:val="1"/>
                <w:color w:val="auto"/>
              </w:rPr>
              <w:t>March 31,</w:t>
            </w:r>
          </w:p>
        </w:tc>
        <w:tc>
          <w:tcPr>
            <w:tcW w:w="1160" w:type="dxa"/>
            <w:vAlign w:val="bottom"/>
          </w:tcPr>
          <w:p>
            <w:pPr>
              <w:spacing w:after="0"/>
              <w:rPr>
                <w:sz w:val="18"/>
                <w:szCs w:val="18"/>
                <w:color w:val="auto"/>
              </w:rPr>
            </w:pPr>
          </w:p>
        </w:tc>
      </w:tr>
      <w:tr>
        <w:trPr>
          <w:trHeight w:val="33"/>
        </w:trPr>
        <w:tc>
          <w:tcPr>
            <w:tcW w:w="7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8"/>
        </w:trPr>
        <w:tc>
          <w:tcPr>
            <w:tcW w:w="75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2014</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8"/>
              </w:rPr>
              <w:t>10,646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8,704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17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installation, packaging, and delivery costs. In addition, cost of product revenue includes amortization of developed technology, royalty costs for licensed technologies included in our products, warranty, service, provisions for slow-moving and obsolete inventory, and stock-based compensation expense. Costs related to license and grant revenue are included in research and development expense.</w:t>
      </w:r>
    </w:p>
    <w:p>
      <w:pPr>
        <w:spacing w:after="0" w:line="133"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Cost of product revenue increased by $1.9 million, or 22%, to $10.6 million for the three months ended March 31, 2015 from $8.7 million for the three months ended March 31, 2014. Cost of product revenue for the three months ended March 31, 2015 includes $2.8 million of amortization of acquired intangible assets resulting from our acquisition of DVS Sciences, Inc., or DVS, an increase of $1.4 million when compared to the comparable period in 2014, partially offset by charges from inventory step-up expensed during 2014 related to the acquisition of approximately $0.5 million. Overall cost of product revenue as a percentage of related revenue was 40% and 34%, including 10.5 and 7.5 percentage points related to these charges, for the three months ended March 31, 2015 and 2014, respectively. Product margin declined 6 percentage points for the three months ended March 31, 2015 compared to the corresponding period in 2014 primarily because of the net increase in acquisition-related charges described above, net negative effects of foreign currency exchange rate changes on revenues and production costs, higher consumables manufacturing costs, and higher stock based compensation expenses; partially offset by higher service revenue margin, and lower instrument warranty and royalty costs.</w:t>
      </w:r>
    </w:p>
    <w:p>
      <w:pPr>
        <w:sectPr>
          <w:pgSz w:w="11900" w:h="16838" w:orient="portrait"/>
          <w:cols w:equalWidth="0" w:num="1">
            <w:col w:w="11420"/>
          </w:cols>
          <w:pgMar w:left="240" w:top="125" w:right="239" w:bottom="1440" w:gutter="0" w:footer="0" w:header="0"/>
        </w:sectPr>
      </w:pP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our operating expenses for each period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689610</wp:posOffset>
            </wp:positionV>
            <wp:extent cx="721233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Research and development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1233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16465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43"/>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9,990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7,646</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20,094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15,257</w:t>
            </w:r>
          </w:p>
        </w:tc>
      </w:tr>
      <w:tr>
        <w:trPr>
          <w:trHeight w:val="27"/>
        </w:trPr>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30,084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22,903</w:t>
            </w:r>
          </w:p>
        </w:tc>
      </w:tr>
      <w:tr>
        <w:trPr>
          <w:trHeight w:val="27"/>
        </w:trPr>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60" w:space="720"/>
            <w:col w:w="2640"/>
          </w:cols>
          <w:pgMar w:left="240" w:top="125" w:right="239" w:bottom="1440" w:gutter="0" w:footer="0" w:header="0"/>
          <w:type w:val="continuous"/>
        </w:sectPr>
      </w:pPr>
    </w:p>
    <w:p>
      <w:pPr>
        <w:spacing w:after="0" w:line="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33"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Research and development expense increased $2.3 million, or 31%, to $10.0 million for the three months ended March 31, 2015, compared to $7.6 million for the three months ended March 31, 2014, primarily because of higher headcount and compensation-related costs of $1.2 million, increases in lab supplies and equipment costs of $0.7 million, and other expenses of $0.4 million. These increases resulted from additional expenses to support the growth of our business and the development of our products and services, including additional expenses relating to the acquired DVS operations for the full quarter in 2015 compared to a partial quarter in the prior year.</w:t>
      </w:r>
    </w:p>
    <w:p>
      <w:pPr>
        <w:spacing w:after="0" w:line="13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We believe that our continued investment in research and development is essential to our long-term competitive position and these expenses may increase in future periods.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16"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Selling, general and administrative expense for the three months ended March 31, 2015 increased $4.8 million, or 32%, to $20.1 million, compared to $15.3 million for the three months ended March 31, 2014, primarily driven by higher headcount and compensation-related costs of $3.5 million, increases in legal, accounting and other outside services costs of $0.7 million, increases in facilities leasing costs of $0.6 million, and increases in travel and related costs of $0.2 million, partly offset by integration-related costs of $0.3 million incurred in the prior year. These increases resulted from additional expenses to expand our worldwide commercial capabilities and support our growth, including additional expenses relating to the acquired DVS operations for the full quarter in 2015 compared to a partial quarter in the prior year. We expect selling, general and administrative expense to increase in future periods as we continue to grow our sales, technical support, marketing, and administrative headcount, support increased product sales, broaden our customer base, and incur additional costs to support our expanding global footprint and the overall growth in our business.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Acquisition-Related Expenses</w:t>
      </w:r>
    </w:p>
    <w:p>
      <w:pPr>
        <w:spacing w:after="0" w:line="90"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Acquisition-related expenses of $10.7 million incurred during the three months ended March 31, 2014 primarily included accelerated vesting of certain DVS restricted stock and stock options, and consulting, legal, and investment banking fees relating to our acquisition of DVS.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Income and Expense, Net</w:t>
      </w:r>
    </w:p>
    <w:p>
      <w:pPr>
        <w:spacing w:after="0" w:line="17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have incurred interest expense and amortization of debt discount related to our long-term debt. The following table presents interest expense and other (expense) income, net for each period presented (in thousands):</w:t>
      </w:r>
    </w:p>
    <w:p>
      <w:pPr>
        <w:spacing w:after="0" w:line="279"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March 31,</w:t>
            </w:r>
          </w:p>
        </w:tc>
        <w:tc>
          <w:tcPr>
            <w:tcW w:w="1180" w:type="dxa"/>
            <w:vAlign w:val="bottom"/>
          </w:tcPr>
          <w:p>
            <w:pPr>
              <w:spacing w:after="0"/>
              <w:rPr>
                <w:sz w:val="18"/>
                <w:szCs w:val="18"/>
                <w:color w:val="auto"/>
              </w:rPr>
            </w:pPr>
          </w:p>
        </w:tc>
      </w:tr>
      <w:tr>
        <w:trPr>
          <w:trHeight w:val="25"/>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8"/>
        </w:trPr>
        <w:tc>
          <w:tcPr>
            <w:tcW w:w="79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80" w:type="dxa"/>
            <w:vAlign w:val="bottom"/>
          </w:tcPr>
          <w:p>
            <w:pPr>
              <w:jc w:val="right"/>
              <w:ind w:right="614"/>
              <w:spacing w:after="0"/>
              <w:rPr>
                <w:sz w:val="20"/>
                <w:szCs w:val="20"/>
                <w:color w:val="auto"/>
              </w:rPr>
            </w:pPr>
            <w:r>
              <w:rPr>
                <w:rFonts w:ascii="Arial" w:cs="Arial" w:eastAsia="Arial" w:hAnsi="Arial"/>
                <w:sz w:val="14"/>
                <w:szCs w:val="14"/>
                <w:b w:val="1"/>
                <w:bCs w:val="1"/>
                <w:color w:val="auto"/>
              </w:rPr>
              <w:t>2014</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48</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February 4, 2014, we closed an underwritten public offering of $201.3 million aggregate principal amount of our 2.75% Senior Convertible Notes due 2034, or the Notes. The Notes accrue interest at a rate of 2.75% per year, payable semi-annually in arrears on February 1 and August 1 of each year, commencing August 1, 2014. The Notes will mature on February 1, 2034, unless earlier converted, redeemed, or repurchased in accordance with the terms of the Notes.</w:t>
      </w:r>
    </w:p>
    <w:p>
      <w:pPr>
        <w:spacing w:after="0" w:line="133"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Interest expense for the three months ended March 31, 2015 increased by $0.4 million compared to the three months ended March 31, 2014 due to accrual of interest under the terms of the Notes for a full quarter in 2015, as compared to a partial quarter in 2014.</w:t>
      </w:r>
    </w:p>
    <w:p>
      <w:pPr>
        <w:spacing w:after="0" w:line="116"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Other expense for the three months ended March 31, 2015 increased by $1.1 million compared to the three months ended March 31, 2014 primarily due to $1.3 million of losses from revaluation of certain foreign currency denominated assets and liabilities due to strengthening of the U.S. dollar during the first quarter of 2015 compared to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March 31, 2015, our principal sources of liquidity consisted of $37.0 million of cash and cash equivalents and $97.9 million of investments. As of March 31, 2015, our working capital excluding deferred revenue totaled $137.7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334" w:lineRule="exact"/>
        <w:rPr>
          <w:sz w:val="20"/>
          <w:szCs w:val="20"/>
          <w:color w:val="auto"/>
        </w:rPr>
      </w:pPr>
    </w:p>
    <w:p>
      <w:pPr>
        <w:ind w:left="88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March 31,</w:t>
            </w:r>
          </w:p>
        </w:tc>
        <w:tc>
          <w:tcPr>
            <w:tcW w:w="1280" w:type="dxa"/>
            <w:vAlign w:val="bottom"/>
          </w:tcPr>
          <w:p>
            <w:pPr>
              <w:spacing w:after="0"/>
              <w:rPr>
                <w:sz w:val="18"/>
                <w:szCs w:val="18"/>
                <w:color w:val="auto"/>
              </w:rPr>
            </w:pPr>
          </w:p>
        </w:tc>
      </w:tr>
      <w:tr>
        <w:trPr>
          <w:trHeight w:val="25"/>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8"/>
        </w:trPr>
        <w:tc>
          <w:tcPr>
            <w:tcW w:w="76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Cash flow summary</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1140" w:type="dxa"/>
            <w:vAlign w:val="bottom"/>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(9,800)</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(10,547)</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10,071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(121,231)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1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3,732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197,499</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1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3,269</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65,763</w:t>
            </w:r>
          </w:p>
        </w:tc>
      </w:tr>
      <w:tr>
        <w:trPr>
          <w:trHeight w:val="27"/>
        </w:trPr>
        <w:tc>
          <w:tcPr>
            <w:tcW w:w="76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derive cash flows from operations primarily from cash collected from the sale of our products, license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this may continue in the future.</w:t>
      </w:r>
    </w:p>
    <w:p>
      <w:pPr>
        <w:spacing w:after="0" w:line="52"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Net cash used in operating activities was $9.8 million for the three months ended March 31, 2015, compared to $10.5 million for the three months ended March 31, 2014, a decrease of $0.7 million. The cash used in operating activities in the first three months of 2015 resulted from a net loss of $15.9 million, adjusted for $8.2 million in non-cash charges and a $2.1 million net increase in working capital. The significant non-cash charges included stock-based compensation expense, amortization of intangible assets, and depreciation and amortization. The net increase in working capital was driven primarily by a net decrease in other liabilities and accounts payable, and increased inventory balances, partially offset by a decrease in accounts receivable, prepaid and other assets, and an increase in deferred revenue. Our net loss, adjusted for non-cash and non-operating items, and deferred revenue increased by $1.4 million for the three months ended March 31, 2015 compared to the same period in 2014, which included $10.7 million of acquisition related charges. This was primarily due to increased operating expenses, including a full quarter impact of the acquired DVS operations in 2015, as compared to a partial quarter impact in 2014.</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90"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Our primary investing activities consist of purchases, sales, and maturities of our short-term and long-term investments, and capital expenditures for manufacturing, laboratory, and computer equipment and software to support our expanding infrastructure and work force. We expect to continue to expand our manufacturing capability, including improvements in manufacturing productivity, and expect to incur additional costs for capital expenditures related to these efforts in future periods. In addition, we expect to continue to incur costs for capital expenditures for demonstration units and loaner equipment to support our sales and service efforts, and computer equipment and software to support our growth.</w:t>
      </w:r>
    </w:p>
    <w:p>
      <w:pPr>
        <w:spacing w:after="0" w:line="37"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Net cash provided by investing activities was $10.1 million during the three months ended March 31, 2015. Net cash provided by investing activities primarily consisted of $11.1 million of proceeds from sales and maturities of investments, partially offset by capital expenditures of $0.9 million and purchase of intangible assets $0.1 million primarily to support growth in our employee base worldwide and our growth in manufacturing operations.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90"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Net cash provided by financing activities was $3.7 million during the three months ended March 31, 2015 and consists of proceeds received in connection with the exercise of options for our common stock.</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At March 31, 2015, our working capital excluding deferred revenue was $137.7 million, including cash, cash equivalents, and short-term investments of $116.4 million. 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expand the commercialization of our products, expand and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 We currently have no material commitments or agreements relating to any such acquisitions.</w:t>
      </w:r>
    </w:p>
    <w:p>
      <w:pPr>
        <w:spacing w:after="0" w:line="13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If we require additional funds in the future,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As of March 31, 2015, we did not have any off-balance sheet arrangements as defined in Item 303(a)(4) of Regulation S-K promulgated under the Exchange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On April 9, 2013, we entered into an amendment (the 2013 Amendment) to the lease agreement dated September 14, 2010 (as amended, the Lease) relating to the lease of office and laboratory space at our corporate headquarters located in South San Francisco, California. The 2013 Amendment provided for an expansion of the premises covered under the Lease, effective April 1, 2014; an extension of the term of the Lease to April 30, 2020 with an option to renew for an additional five years; payment of base rent with rent escalation; and payment of certain operating expenses during the term of the Lease. The 2013 Amendment also provided for an allowance of approximately $0.7 million for tenant improvements, $0.2 million of which was unused by March 31, 2015 and will be used to offset base rent obligations, and an additional allowance of approximately $0.5 million for tenant improvements, which, if used, will be repaid in equal monthly payments with interest at a rate of 9% per annum over the remaining term of the Lease.</w:t>
      </w:r>
    </w:p>
    <w:p>
      <w:pPr>
        <w:spacing w:after="0" w:line="113"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On June 4, 2014, we entered into an additional amendment to the Lease (the June 2014 Amendment), which provided for an expansion of the premises covered under the Lease by approximately 13,000 square feet, effective October 1, 2014; payment of base rent with rent escalation; and payment of certain operating expenses during the term of the Lease. The June 2014 Amendment also provided for an allowance of approximately $0.2 million for tenant improvements, which was fully utilized by March 31, 2015, and an additional allowance of approximately $0.1 million for tenant improvements, which, if used, will be repaid in equal monthly payments with interest at a rate of 9% per annum over the remaining term of the Lease. The total future minimum lease payments for the additional space, which will be paid through April 2020, are approximately $2.3 million as of March 31, 2015.</w:t>
      </w:r>
    </w:p>
    <w:p>
      <w:pPr>
        <w:spacing w:after="0" w:line="111"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On September 15, 2014, we entered into an additional amendment to the Lease (the September 2014 Amendment), which provided for an expansion of the premises covered under the Lease by approximately 9,000 square feet, effective October 1, 2014; payment of base rent with rent escalation; and payment of certain operating expenses during the term of the Lease. The September 2014 Amendment also provided for an allowance of approximately $0.2 million for tenant improvements. The total future minimum lease payments for the additional space, which will be paid through April 2020, are approximately $1.6 million as of March 31, 2015.</w:t>
      </w:r>
    </w:p>
    <w:p>
      <w:pPr>
        <w:spacing w:after="0" w:line="134"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On October 14, 2013, Fluidigm Singapore Pte. Ltd., our wholly-owned subsidiary (Fluidigm Singapore), accepted an offer of tenancy (Singapore Lease) from HSBC Institutional Trust Services (Singapore) Limited, as trustee of Ascendas Real Estate Investment Trust (Landlord), relating to the lease of a new facility located in Singapore. Pursuant to the terms of the Singapore Lease, Fluidigm Singapore took possession of the facility commencing on March 3, 2014 for a term of 99 months, and the Singapore Lease and rental obligations thereunder commenced on June 3, 2014. The Singapore Lease also provides Fluidigm Singapore with an option to renew the Singapore Lease for an additional 60 months at the then prevailing market rent, and on similar terms as the existing Singapore Lease. In June 2014, Fluidigm Singapore leased additional space of approximately 2,400 square feet in the same building as the new facility on the same terms as the Singapore Lease (the June 2014 Singapore Lease). We completed the consolidation of our Singapore manufacturing operations in the new space in July 2014 and the site qualification was completed in August 2014. The leases relating to our prior manufacturing facility in Singapore terminated on August 31, 2014. In April 2015, Fluidigm Singapore leased additional space of approximately 10,000 square feet in the same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building on the same terms as the Singapore Lease (the April 2015 Singapore Lease). In connection with the April 2015 Singapore Lease, Fluidigm Singapore will terminate the June 2014 Singapore Lease on June 30, 2015. The total future minimum lease payments, which will be paid through June 2022, are approximately $4.5 million as of March 31, 2015.</w:t>
      </w:r>
    </w:p>
    <w:p>
      <w:pPr>
        <w:spacing w:after="0" w:line="46"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connection with our acquisition of DVS (as discussed in Note 4 of our notes to the condensed consolidated financial statements), we acquired the operating leases for facilities in Sunnyvale, California and Markham, Ontario, Canada, which expire in July 2016 and January 2016, respectively. The Canada lease includes an option to renew the lease for an additional five years at the then prevailing market rent, and on similar terms as the existing lease. We recognize rent expense on a straight-line basis over the non-cancelable lease term. The total future minimum lease payments for the operating leases in Sunnyvale, California and Markham, Ontario, Canada are approximately $368,000 as of March 31, 2015.</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We experienced foreign currency losses of $1.3 million for the three months ended March 31, 2015 primarily due to the strengthening of the U.S. dollar, whereas the impact of foreign currency fluctuations in the three months ended March 31, 2014 was not material. To date, we have not entered into any foreign currency hedging contracts although we may do so in the future. As our international operations grow, we will continue to reassess our approach to manage our risk relating to fluctuations in currency rates.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We had cash and cash equivalents of $37.0 million at March 31, 2015. These amounts were held primarily in cash on deposit with banks and cash equivalents. We had $97.9 million in investments at March 31, 2015 held primarily in U.S. government and agency securities. The contractual maturity dates of $79.5 million of our U.S. government and agency securities are within one year from March 31, 2015. The contractual maturity dates of our remaining U.S. government and agency securities are less than eighteen months from March 31, 2015. Cash and cash equivalents and investments are held for working capital purposes.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However, we may adopt specific hedging strategies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60" w:firstLine="432"/>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March 31, 2015.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2015, our Chief Executive Officer and Chief Financial Officer concluded that, as of such date, our disclosure controls and procedures were effective at the reasonable assurance level.</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March 31, 2015 that have materially affected, or are reasonably likely to materially affect, our internal control over financial reporting.</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125" w:right="4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currently engaged in any material legal proceedings.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10-Q. If any of the risks or uncertainties we face were to occur, the trading price of our securities could decline, and you may lose all or part of your investment.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66"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The application of our technologies to single-cell biology (across genomics and proteomics) and production genomics applications are emerging market opportunities. We believe these opportunities will take several years to develop or mature and we cannot be certain that these market opportunities will develop as we expect. The future growth of the single-cell biology market and the success of our products depend on many factors beyond our control, including recognition and acceptance by the scientific community, and the growth, prevalence, and costs of competing methods of genetic and protein analysis. If the market for single-cell biology and production genomics do not develop as we expect, our business may be adversely affected. Additionally, our success in these markets may depend to a large extent on our ability to successfully sell products using our technologies.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193" w:lineRule="exact"/>
        <w:rPr>
          <w:sz w:val="20"/>
          <w:szCs w:val="20"/>
          <w:color w:val="auto"/>
        </w:rPr>
      </w:pPr>
    </w:p>
    <w:p>
      <w:pPr>
        <w:ind w:right="40"/>
        <w:spacing w:after="0" w:line="313" w:lineRule="auto"/>
        <w:rPr>
          <w:sz w:val="20"/>
          <w:szCs w:val="20"/>
          <w:color w:val="auto"/>
        </w:rPr>
      </w:pPr>
      <w:r>
        <w:rPr>
          <w:rFonts w:ascii="Arial" w:cs="Arial" w:eastAsia="Arial" w:hAnsi="Arial"/>
          <w:sz w:val="17"/>
          <w:szCs w:val="17"/>
          <w:b w:val="1"/>
          <w:bCs w:val="1"/>
          <w:color w:val="auto"/>
        </w:rPr>
        <w:t>Our financial results and revenue growth rates have varied significantly from quarter-to-quarter and year-to-year due to a number of factors, and a significant variance in our operating results or rates of growth, if any, could lead to substantial volatility in our stock price.</w:t>
      </w:r>
    </w:p>
    <w:p>
      <w:pPr>
        <w:spacing w:after="0" w:line="237"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Our revenue, results of operations and revenue growth rates have varied in the past and may continue to vary significantly from quarter-to-quarter or year-to-year. For example, in 2011, 2012, and 2014, we experienced higher sales in the fourth quarter than in the first quarter of the next fiscal year. Although this was not the case in the fourth quarter of 2013 compared to the first quarter of 2014, this historical trend resumed in 2015, and we expect it to continue. Additionally, for the quarter ended March 31, 2015, we experienced a year-over-year revenue growth rate that was substantially lower than revenue growth rates experienced in other periods since our initial public offering. We may experience substantial variability in our product mix from period-to-period as revenue from sales of our instruments relative to sales of our consumables may fluctuate or deviate significantly from expectations. Variability in our quarterly or annual results of operations, mix of product revenue, or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market, sell, and deliver products to our customers in a timely and cost-effective manner;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and rates of revenue growth, if any. Since our initial public offering, we have experienced significant revenue growth, and we may not achieve similar growth rates in future periods. You should not rely on our operating results for any prior quarterly or annual period as an indication of our future operating performance. If we are unable to maintain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22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have a limited operating history and have incurred significant losses in each fiscal year since our inception, including net losses of $15.9 million, $52.8 million, and $16.5 million during the three months ended March 31, 2015 and years 2014 and 2013, respectively. As of March 31, 2015, we had an accumulated deficit of $326.1 million. These losses have resulted principally from costs incurred in our research and development programs, and from our manufacturing costs and selling, general, and administrative expenses. We believe that our continued investment in research and development, sales, and marketing is essential to our long-term competitive position and future growth, and we expect these expenses will increase in future periods. We also expect that our selling, general, and administrative expenses will continue to increase due to the additional operational costs associated with the growth of our business. Until we are able to generate additional revenue to support our level of operating expenses, we will continue to incur operating and net losses and negative cash flow from operations.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carrying value of long-lived and intangible assets may become impaired and result in an impairment charge.</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As of March 31, 2015, we had approximately $205.2 million of intangible assets, net of amortization, and goodwill. In addition, if in the future we acquire additional complementary businesses or technologies, a substantial portion of the value of such assets may be recorded as intangible assets or goodwill. The carrying amounts of intangible assets and goodwill are affected whenever events or changes in circumstances indicate that the carrying amount of any asset may not be recoverable. Such events or changes might include a significant decline in market share, a significant decline in revenues, a significant increase in losses or decrease in profits, rapid changes in technology, failure to achieve the benefits of capacity increases and utilization, significant litigation arising out of an acquisition, or other matters. Adverse events or changes in circumstances may affect the estimated undiscounted future operating cash flows expected to be derived from intangible assets and goodwill. If at any time we determine that an impairment has occurred, we will be required to reflect the impaired value as a charge, resulting in a reduction in earnings in the quarter such impairment is identified and a corresponding reduction in our net asset value. The potential recognition of impairment in the carrying value, if any, could have a material and adverse effect on our financial condition and results of operations.</w:t>
      </w:r>
    </w:p>
    <w:p>
      <w:pPr>
        <w:spacing w:after="0" w:line="17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166"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142"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manufacture all of our genomics analytical and preparatory instruments and integrated fluidic circuits, or IFCs, for commercial sale at our facility in Singapore, our proteomics analytical instruments for commercial sale at our facility in Canada, and our assays and reagents for commercial sale at our facility in South San Francisco. No other manufacturing facilities are currently available to us, particularly facilities of the size and scope required by our Singapore and Canada operations. Our facilities and the equipment we use to manufacture our instruments, IFCs, assays, and reagents would be costly to replace and could require substantial lead time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experience development or manufacturing problems or delays that could limit the growth of our revenue or increase our losses.</w:t>
      </w:r>
    </w:p>
    <w:p>
      <w:pPr>
        <w:spacing w:after="0" w:line="241"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w:t>
      </w:r>
    </w:p>
    <w:p>
      <w:pPr>
        <w:spacing w:after="0" w:line="14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58"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6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17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166"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87" w:lineRule="exact"/>
        <w:rPr>
          <w:sz w:val="20"/>
          <w:szCs w:val="20"/>
          <w:color w:val="auto"/>
        </w:rPr>
      </w:pPr>
    </w:p>
    <w:p>
      <w:pPr>
        <w:ind w:left="760" w:right="340" w:hanging="320"/>
        <w:spacing w:after="0" w:line="264"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Specialized pneumatic and electronic components for our C1 system are available from a limited number of sources.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760" w:right="240" w:hanging="320"/>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electron multiplier detector included in the CyTOF system and certain metal isotopes used with the CyTOF system are purchased from sole source suppliers.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nickel sampler cone used with the CyTOF system is purchased from single source suppliers and is available from a limited number of sources.</w:t>
      </w:r>
    </w:p>
    <w:p>
      <w:pPr>
        <w:spacing w:after="0" w:line="248" w:lineRule="exact"/>
        <w:rPr>
          <w:rFonts w:ascii="Arial" w:cs="Arial" w:eastAsia="Arial" w:hAnsi="Arial"/>
          <w:sz w:val="16"/>
          <w:szCs w:val="16"/>
          <w:color w:val="auto"/>
        </w:rPr>
      </w:pPr>
    </w:p>
    <w:p>
      <w:pPr>
        <w:ind w:left="760" w:right="520" w:hanging="320"/>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raw materials for our Delta Gene and SNP Type assays and Access Array target-specific primers are available from a limited number of sources.</w:t>
      </w:r>
    </w:p>
    <w:p>
      <w:pPr>
        <w:spacing w:after="0" w:line="17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170" w:lineRule="exact"/>
        <w:rPr>
          <w:sz w:val="20"/>
          <w:szCs w:val="20"/>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225" w:lineRule="exact"/>
        <w:rPr>
          <w:rFonts w:ascii="Arial" w:cs="Arial" w:eastAsia="Arial" w:hAnsi="Arial"/>
          <w:sz w:val="18"/>
          <w:szCs w:val="18"/>
          <w:color w:val="auto"/>
        </w:rPr>
      </w:pPr>
    </w:p>
    <w:p>
      <w:pPr>
        <w:ind w:left="760" w:right="280" w:hanging="320"/>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suppliers or service providers may make errors in manufacturing or assembly of components that could negatively affect the efficacy of our products or cause delays in shipment of our products; and</w:t>
      </w:r>
    </w:p>
    <w:p>
      <w:pPr>
        <w:spacing w:after="0" w:line="170" w:lineRule="exact"/>
        <w:rPr>
          <w:rFonts w:ascii="Arial" w:cs="Arial" w:eastAsia="Arial" w:hAnsi="Arial"/>
          <w:sz w:val="18"/>
          <w:szCs w:val="18"/>
          <w:color w:val="auto"/>
        </w:rPr>
      </w:pPr>
    </w:p>
    <w:p>
      <w:pPr>
        <w:ind w:left="760" w:right="180" w:hanging="320"/>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suppliers or service providers may encounter capacity constraints or financial hardships unrelated to our demand for components or services, which could inhibit their ability to fulfill our orders and meet our requirements.</w:t>
      </w:r>
    </w:p>
    <w:p>
      <w:pPr>
        <w:spacing w:after="0" w:line="17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22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success depends, in part,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18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229"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Our customer base is primarily composed of academic institutions, clinical laboratories that use our technology to develop tests, and pharmaceutical, biotechnology, and agricultural biotechnology, or Ag-Bio, companies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The life science research and applied markets are highly competitive and subject to rapid technological change, and we may not be able to successfully compete.</w:t>
      </w:r>
    </w:p>
    <w:p>
      <w:pPr>
        <w:spacing w:after="0" w:line="166"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expression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Affymetrix, Inc., Agena Bioscience, Inc., Agilent Technologies, Inc., Becton, Dickinson and Company, Bio-Rad Laboratories, Inc.,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Roche Diagnostics Corporation, Sony Corporation, Thermo Fisher Scientific Inc., and WaferGen Bio-systems, Inc. have products that compete in certain segments of the market in which we sell our products.</w:t>
      </w:r>
    </w:p>
    <w:p>
      <w:pPr>
        <w:spacing w:after="0" w:line="175"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63"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Our business depends on research and development spending levels of academic, clinical, and governmental research institutions, and pharmaceutical, biotechnology, and Ag-Bio companies, a reduction in which could limit our ability to sell our products and adversely affect our business.</w:t>
      </w:r>
    </w:p>
    <w:p>
      <w:pPr>
        <w:spacing w:after="0" w:line="18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expect that our revenue in the foreseeable future will be derived primarily from sales of our systems and IFCs to academic institutions, clinical laboratories that use our technology to develop tests, and pharmaceutical, biotechnology, and Ag-Bio companies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and IFCs. These reductions and delays may result from factors that are not within our control, such as:</w:t>
      </w:r>
    </w:p>
    <w:p>
      <w:pPr>
        <w:spacing w:after="0" w:line="169" w:lineRule="exact"/>
        <w:rPr>
          <w:sz w:val="20"/>
          <w:szCs w:val="20"/>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5"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166"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120"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single-cell biology and production genomics,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68"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Being a medical device manufacturer and seeking approval and/or clearance for our products by the U.S. Food and Drug Administration, or FDA, and foreign regulatory authorities will take significant time and expense and may not result in FDA clearance or approval for the intended uses we believe are commercially attractive. If our products are successfully approved and/or cleared, we will be subject to ongoing and extensive regulatory requirements, which would increase our costs and divert resources away from other projects. If we fail to comply with these requirements, our business and financial condition could be adversely impacted.</w:t>
      </w:r>
    </w:p>
    <w:p>
      <w:pPr>
        <w:spacing w:after="0" w:line="172"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Our products are currently labeled, promoted and sold to academic institutions, life sciences laboratories, and pharmaceutical, biotechnology, and Ag-Bio companies for research purposes only, or RUO, and cannot be used for diagnostic tests or as medical devices as currently marketed. Before we can begin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5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recently announced our plan to register with the FDA as a medical device manufacturer and list some of our products with the FDA pursuant to an FDA Class I listing for general purpose laboratory equipment within the next 12 months. While this regulatory classification is exempt from certain FDA requirements, such as the need to submit a premarket notification commonly known as a 510(k), and most of the requirements of the FDA’s Quality System Regulations, or QSRs, we will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93"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In addition, we plan to submit 510(k) premarket notifications to the FDA to obtain FDA clearance of certain of our products on a selected basis. Although we plan to submit 510(k)s, it is possible that the FDA will take the position that a more burdensome premarket application, such as a premarket approval application or a de novo application is required for some of our products. If such applications are required, greater time and investment would be required to obtain FDA approval. Even if the FDA agrees that a 510(k) is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may be denied for some or all of our products.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Even if we were to obtain regulatory approval or clearance, it may not be for the uses we believe are important or commercially attractive.</w:t>
      </w:r>
    </w:p>
    <w:p>
      <w:pPr>
        <w:spacing w:after="0" w:line="225"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If we receive regulatory clearance or approval for our products, we will be subject to ongoing FDA obligations and continued regulatory oversight and review, including the general controls listed above and the FDA’s QSRs for our manufacturing operations. In addition, we may be required to obtain a new 510(k) clearance before we can introduce subsequent modifications or improvements to our products. We may also be subject to additional FDA post-marketing obligations, any or all of which would increase our costs and divert resources away from other projects. If we are not able to maintain regulatory compliance with applicable laws, we may be prohibited from marketing our products for use as, or in the performance of, clinical diagnostics and/or may be subject to fines, injunctions, and civil penalties; recall or seizure of products; operating restrictions; and criminal prosecution.</w:t>
      </w:r>
    </w:p>
    <w:p>
      <w:pPr>
        <w:spacing w:after="0" w:line="165"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We intend to seek similar regulatory clearance or approval for our products in countries outside of the United States. Sales of our products outside the United States will be subject to foreign regulatory requirements, which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Clearance or approval by the FDA does not ensure approval by regulatory authorities in other countries, and approval by one foreign regulatory authority does not ensure approval by regulatory authorities in other countries or by the FDA. In addition, the FDA regulates exports of medical devices. Failure to comply with these regulatory requirements or obtain required approvals could impair our ability to commercialize our products for diagnostic use outside of the United States.</w:t>
      </w:r>
    </w:p>
    <w:p>
      <w:pPr>
        <w:spacing w:after="0" w:line="201"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b w:val="1"/>
          <w:bCs w:val="1"/>
          <w:color w:val="auto"/>
        </w:rPr>
        <w:t>Our products could become subject to regulation as medical devices by the FDA or other regulatory agencies, before we have obtained regulatory clearance or approval to market our products for diagnostic purposes, which would adversely impact our ability to market and sell our products and harm our business.</w:t>
      </w:r>
    </w:p>
    <w:p>
      <w:pPr>
        <w:spacing w:after="0" w:line="180"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As products that are currently labeled, promoted and intended for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marketing and promotional efforts as being inconsistent with research use only products. For example, our customers may elect to use our research use only labeled products in their own laboratory developed tests, or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diagnostics currently on the market. The FDA held a public workshop and accepted comments on the two draft guidance documents and is currently assessing next steps for the regulation of LDTs. At the same time, various legislative proposals have been floated that would take differing approaches to the regulation of LDTs. It is also possible that companies or associations will attempt to bring litigation against the FDA arguing that the FDA lacks legal authority over LDTs. We cannot predict how these various efforts will be resolved, how FDA will regulate LDTs in the future, or how that regulatory system will impact our business.</w:t>
      </w:r>
    </w:p>
    <w:p>
      <w:pPr>
        <w:spacing w:after="0" w:line="18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of the product indicate that the manufacturer knows its product is, or intends for its product to be, offered for clinical diagnostic uses. These circumstances may include written or verbal marketing claims or links to articles regarding a product’s performance in clinical applications and a manufacturer’s provision of technical support for clinical applications.</w:t>
      </w:r>
    </w:p>
    <w:p>
      <w:pPr>
        <w:spacing w:after="0" w:line="18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If the FDA modifies its approach to our products labeled and intended for RUO, or otherwise determines our products or related applications should be subject to additional regulation as in vitro diagnostic devices based upon our customers’ use of our products for clinical diagnostic or therapeutic purposes, before we have obtained regulatory clearance or approval to market our products for diagnostic purposes, our ability to market and sell our products could be impeded and our business, prospects, results of operations and financial condition may be adversely affected. In addition, if the FDA determines that our products labeled for RUO were intended, based on a review of the totality of circumstances, for use in clinical investigation or diagnosis, those products could be considered misbranded or adulterated under the Federal Food, Drug, and Cosmetic Act and subject to recall or other enforcement action.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Compliance or the failure to comply with current and future regulations, such as environmental regulations enacted in the European Union, could cause us significant expense and adversely impact our business.</w:t>
      </w:r>
    </w:p>
    <w:p>
      <w:pPr>
        <w:spacing w:after="0" w:line="166" w:lineRule="exact"/>
        <w:rPr>
          <w:sz w:val="20"/>
          <w:szCs w:val="20"/>
          <w:color w:val="auto"/>
        </w:rPr>
      </w:pPr>
    </w:p>
    <w:p>
      <w:pPr>
        <w:ind w:right="60" w:firstLine="432"/>
        <w:spacing w:after="0" w:line="285" w:lineRule="auto"/>
        <w:rPr>
          <w:sz w:val="20"/>
          <w:szCs w:val="20"/>
          <w:color w:val="auto"/>
        </w:rPr>
      </w:pPr>
      <w:r>
        <w:rPr>
          <w:rFonts w:ascii="Arial" w:cs="Arial" w:eastAsia="Arial" w:hAnsi="Arial"/>
          <w:sz w:val="16"/>
          <w:szCs w:val="16"/>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may become subject to RoHS and WEEE requirements.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 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74" w:lineRule="exact"/>
        <w:rPr>
          <w:sz w:val="20"/>
          <w:szCs w:val="20"/>
          <w:color w:val="auto"/>
        </w:rPr>
      </w:pPr>
    </w:p>
    <w:p>
      <w:pPr>
        <w:ind w:right="340"/>
        <w:spacing w:after="0" w:line="313" w:lineRule="auto"/>
        <w:rPr>
          <w:sz w:val="20"/>
          <w:szCs w:val="20"/>
          <w:color w:val="auto"/>
        </w:rPr>
      </w:pPr>
      <w:r>
        <w:rPr>
          <w:rFonts w:ascii="Arial" w:cs="Arial" w:eastAsia="Arial" w:hAnsi="Arial"/>
          <w:sz w:val="17"/>
          <w:szCs w:val="17"/>
          <w:b w:val="1"/>
          <w:bCs w:val="1"/>
          <w:color w:val="auto"/>
        </w:rPr>
        <w:t>If we are unable to recruit and retain key executives, scientists, and technical support personnel, we may be unable to achieve our goals. We may have difficulty attracting, motivating, and retaining executives and other key employees in light of our recent acquisition.</w:t>
      </w:r>
    </w:p>
    <w:p>
      <w:pPr>
        <w:spacing w:after="0" w:line="142"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Our performance is substantially dependent on the performance of our senior management, particularly Gajus V. Worthington, our president and chief executive officer. Additionally, to expand our research and product development efforts, we need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65" w:lineRule="exact"/>
        <w:rPr>
          <w:sz w:val="20"/>
          <w:szCs w:val="20"/>
          <w:color w:val="auto"/>
        </w:rPr>
      </w:pPr>
    </w:p>
    <w:p>
      <w:pPr>
        <w:ind w:right="300" w:firstLine="432"/>
        <w:spacing w:after="0" w:line="276" w:lineRule="auto"/>
        <w:rPr>
          <w:sz w:val="20"/>
          <w:szCs w:val="20"/>
          <w:color w:val="auto"/>
        </w:rPr>
      </w:pPr>
      <w:r>
        <w:rPr>
          <w:rFonts w:ascii="Arial" w:cs="Arial" w:eastAsia="Arial" w:hAnsi="Arial"/>
          <w:sz w:val="17"/>
          <w:szCs w:val="17"/>
          <w:color w:val="auto"/>
        </w:rPr>
        <w:t>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In addition, our research and product development efforts could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73"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Additionally, as a result of our acquisition of DVS Sciences Inc. (now Fluidigm Sciences Inc.), key Fluidigm Sciences employees became entitled to receive a portion of the acquisition consideration, the payment of which could provide sufficient financial incentive for certain officers and employees to no longer pursue employment with the combined business. In particular, we have identified several key Fluidigm Sciences employees, including key scientific and technical employees, who have been important to the development of Fluidigm Sciences’ products and technologies, and we have implemented employment compensation arrangements in connection with the acquisition to ensure these individuals’ continued employment with us. We cannot provide assurances that these arrangements will sufficiently incentivize these key employees to remain with us. If these key employees depart, we may incur significant costs in identifying, hiring, and retaining replacements for departing employees, which could substantially reduce or delay our ability to realize the anticipated benefits of the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integrate future acquisitions successfully, our operating results and prospects could be harmed.</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addition to our recent acquisition, we may make additional acquisitions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risky, and any transaction we complete may not be successful. Our acquisition of DVS was our first acquisition of another company. Any merger or acquisition we may pursue would involve numerous risks, including but not limited to the following:</w:t>
      </w:r>
    </w:p>
    <w:p>
      <w:pPr>
        <w:spacing w:after="0" w:line="170" w:lineRule="exact"/>
        <w:rPr>
          <w:sz w:val="20"/>
          <w:szCs w:val="20"/>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uncertainty of entry into markets in which we have limited or no prior experience and in which competitors have stronger market positions;</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225"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43"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6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62" w:lineRule="exact"/>
        <w:rPr>
          <w:sz w:val="20"/>
          <w:szCs w:val="20"/>
          <w:color w:val="auto"/>
        </w:rPr>
      </w:pPr>
    </w:p>
    <w:p>
      <w:pPr>
        <w:jc w:val="both"/>
        <w:ind w:right="280" w:firstLine="486"/>
        <w:spacing w:after="0" w:line="259" w:lineRule="auto"/>
        <w:rPr>
          <w:sz w:val="20"/>
          <w:szCs w:val="20"/>
          <w:color w:val="auto"/>
        </w:rPr>
      </w:pPr>
      <w:r>
        <w:rPr>
          <w:rFonts w:ascii="Arial" w:cs="Arial" w:eastAsia="Arial" w:hAnsi="Arial"/>
          <w:sz w:val="18"/>
          <w:szCs w:val="18"/>
          <w:color w:val="auto"/>
        </w:rPr>
        <w:t>During the three months ended March 31, 2015 and years 2014 and 2013, approximately 49%, 49%, and 48% , respectively, of our product revenue was generated from sales to customers located outside of the United States. We believe that a significant percentage of our future revenue will come from international sources as we expand our international operations and develop opportunities in other countries. Engaging in international business inherently involves a number of difficulties and risks, including:</w:t>
      </w:r>
    </w:p>
    <w:p>
      <w:pPr>
        <w:spacing w:after="0" w:line="187" w:lineRule="exact"/>
        <w:rPr>
          <w:sz w:val="20"/>
          <w:szCs w:val="20"/>
          <w:color w:val="auto"/>
        </w:rPr>
      </w:pPr>
    </w:p>
    <w:p>
      <w:pPr>
        <w:ind w:left="820" w:hanging="326"/>
        <w:spacing w:after="0" w:line="342" w:lineRule="auto"/>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required compliance with existing and changing foreign regulatory requirements and laws, such as the RoHS and WEEE directives, which regulate the use of certain hazardous substances in, and require the collection, reuse, and recycling of waste from, products we manufacture;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820" w:right="2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and U.K. Bribery Act, data privacy requirements, labor laws, and anti-competition regulations;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unstable economic, political, and regulatory conditions;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7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 addition, 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example, experienced foreign currency losses of $1.3 million, $1.1 million, and $0.5 million for the three months ended March 31, 2015 and years ended December 31, 2014 and 2013, respectively. Fluctuations in currency exchange rates could have an adverse impact on our financial results in the future.</w:t>
      </w:r>
    </w:p>
    <w:p>
      <w:pPr>
        <w:spacing w:after="0" w:line="169"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6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166"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We are currently reviewing our corporate structure and tax positions and such review may result in a change in how we structure our international business operations, which may have an adverse effect on our income tax liability.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examinations by various tax authorities. Payment of additional amounts upon final adjudication of any disputes could have a material impact on our results of operations and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our anticipated growth effectively, our business could be harmed.</w:t>
      </w:r>
    </w:p>
    <w:p>
      <w:pPr>
        <w:spacing w:after="0" w:line="22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rapid growth of our business has placed a significant strain on our managerial, operational, and financial resources and systems.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181"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We believe our facilities located in Singapore, Canada, and California, are sufficient to meet our short-term manufacturing needs. The current lease for our manufacturing facility in Singapore expires in June 2022. In the event that we need to add to our existing manufacturing space in Singapore or move our manufacturing facility to a new location in Singapore, such a move will involve significant expense and efforts in connection with the establishment of new clean rooms and the recommissioning of key manufacturing equipment, and we cannot assure you that such a move would not delay or otherwise adversely affect our manufacturing activities. We cannot provide assurances that we will be able to secure a lease on a different manufacturing facility on acceptable terms and on a timely basis, if at all, to meet our future manufacturing needs.</w:t>
      </w:r>
    </w:p>
    <w:p>
      <w:pPr>
        <w:spacing w:after="0" w:line="178" w:lineRule="exact"/>
        <w:rPr>
          <w:sz w:val="20"/>
          <w:szCs w:val="20"/>
          <w:color w:val="auto"/>
        </w:rPr>
      </w:pPr>
    </w:p>
    <w:p>
      <w:pPr>
        <w:ind w:right="580" w:firstLine="432"/>
        <w:spacing w:after="0" w:line="264"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7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Our products could have unknown defects or errors, which may give rise to claims against us, adversely affect market adoption of our systems, and adversely affect our business, financial condition, and results of operations.</w:t>
      </w:r>
    </w:p>
    <w:p>
      <w:pPr>
        <w:spacing w:after="0" w:line="166" w:lineRule="exact"/>
        <w:rPr>
          <w:sz w:val="20"/>
          <w:szCs w:val="20"/>
          <w:color w:val="auto"/>
        </w:rPr>
      </w:pPr>
    </w:p>
    <w:p>
      <w:pPr>
        <w:jc w:val="both"/>
        <w:ind w:right="100" w:firstLine="432"/>
        <w:spacing w:after="0" w:line="302"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We also provide warranties relating to other parts of our systems. The costs incurred in correcting any defects or errors may be substantial and could adversely affect our operating margins.</w:t>
      </w:r>
    </w:p>
    <w:p>
      <w:pPr>
        <w:spacing w:after="0" w:line="154"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our products contain defects, we may experience:</w:t>
      </w:r>
    </w:p>
    <w:p>
      <w:pPr>
        <w:spacing w:after="0" w:line="225" w:lineRule="exact"/>
        <w:rPr>
          <w:sz w:val="20"/>
          <w:szCs w:val="20"/>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125"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our Access Array system is marketed as compatible with all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2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To use our products, our Biomark and CyTOF systems in particular, customers typically need to purchase specialized reagents. Any interruption in the availability of these reagents for use in our products could limit our ability to market our products.</w:t>
      </w:r>
    </w:p>
    <w:p>
      <w:pPr>
        <w:spacing w:after="0" w:line="166"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Our products, our Biomark and CyTOF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78"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PCR, or qPCR. Leading suppliers of reagents for real-time qPCR reactions include Life Technologies Corporation (now part of Thermo Fisher Scientific)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7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are unable to expand our direct sales and marketing force or distribution capabilities to adequately address our customers’ needs, our business may be adversely affected.</w:t>
      </w:r>
    </w:p>
    <w:p>
      <w:pPr>
        <w:spacing w:after="0" w:line="166"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 and profitability.</w:t>
      </w:r>
    </w:p>
    <w:p>
      <w:pPr>
        <w:spacing w:after="0" w:line="16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66"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Select Market, or NASDAQ, the SEC or other regulatory authorities, which would require additional financial and management resources.</w:t>
      </w:r>
    </w:p>
    <w:p>
      <w:pPr>
        <w:spacing w:after="0" w:line="17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Risks associated with a company-wide implementation of an enterprise resource planning, or ERP, system may adversely affect our business and results of operations or the effectiveness of internal control over financial reporting.</w:t>
      </w:r>
    </w:p>
    <w:p>
      <w:pPr>
        <w:spacing w:after="0" w:line="16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have been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Our business and results of operations may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may be adversely affected.</w:t>
      </w:r>
    </w:p>
    <w:p>
      <w:pPr>
        <w:spacing w:after="0" w:line="18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believe that our existing cash and cash equivalents will be sufficient to meet our anticipated cash requirements for at least the next 18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need to raise substantial additional capital for various purposes, including:</w:t>
      </w:r>
    </w:p>
    <w:p>
      <w:pPr>
        <w:spacing w:after="0" w:line="211" w:lineRule="exact"/>
        <w:rPr>
          <w:sz w:val="20"/>
          <w:szCs w:val="20"/>
          <w:color w:val="auto"/>
        </w:rPr>
      </w:pPr>
    </w:p>
    <w:p>
      <w:pPr>
        <w:ind w:left="760" w:hanging="320"/>
        <w:spacing w:after="0"/>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225" w:lineRule="exact"/>
        <w:rPr>
          <w:rFonts w:ascii="Arial" w:cs="Arial" w:eastAsia="Arial" w:hAnsi="Arial"/>
          <w:sz w:val="18"/>
          <w:szCs w:val="18"/>
          <w:color w:val="auto"/>
        </w:rPr>
      </w:pPr>
    </w:p>
    <w:p>
      <w:pPr>
        <w:jc w:val="center"/>
        <w:ind w:left="400" w:right="5740" w:firstLine="40"/>
        <w:spacing w:after="0" w:line="563" w:lineRule="auto"/>
        <w:tabs>
          <w:tab w:leader="none" w:pos="765" w:val="left"/>
        </w:tabs>
        <w:numPr>
          <w:ilvl w:val="1"/>
          <w:numId w:val="14"/>
        </w:numPr>
        <w:rPr>
          <w:rFonts w:ascii="Arial" w:cs="Arial" w:eastAsia="Arial" w:hAnsi="Arial"/>
          <w:sz w:val="16"/>
          <w:szCs w:val="16"/>
          <w:color w:val="auto"/>
        </w:rPr>
      </w:pPr>
      <w:r>
        <w:rPr>
          <w:rFonts w:ascii="Arial" w:cs="Arial" w:eastAsia="Arial" w:hAnsi="Arial"/>
          <w:sz w:val="16"/>
          <w:szCs w:val="16"/>
          <w:color w:val="auto"/>
        </w:rPr>
        <w:t>acquiring other businesses or assets and licensing technologies. Our future funding requirements will depend on many factors, including:</w:t>
      </w:r>
    </w:p>
    <w:p>
      <w:pPr>
        <w:spacing w:after="0" w:line="1" w:lineRule="exact"/>
        <w:rPr>
          <w:rFonts w:ascii="Arial" w:cs="Arial" w:eastAsia="Arial" w:hAnsi="Arial"/>
          <w:sz w:val="16"/>
          <w:szCs w:val="16"/>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 of defending, in litigation or otherwise, any claims that we infringe third-party patents or violate other intellectual property rights;</w:t>
      </w:r>
    </w:p>
    <w:p>
      <w:pPr>
        <w:spacing w:after="0" w:line="236" w:lineRule="exact"/>
        <w:rPr>
          <w:rFonts w:ascii="Arial" w:cs="Arial" w:eastAsia="Arial" w:hAnsi="Arial"/>
          <w:sz w:val="17"/>
          <w:szCs w:val="17"/>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720" w:right="440" w:hanging="320"/>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70"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may be subject to certain limitations.</w:t>
      </w:r>
    </w:p>
    <w:p>
      <w:pPr>
        <w:spacing w:after="0" w:line="22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general, under Section 382 of the Internal Revenue Code, a corporation that undergoes an “ownership change” is subject to limitations on its ability to utilize its pre-change net operating losses, or NOLs, to offset future taxable income. If we undergo one or more ownership changes, our ability to utilize NOLs could be limited by Section 382 of the Internal Revenue Code. Future changes in our stock ownership, some of which are outside of our control, could result in an ownership change under Section 382 of the Internal Revenue Code.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7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73" w:lineRule="exact"/>
        <w:rPr>
          <w:sz w:val="20"/>
          <w:szCs w:val="20"/>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and technologies or duplicate any of our products and technologies.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8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78"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For example, on June 4, 2008 we received a letter from Applied Biosystems, Inc., a wholly-owned subsidiary of Life Technologies Corporation (now part of Thermo Fisher Scientific Inc. and collectively referred to as Life), asserting that our Biomark system for gene expression analysis infringes upon U.S. Patent No. 6,814,934, or the ‘934 patent, and its foreign counterparts in Europe and Canada. In June 2011, we resolved this dispute by entering into license agreements with Life which, among other matters, granted us a non-exclusive license to the ‘934 patent and its foreign counterparts.</w:t>
      </w:r>
    </w:p>
    <w:p>
      <w:pPr>
        <w:spacing w:after="0" w:line="18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7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6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w:t>
      </w:r>
    </w:p>
    <w:p>
      <w:pPr>
        <w:spacing w:after="0" w:line="181" w:lineRule="exact"/>
        <w:rPr>
          <w:sz w:val="20"/>
          <w:szCs w:val="20"/>
          <w:color w:val="auto"/>
        </w:rPr>
      </w:pPr>
    </w:p>
    <w:p>
      <w:pPr>
        <w:ind w:right="140" w:firstLine="432"/>
        <w:spacing w:after="0" w:line="270" w:lineRule="auto"/>
        <w:rPr>
          <w:sz w:val="20"/>
          <w:szCs w:val="20"/>
          <w:color w:val="auto"/>
        </w:rPr>
      </w:pPr>
      <w:r>
        <w:rPr>
          <w:rFonts w:ascii="Arial" w:cs="Arial" w:eastAsia="Arial" w:hAnsi="Arial"/>
          <w:sz w:val="17"/>
          <w:szCs w:val="17"/>
          <w:color w:val="auto"/>
        </w:rPr>
        <w:t>Our rights to use the technology we license are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For example, pursuant to the terms of a license agreement entered into with Life in June 2011, we were obligated to make a $1.0 million payment to Life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upon satisfaction of certain conditions. On October 16, 2013, Life provided notice that the $1.0 million payment was due and payable under the license agreement. We believe that at least one of the conditions of the milestone payment remains unmet; however, we paid Life the amount due while reserving our rights with respect to such matter to, among other reasons, avoid what would have been, in our view, an improper termination of our license to certain Life patent filings under the agreement, which could have subjected our relevant product lines to risks associated with patent infringement litigation.</w:t>
      </w:r>
    </w:p>
    <w:p>
      <w:pPr>
        <w:spacing w:after="0" w:line="15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license certain intellectual property rights covering our mass cytometry products under agreements with several third parties. Termination of or disputes relating to any of these license agreements would have a material adverse effect on our business, operating results, and financial condition and could result in our inability to sell our mass cytometry products.</w:t>
      </w:r>
    </w:p>
    <w:p>
      <w:pPr>
        <w:spacing w:after="0" w:line="180" w:lineRule="exact"/>
        <w:rPr>
          <w:sz w:val="20"/>
          <w:szCs w:val="20"/>
          <w:color w:val="auto"/>
        </w:rPr>
      </w:pPr>
    </w:p>
    <w:p>
      <w:pPr>
        <w:ind w:right="100" w:firstLine="432"/>
        <w:spacing w:after="0" w:line="268" w:lineRule="auto"/>
        <w:rPr>
          <w:sz w:val="20"/>
          <w:szCs w:val="20"/>
          <w:color w:val="auto"/>
        </w:rPr>
      </w:pPr>
      <w:r>
        <w:rPr>
          <w:rFonts w:ascii="Arial" w:cs="Arial" w:eastAsia="Arial" w:hAnsi="Arial"/>
          <w:sz w:val="17"/>
          <w:szCs w:val="17"/>
          <w:color w:val="auto"/>
        </w:rPr>
        <w:t>The intellectual property rights covering our mass cytometry products depend in substantial part on license agreements with third parties, in particular MDS, Inc., or MDS, and also with other third parties such as Nodality, Inc., or Nodality. The licensed intellectual property rights of MDS as well as MDS’s rights and obligations under the license agreement between Fluidigm Canada Inc., or Fluidigm Canada, an Ontario corporation and wholly-owned subsidiary of Fluidigm Sciences, and MDS were subsequently assigned to and are now held by PerkinElmer Health Sciences, Inc., or PerkinElmer. Under the PerkinElmer license agreement, Fluidigm Canada received an exclusive, royalty bearing, worldwide license to certain patents that are now owned by PerkinElmer in the field of ICP-based mass cytometry, including the analysis of elemental tagged materials in connection therewith, and a non-exclusive license for reagents outside the field of ICP-based mass cytometry. Fluidigm Canada was also party to an interim license agreement, now expired, under which Nodality granted Fluidigm Canada a worldwide, non-exclusive, research use only, royalty bearing license to certain cytometric reagents, instruments, and other products. Fluidigm Canada and Nodality are currently in negotiations with respect to reinstating the license agreement and we cannot provide assurances that we will be able to reinstate or secure a new license agreement on acceptable terms, if at all. In addition, we are party to additional in-license agreements with parties such as Stanford University that relate to significant intellectual property rights, and our business and product development plans anticipate and will substantially depend on future in-license agreements with additional third parties, some of which are currently in the early discussion phase.</w:t>
      </w:r>
    </w:p>
    <w:p>
      <w:pPr>
        <w:spacing w:after="0" w:line="188"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relating to ownership and enforcement of intellectual property rights. For example, under the PerkinElmer license, Fluidigm Canada is not granted any right, and we do not have any right to bring enforcement actions with respect to the patents licensed from PerkinElmer, which could materially impair our ability to preclude competitors and other third parties from activities that we consider to infringe on our exclusively licensed rights. In other cases such as with Nodality,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78"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In addition, Fluidigm Sciences’ licensors may generally terminate the applicable license agreement for uncured material breaches or if Fluidigm Sciences becomes insolvent, makes an assignment for the benefit of creditors, or has a petition in bankruptcy filed against it. Termination of material license agreements for any reason, including as a result of failure to obtain a required consent to assignment or as a result of an inability to negotiate a new or extended license where required, would result in a material loss of rights by us and would be expected to have a material adverse effect on our business, operating results, and financial condition. In particular, any such termination could prevent us from manufacturing and selling our products unless we can negotiate new license terms or develop or acquire alternative intellectual property rights that cover or enable similar functionality. While we do not believe that any existing material in-license agreements require the consent of the licensor in order for us to rely on these licenses, the question is not free from doubt, and one or more of our licensors could contend that the failure to obtain their consent constituted a breach or default under the applicable license agreement or require the negotiation of a new license. In particular, in May 2014, we received a written notice of PerkinElmer’s position that the license agreement between Fluidigm Canada and PerkinElmer requires, as a result of the acquisition, that PerkinElmer consent to negotiate a commercially reasonable license to Fluidigm. We continue to disagree with PerkinElmer's position concerning the impact of the acquisition on the license agreement and are currently in negotiations with PerkinElmer in an attempt to resolve this matter. In addition, we are evaluating alternative strategies and potential actions relating to our interests in the licensed intellectual property.</w:t>
      </w:r>
    </w:p>
    <w:p>
      <w:pPr>
        <w:spacing w:after="0" w:line="188"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In the case of a dispute over these or other terms of the applicable license agreements, including with respect to the license with PerkinElmer, we cannot provide assurances that we will be able to negotiate a new or amended license on commercially reasonable terms, if at all. Our potential dispute with PerkinElmer as well as any other disputes between us and one of Fluidigm Sciences’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proteomics product line; potential infringement claims against us and/or our customers, which could include efforts by a licensor to enjoin sales of our products; customer requests for indemnification by Fluidigm; and, in the event of an adverse determination, our inability to operate our business as currently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operated. Any of these factors would be expected to have a material adverse effect on our business, operating results, and financial condition and could result in a substantial decline in our stock price.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21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All of our instruments, including microfluidic systems, and IFCs for commercial sale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certain obligations and restrictions relating to technologies developed in cooperation with Canadian government agencies.</w:t>
      </w:r>
    </w:p>
    <w:p>
      <w:pPr>
        <w:spacing w:after="0" w:line="241" w:lineRule="exact"/>
        <w:rPr>
          <w:sz w:val="20"/>
          <w:szCs w:val="20"/>
          <w:color w:val="auto"/>
        </w:rPr>
      </w:pPr>
    </w:p>
    <w:p>
      <w:pPr>
        <w:ind w:firstLine="392"/>
        <w:spacing w:after="0" w:line="285" w:lineRule="auto"/>
        <w:rPr>
          <w:sz w:val="20"/>
          <w:szCs w:val="20"/>
          <w:color w:val="auto"/>
        </w:rPr>
      </w:pPr>
      <w:r>
        <w:rPr>
          <w:rFonts w:ascii="Arial" w:cs="Arial" w:eastAsia="Arial" w:hAnsi="Arial"/>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12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Many of our employees were previously employed at universities or other life science or Ag-Bio companies, including our competitors or potential competitors. Although no claims against us are currently pending, we have in the past received notices from third parties alleging potential disclosures of confidential information.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If we fail in defending such claims, in addition to paying monetary damages, we may lose valuable intellectual property rights. A loss of key research personnel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180"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including affiliated stockholders, who hold substantial blocks of our stock. As of March 31, 2015, we had 28,715,358 shares of common stock outstanding, and stockholders holding at least 5% of our stock, individually or with affiliated persons or entities, collectively beneficially owned or controlled approximately 62%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w:t>
      </w:r>
    </w:p>
    <w:p>
      <w:pPr>
        <w:spacing w:after="0" w:line="166"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225" w:lineRule="exact"/>
        <w:rPr>
          <w:rFonts w:ascii="Arial" w:cs="Arial" w:eastAsia="Arial" w:hAnsi="Arial"/>
          <w:sz w:val="18"/>
          <w:szCs w:val="18"/>
          <w:color w:val="auto"/>
        </w:rPr>
      </w:pPr>
    </w:p>
    <w:p>
      <w:pPr>
        <w:ind w:left="760" w:hanging="320"/>
        <w:spacing w:after="0" w:line="264"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conditions in the life science, Ag-Bio, and clinical research sectors;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manufacturing disruptions that could occur if we were unable to successfully expand our production in our current or an alternative facility;</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89"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16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directors, executive officers, and large stockholders have substantial control over and could limit your ability to influence the outcome of key transactions, including changes of control.</w:t>
      </w:r>
    </w:p>
    <w:p>
      <w:pPr>
        <w:spacing w:after="0" w:line="16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As of March 31, 2015, our current executive officers, directors, stockholders holding at least 5% of our outstanding stock, and their respective affiliates, collectively beneficially owned or controlled approximately 63% of the outstanding shares of our common stock. Accordingly, these executive officers, directors, large stockholders, and their respective affiliates, acting as a group, can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w:t>
      </w:r>
    </w:p>
    <w:p>
      <w:pPr>
        <w:spacing w:after="0" w:line="18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80"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170" w:lineRule="exact"/>
        <w:rPr>
          <w:sz w:val="20"/>
          <w:szCs w:val="20"/>
          <w:color w:val="auto"/>
        </w:rPr>
      </w:pPr>
    </w:p>
    <w:p>
      <w:pPr>
        <w:ind w:left="760" w:hanging="320"/>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10,000,000 shares of undesignated preferred stock;</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760" w:right="40" w:hanging="320"/>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70" w:lineRule="exact"/>
        <w:rPr>
          <w:rFonts w:ascii="Arial" w:cs="Arial" w:eastAsia="Arial" w:hAnsi="Arial"/>
          <w:sz w:val="18"/>
          <w:szCs w:val="18"/>
          <w:color w:val="auto"/>
        </w:rPr>
      </w:pPr>
    </w:p>
    <w:p>
      <w:pPr>
        <w:ind w:left="760" w:right="240" w:hanging="320"/>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248" w:lineRule="exact"/>
        <w:rPr>
          <w:rFonts w:ascii="Arial" w:cs="Arial" w:eastAsia="Arial" w:hAnsi="Arial"/>
          <w:sz w:val="16"/>
          <w:szCs w:val="16"/>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paid dividends on our capital stock, and we do not anticipate paying any cash dividends in the foreseeable future.</w:t>
      </w:r>
    </w:p>
    <w:p>
      <w:pPr>
        <w:spacing w:after="0" w:line="229"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stockholders’ sole source of gain for the foreseeable future.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Outstanding 2.75% Senior Convertible Notes due 2034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outstanding 2.75% senior convertible notes due 2034 are effectively subordinated to our secured debt and any liabilities of our subsidiaries.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outstanding 2.75% senior convertible notes due 2034, which we refer to as our “notes”, rank:</w:t>
      </w:r>
    </w:p>
    <w:p>
      <w:pPr>
        <w:spacing w:after="0" w:line="225" w:lineRule="exact"/>
        <w:rPr>
          <w:sz w:val="20"/>
          <w:szCs w:val="20"/>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senior in right of payment to any of our indebtedness that is expressly subordinated in right of payment to the notes;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equal in right of payment to all of our liabilities that are not so subordinated;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effectively junior in right of payment to any of our secured indebtedness to the extent of the value of the assets securing such indebtedness; and</w:t>
      </w:r>
    </w:p>
    <w:p>
      <w:pPr>
        <w:spacing w:after="0" w:line="248" w:lineRule="exact"/>
        <w:rPr>
          <w:rFonts w:ascii="Arial" w:cs="Arial" w:eastAsia="Arial" w:hAnsi="Arial"/>
          <w:sz w:val="16"/>
          <w:szCs w:val="16"/>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structurally junior to all indebtedness and other liabilities (including trade payables) of our subsidiaries.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February 2014, we completed our offering of notes with an aggregate outstanding principal amount of $201.3 million. In the event of our bankruptcy, liquidation, reorganization, or other winding up, our assets that secure debt ranking senior in right of payment to the notes will be available to pay obligations on the notes only after the secured debt has been repaid in full from these assets, and the assets of our subsidiaries will be available to pay obligations on the notes only after all claims senior to the notes have been repaid in full. There may not be sufficient assets remaining to pay amounts due on any or all of the notes then outstanding. The indenture governing the notes does not prohibit us from incurring additional senior debt or secured debt, nor does it prohibit our subsidiaries from incurring additional liabilities.</w:t>
      </w:r>
    </w:p>
    <w:p>
      <w:pPr>
        <w:spacing w:after="0" w:line="18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The notes are our obligations only and some of our operations are conducted through, and a portion of our consolidated assets are held by, our subsidiaries.</w:t>
      </w:r>
    </w:p>
    <w:p>
      <w:pPr>
        <w:spacing w:after="0" w:line="166"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notes are our obligations exclusively and are not guaranteed by any of our operating subsidiaries. A portion of our consolidated assets is held by our subsidiaries. Accordingly, our ability to service our debt, including the notes, depends in part on the results of operations of our subsidiaries and upon the ability of such subsidiaries to provide us with cash, whether in the form of dividends, loans, or otherwise, to pay amounts due on our obligations, including the notes. Our subsidiaries are separate and distinct legal entities and have no obligation, contingent or otherwise, to make payments on the notes or to make any funds available for that purpose. In addition, dividends, loans, or other distributions to us from such subsidiaries may be subject to contractual and other restrictions and are subject to other business and tax considerations.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future regulatory actions and other events may adversely affect the trading price and liquidity of the notes.</w:t>
      </w:r>
    </w:p>
    <w:p>
      <w:pPr>
        <w:spacing w:after="0" w:line="229"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We expect that many investors in, and potential purchasers of, the notes will employ, or seek to employ, a convertible arbitrage strategy with respect to the notes. Investors would typically implement such a strategy by selling short the common stock underlying the notes and dynamically adjusting their short position while continuing to hold the notes. Investors may also implement this type of strategy by entering into swaps on our common stock in lieu of or in addition to short selling the common stock. As a result, any specific rules regulating equity swaps or short selling of securities or other governmental action that interferes with the ability of market participants to effect short sales or equity swaps with respect to our common stock could adversely affect the ability of investors in, or potential purchasers of, the notes to conduct the convertible arbitrage strategy that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we believe they will employ, or seek to employ, with respect to the notes. This could, in turn, adversely affect the trading price and liquidity of the notes.</w:t>
      </w:r>
    </w:p>
    <w:p>
      <w:pPr>
        <w:spacing w:after="0" w:line="237"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Although the direction and magnitude of the effect that Regulation SHO, FINRA, securities exchange rule changes, and implementation of the Dodd-Frank Act may have on the trading price and the liquidity of the notes will depend on a variety of factors, many of which cannot be determined at the date of this report, past regulatory actions (such as certain emergency orders issued by the SEC in 2008 prohibiting short sales of stock of certain financial services companies) have had a significant impact on the trading prices and liquidity of convertible debt instruments. Any governmental or regulatory action that restricts the ability of investors in, or potential purchasers of, the notes to effect short sales of our common stock, borrow our common stock, or enter into swaps on our common stock or increases the costs of implementing an arbitrage strategy could adversely affect the trading price and the liquidity of the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the market price and trading volume of our common stock could adversely impact the trading price of the notes.</w:t>
      </w:r>
    </w:p>
    <w:p>
      <w:pPr>
        <w:spacing w:after="0" w:line="22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stock market in recent years has experienced significant price and volume fluctuations that have often been unrelated to the operating performance of companies. The market price of our common stock could fluctuate significantly for many reasons, including in response to the risks described in this report,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The market price of our common stock could also decline as a result of sales of a large number of shares of our common stock in the market, particularly sales by our directors, executive officers, employees, and significant stockholders, and the perception that these sales could occur may also depress the market price of our common stock. A decrease in the market price of our common stock would likely adversely impact the trading price of the notes. The market price of our common stock could also be affected by possible sales of our common stock by investors who view the notes as a more attractive means of equity participation in us and by hedging or arbitrage trading activity that we expect to develop involving our common stock. This trading activity could, in turn, affect the trading price of the notes.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still incur substantially more debt or take other actions which would intensify the risks discussed above.</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not restricted under the terms of the indenture governing the notes from incurring additional debt, securing existing or future debt, recapitalizing our debt, or taking a number of other actions that are not limited by the terms of the indenture governing the notes that could have the effect of diminishing our ability to make payments on the notes when due. Any failure by us or any of our significant subsidiaries to make any payment at maturity of indebtedness for borrowed money in excess of $15 million or the acceleration of any such indebtedness in excess of $15 million would, subject to the terms of the indenture governing the notes, constitute a default under the indenture. If the repayment of the related indebtedness were to be accelerated after any applicable notice or grace periods, we may not have sufficient funds to repay the notes when required.</w:t>
      </w:r>
    </w:p>
    <w:p>
      <w:pPr>
        <w:spacing w:after="0" w:line="17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may not have the ability to raise the funds necessary to repurchase the notes upon specified dates or upon a fundamental change, and our future debt may contain limitations on our ability to repurchase the notes.</w:t>
      </w:r>
    </w:p>
    <w:p>
      <w:pPr>
        <w:spacing w:after="0" w:line="166"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Holders of the notes have the right to require us to repurchase all or a portion of their notes on certain dates or upon the occurrence of a fundamental change at a repurchase price equal to 100% of the principal amount of the notes to be repurchased, plus accrued and unpaid interest, if any. We may not have enough available cash or be able to obtain financing at the time we are required to make repurchases of notes surrendered therefor.</w:t>
      </w:r>
    </w:p>
    <w:p>
      <w:pPr>
        <w:spacing w:after="0" w:line="14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our ability to repurchase the notes may be limited by law, regulatory authority, or agreements governing our future indebtedness. Our failure to repurchase notes at a time when the repurchase is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when required.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Holders of notes are not entitled to any rights with respect to our common stock, but they are subject to all changes made with respect to them to the extent our conversion obligation includes shares of our common stock.</w:t>
      </w:r>
    </w:p>
    <w:p>
      <w:pPr>
        <w:spacing w:after="0" w:line="166"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Holders of notes are not entitled to any rights with respect to our common stock (including, without limitation, voting rights and rights to receive any dividends or other distributions on our common stock) prior to the conversion date with respect to any notes they surrender for conversion, but they are subject to all changes affecting our common stock. For example, if an amendment is proposed to our certificate of incorporation or bylaws requiring stockholder approval and the record date for determining the stockholders of record entitled to vote on the amendment occurs prior to the conversion date with respect to any notes surrendered for conversion, then the holder surrendering such notes will not be entitled to vote on the amendment, although such holder will nevertheless be subject to any changes affecting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made only limited covenants in the indenture governing the notes, and these limited covenants may not protect a noteholder's investment.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governing the notes does not:</w:t>
      </w:r>
    </w:p>
    <w:p>
      <w:pPr>
        <w:spacing w:after="0" w:line="225" w:lineRule="exact"/>
        <w:rPr>
          <w:sz w:val="20"/>
          <w:szCs w:val="20"/>
          <w:color w:val="auto"/>
        </w:rPr>
      </w:pPr>
    </w:p>
    <w:p>
      <w:pPr>
        <w:ind w:left="760" w:right="400" w:hanging="320"/>
        <w:spacing w:after="0" w:line="308" w:lineRule="auto"/>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us to maintain any financial ratios or specific levels of net worth, revenues, income, cash flows, or liquidity and, accordingly, does not protect holders of the notes in the event that we experience adverse changes in our financial condition or results of operations;</w:t>
      </w:r>
    </w:p>
    <w:p>
      <w:pPr>
        <w:spacing w:after="0" w:line="146" w:lineRule="exact"/>
        <w:rPr>
          <w:rFonts w:ascii="Arial" w:cs="Arial" w:eastAsia="Arial" w:hAnsi="Arial"/>
          <w:sz w:val="17"/>
          <w:szCs w:val="17"/>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subsidiaries’ ability to guarantee or incur indebtedness that would rank structurally senior to the notes;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ability to incur additional indebtedness, including secured indebtedness;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that would be senior to our equity interests in our subsidiaries and therefore would be structurally senior to the notes;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 our ability to repurchase our securities;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 our ability to pledge our assets or those of our subsidiaries; or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restrict our ability to make investments or pay dividends or make other payments in respect of our common stock or our other indebtedness.</w:t>
      </w:r>
    </w:p>
    <w:p>
      <w:pPr>
        <w:spacing w:after="0" w:line="23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Furthermore, the indenture governing the notes contains only limited protections in the event of a change of control. We could engage in many types of transactions, such as acquisitions, refinancings, or certain recapitalizations, that could substantially affect our capital structure and the value of the notes and our common stock but may not constitute a “fundamental change” that permits holders to require us to repurchase their notes or a “make-whole fundamental change” that permits holders to convert their notes at an increased conversion rate. For these reasons, the limited covenants in the indenture governing the notes may not protect a noteholder's investment in the notes.</w:t>
      </w:r>
    </w:p>
    <w:p>
      <w:pPr>
        <w:spacing w:after="0" w:line="184" w:lineRule="exact"/>
        <w:rPr>
          <w:sz w:val="20"/>
          <w:szCs w:val="20"/>
          <w:color w:val="auto"/>
        </w:rPr>
      </w:pPr>
    </w:p>
    <w:p>
      <w:pPr>
        <w:ind w:right="280"/>
        <w:spacing w:after="0" w:line="313" w:lineRule="auto"/>
        <w:rPr>
          <w:sz w:val="20"/>
          <w:szCs w:val="20"/>
          <w:color w:val="auto"/>
        </w:rPr>
      </w:pPr>
      <w:r>
        <w:rPr>
          <w:rFonts w:ascii="Arial" w:cs="Arial" w:eastAsia="Arial" w:hAnsi="Arial"/>
          <w:sz w:val="17"/>
          <w:szCs w:val="17"/>
          <w:b w:val="1"/>
          <w:bCs w:val="1"/>
          <w:color w:val="auto"/>
        </w:rPr>
        <w:t>The increase in the conversion rate for notes converted in connection with a make-whole fundamental change or provisional redemption may not adequately compensate noteholders for any lost value of the notes as a result of such transaction or redemption.</w:t>
      </w:r>
    </w:p>
    <w:p>
      <w:pPr>
        <w:spacing w:after="0" w:line="142"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If a make-whole fundamental change occurs prior to February 6, 2021 or upon our issuance of a notice of provisional redemption, under certain circumstances, we will increase the conversion rate by a number of additional shares of our common stock for notes converted in connection with such events. The increase in the conversion rate for notes converted in connection with such events may not adequately compensate noteholders for any lost value of the notes as a result of such transaction or redemption. In addition, if the price of our common stock in the transaction is greater than $180.00 per share or less than $39.96 per share (in each case, subject to adjustment), no additional shares will be added to the conversion rate. Moreover, in no event will the conversion rate per $1,000 principal amount of notes as a result of this adjustment exceed 25.0250 shares of common stock, subject to adjustment.</w:t>
      </w:r>
    </w:p>
    <w:p>
      <w:pPr>
        <w:spacing w:after="0" w:line="16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Our obligation to increase the conversion rate for notes converted in connection with such events could be considered a penalty, in which case the enforceability thereof would be subject to general principles of reasonableness and equitable remedies.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25"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conversion rate of the notes may not be adjusted for all dilutive events.</w:t>
      </w:r>
    </w:p>
    <w:p>
      <w:pPr>
        <w:spacing w:after="0" w:line="22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conversion rate of the notes is subject to adjustment for certain events, including, but not limited to, the issuance of certain stock dividends on our common stock, the issuance of certain rights or warrants, subdivisions, combinations, distributions of capital stock, indebtedness, or assets, cash dividends and certain issuer tender or exchange offers. However, the conversion rate will not be adjusted for other events, such as a third-party tender or exchange offer or an issuance of common stock for cash, that may adversely affect the trading price of the notes or our common stock. An event that adversely affects the value of the notes may occur, and that event may not result in an adjustment to the conversion rate.</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Some significant restructuring transactions may not constitute a fundamental change, in which case we would not be obligated to offer to repurchase the notes.</w:t>
      </w:r>
    </w:p>
    <w:p>
      <w:pPr>
        <w:spacing w:after="0" w:line="16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Upon the occurrence of a fundamental change, a holder of notes has the right to require us to repurchase the notes. However, the fundamental change provisions will not afford protection to holders of notes in the event of other transactions that could adversely affect the notes. For example, transactions such as leveraged recapitalizations, refinancings, restructurings, or acquisitions initiated by us may not constitute a fundamental change requiring us to repurchase the notes. In the event of any such transaction, the holders would not have the right to require us to repurchase the notes, even though each of these transactions could increase the amount of our indebtedness, or otherwise adversely affect our capital structure or any credit ratings, thereby adversely affecting the holders of notes.</w:t>
      </w:r>
    </w:p>
    <w:p>
      <w:pPr>
        <w:spacing w:after="0" w:line="193"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In addition, absent the occurrence of a fundamental change or a make-whole fundamental change as described under changes in the composition of our board of directors will not provide holders with the right to require us to repurchase the notes or to an increase in the conversion rate upon conversion.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noteholders that an active trading market will develop or be maintained for the notes.</w:t>
      </w:r>
    </w:p>
    <w:p>
      <w:pPr>
        <w:spacing w:after="0" w:line="2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do not intend to apply to list our outstanding convertible notes on any securities exchange or to arrange for quotation on any automated dealer quotation system. In addition, the liquidity of the trading market in the notes and the market price quoted for the notes may be adversely affected by changes in the overall market for this type of security and by changes in our financial performance or prospects or in the prospects for companies in our industry generally. As a result, we cannot assure noteholders that an active trading market will develop or be maintained for the notes. If an active trading market does not develop or is not maintained, the market price and liquidity of the notes may be adversely affected. In that case, noteholders may not be able to sell the notes at a particular time or at a favorable price.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adverse rating of the notes may cause their trading price to fall.</w:t>
      </w:r>
    </w:p>
    <w:p>
      <w:pPr>
        <w:spacing w:after="0" w:line="229"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We do not intend to seek a rating on the notes. However, if a rating service were to rate the notes and if such rating service were to lower its rating on the notes below the rating initially assigned to the notes or otherwise announces its intention to put the notes on credit watch, the trading price of the notes could decline.</w:t>
      </w:r>
    </w:p>
    <w:p>
      <w:pPr>
        <w:spacing w:after="0" w:line="17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Holders of notes may be subject to tax if we make or fail to make certain adjustments to the conversion rate of the notes even though they do not receive a corresponding cash distribution.</w:t>
      </w:r>
    </w:p>
    <w:p>
      <w:pPr>
        <w:spacing w:after="0" w:line="16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conversion rate of the notes is subject to adjustment in certain circumstances, including the payment of cash dividends. If the conversion rate is adjusted as a result of a distribution that is taxable to our common stockholders, such as a cash dividend, a noteholder may be deemed to have received a dividend subject to U.S. federal income tax without the receipt of any cash. In addition, a failure to adjust (or to adjust adequately) the conversion rate after an event that increases a noteholder's proportionate interest in us could be treated as a deemed taxable dividend to you. If a make-whole fundamental change occurs prior to February 6, 2021 or we provide notice of a provisional redemption, under some circumstances, we will increase the conversion rate for notes converted in connection with the make-whole fundamental change or provisional redemption. Such increase may also be treated as a distribution subject to U.S. federal income tax as a dividend. For a non-U.S. holder, any deemed dividend would be subject to U.S. federal withholding tax at a 30% rate, or such lower rate as may be specified by an applicable treaty, which may be set off against subsequent payments on the notes.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Any conversions of the notes will dilute the ownership interest of our existing stockholders, including holders who had previously converted their notes.</w:t>
      </w:r>
    </w:p>
    <w:p>
      <w:pPr>
        <w:spacing w:after="0" w:line="166" w:lineRule="exact"/>
        <w:rPr>
          <w:sz w:val="20"/>
          <w:szCs w:val="20"/>
          <w:color w:val="auto"/>
        </w:rPr>
      </w:pPr>
    </w:p>
    <w:p>
      <w:pPr>
        <w:ind w:right="260" w:firstLine="432"/>
        <w:spacing w:after="0" w:line="286" w:lineRule="auto"/>
        <w:rPr>
          <w:sz w:val="20"/>
          <w:szCs w:val="20"/>
          <w:color w:val="auto"/>
        </w:rPr>
      </w:pPr>
      <w:r>
        <w:rPr>
          <w:rFonts w:ascii="Arial" w:cs="Arial" w:eastAsia="Arial" w:hAnsi="Arial"/>
          <w:sz w:val="17"/>
          <w:szCs w:val="17"/>
          <w:color w:val="auto"/>
        </w:rPr>
        <w:t>Any conversion of some or all of the notes will dilute the ownership interests of our existing stockholders. Any sales in the public market of our common stock issuable upon such conversion could adversely affect prevailing market prices of our common stock. In addition, the existence of the notes may encourage short selling by market participants because the conversion of the notes could depress the price of our common stock.</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After 15 years of service as our general counsel and more recently also as our executive vice president, legal affairs, William M. Smith has agreed with the company to increase his responsibility for operational and business development matters at Fluidigm. As previously disclosed, from February 2014 through October 2014, Mr. Smith led the operational and administrative aspects of integration of DVS Sciences, Inc. following its acquisition, and our chief executive officer has recently assigned him additional business development responsibility for our proteomics business. In connection with these new responsibilities, we anticipate that Mr. Smith will step down as our executive vice president, legal affairs and general counsel. Although no timeline has been established for Mr. Smith to relinquish his responsibility as our general counsel, we anticipate that his job function will increasingly focus on non-legal matters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125" w:right="2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Incorporated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Incorporated by</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From</w:t>
            </w:r>
          </w:p>
        </w:tc>
        <w:tc>
          <w:tcPr>
            <w:tcW w:w="10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9"/>
        </w:trPr>
        <w:tc>
          <w:tcPr>
            <w:tcW w:w="1960" w:type="dxa"/>
            <w:vAlign w:val="bottom"/>
            <w:gridSpan w:val="2"/>
            <w:vMerge w:val="continue"/>
          </w:tcPr>
          <w:p>
            <w:pPr>
              <w:spacing w:after="0"/>
              <w:rPr>
                <w:sz w:val="12"/>
                <w:szCs w:val="12"/>
                <w:color w:val="auto"/>
              </w:rPr>
            </w:pPr>
          </w:p>
        </w:tc>
        <w:tc>
          <w:tcPr>
            <w:tcW w:w="492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360" w:type="dxa"/>
            <w:vAlign w:val="bottom"/>
            <w:vMerge w:val="restart"/>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Exhibit</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34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6"/>
                <w:szCs w:val="16"/>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471"/>
        </w:trPr>
        <w:tc>
          <w:tcPr>
            <w:tcW w:w="1620" w:type="dxa"/>
            <w:vAlign w:val="bottom"/>
          </w:tcPr>
          <w:p>
            <w:pPr>
              <w:ind w:left="4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302 of the Sarbanes-Oxley Act of 2002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302 of the Sarbanes-Oxley Act of 2002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32.1(1)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Furnished</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906 of the Sarbanes-Oxley Act of 2002 of</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herewith</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32.2(1)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Furnished</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906 of the Sarbanes-Oxley Act of 2002 of</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herewith</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Instance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Definition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0" w:right="240" w:hanging="565"/>
        <w:spacing w:after="0" w:line="271" w:lineRule="auto"/>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FLUIDIGM CORPORATION</w:t>
      </w:r>
    </w:p>
    <w:p>
      <w:pPr>
        <w:spacing w:after="0" w:line="185" w:lineRule="exact"/>
        <w:rPr>
          <w:sz w:val="20"/>
          <w:szCs w:val="20"/>
          <w:color w:val="auto"/>
        </w:rPr>
      </w:pPr>
    </w:p>
    <w:p>
      <w:pPr>
        <w:ind w:left="40"/>
        <w:spacing w:after="0"/>
        <w:tabs>
          <w:tab w:leader="none" w:pos="7100" w:val="left"/>
          <w:tab w:leader="none" w:pos="7780" w:val="left"/>
        </w:tabs>
        <w:rPr>
          <w:sz w:val="20"/>
          <w:szCs w:val="20"/>
          <w:color w:val="auto"/>
        </w:rPr>
      </w:pPr>
      <w:r>
        <w:rPr>
          <w:rFonts w:ascii="Arial" w:cs="Arial" w:eastAsia="Arial" w:hAnsi="Arial"/>
          <w:sz w:val="18"/>
          <w:szCs w:val="18"/>
          <w:color w:val="auto"/>
        </w:rPr>
        <w:t>Dated: May 11,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President and Chief Executive Officer</w:t>
      </w:r>
    </w:p>
    <w:p>
      <w:pPr>
        <w:spacing w:after="0" w:line="196" w:lineRule="exact"/>
        <w:rPr>
          <w:sz w:val="20"/>
          <w:szCs w:val="20"/>
          <w:color w:val="auto"/>
        </w:rPr>
      </w:pPr>
    </w:p>
    <w:p>
      <w:pPr>
        <w:ind w:left="40"/>
        <w:spacing w:after="0"/>
        <w:tabs>
          <w:tab w:leader="none" w:pos="7100" w:val="left"/>
          <w:tab w:leader="none" w:pos="7780" w:val="left"/>
        </w:tabs>
        <w:rPr>
          <w:sz w:val="20"/>
          <w:szCs w:val="20"/>
          <w:color w:val="auto"/>
        </w:rPr>
      </w:pPr>
      <w:r>
        <w:rPr>
          <w:rFonts w:ascii="Arial" w:cs="Arial" w:eastAsia="Arial" w:hAnsi="Arial"/>
          <w:sz w:val="18"/>
          <w:szCs w:val="18"/>
          <w:color w:val="auto"/>
        </w:rPr>
        <w:t>Dated: May 11,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720"/>
          </w:cols>
          <w:pgMar w:left="240" w:top="125" w:right="9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LIST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Incorporated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Incorporated by</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From</w:t>
            </w:r>
          </w:p>
        </w:tc>
        <w:tc>
          <w:tcPr>
            <w:tcW w:w="11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9"/>
        </w:trPr>
        <w:tc>
          <w:tcPr>
            <w:tcW w:w="1960" w:type="dxa"/>
            <w:vAlign w:val="bottom"/>
            <w:gridSpan w:val="2"/>
            <w:vMerge w:val="continue"/>
          </w:tcPr>
          <w:p>
            <w:pPr>
              <w:spacing w:after="0"/>
              <w:rPr>
                <w:sz w:val="12"/>
                <w:szCs w:val="12"/>
                <w:color w:val="auto"/>
              </w:rPr>
            </w:pPr>
          </w:p>
        </w:tc>
        <w:tc>
          <w:tcPr>
            <w:tcW w:w="492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360" w:type="dxa"/>
            <w:vAlign w:val="bottom"/>
            <w:vMerge w:val="restart"/>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Exhibit</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3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6"/>
                <w:szCs w:val="16"/>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350"/>
        </w:trPr>
        <w:tc>
          <w:tcPr>
            <w:tcW w:w="1620" w:type="dxa"/>
            <w:vAlign w:val="bottom"/>
          </w:tcPr>
          <w:p>
            <w:pPr>
              <w:ind w:left="4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302 of the Sarbanes-Oxley Act of 2002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302 of the Sarbanes-Oxley Act of 2002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32.1(1)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Furnished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906 of the Sarbanes-Oxley Act of 2002 of</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herewith</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620" w:type="dxa"/>
            <w:vAlign w:val="bottom"/>
          </w:tcPr>
          <w:p>
            <w:pPr>
              <w:ind w:left="40"/>
              <w:spacing w:after="0"/>
              <w:rPr>
                <w:sz w:val="20"/>
                <w:szCs w:val="20"/>
                <w:color w:val="auto"/>
              </w:rPr>
            </w:pPr>
            <w:r>
              <w:rPr>
                <w:rFonts w:ascii="Arial" w:cs="Arial" w:eastAsia="Arial" w:hAnsi="Arial"/>
                <w:sz w:val="18"/>
                <w:szCs w:val="18"/>
                <w:color w:val="auto"/>
              </w:rPr>
              <w:t>32.2(1)</w:t>
            </w:r>
          </w:p>
        </w:tc>
        <w:tc>
          <w:tcPr>
            <w:tcW w:w="340" w:type="dxa"/>
            <w:vAlign w:val="bottom"/>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Certification Pursuant to 18 U.S.C. Section 1350, as Adopted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Furnished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Pursuant to Section 906 of the Sarbanes-Oxley Act of 2002 of</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herewith</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Instance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52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Definition Document</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600" w:right="440" w:hanging="565"/>
        <w:spacing w:after="0" w:line="271" w:lineRule="auto"/>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PRESIDENT AND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Gajus V. Worthington, certify that:</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1300"/>
        <w:spacing w:after="0"/>
        <w:tabs>
          <w:tab w:leader="none" w:pos="5380" w:val="left"/>
          <w:tab w:leader="none" w:pos="5980" w:val="left"/>
        </w:tabs>
        <w:rPr>
          <w:sz w:val="20"/>
          <w:szCs w:val="20"/>
          <w:color w:val="auto"/>
        </w:rPr>
      </w:pPr>
      <w:r>
        <w:rPr>
          <w:rFonts w:ascii="Arial" w:cs="Arial" w:eastAsia="Arial" w:hAnsi="Arial"/>
          <w:sz w:val="18"/>
          <w:szCs w:val="18"/>
          <w:color w:val="auto"/>
        </w:rPr>
        <w:t>Dated: May 11,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31750</wp:posOffset>
            </wp:positionV>
            <wp:extent cx="2667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120"/>
        <w:spacing w:after="0"/>
        <w:tabs>
          <w:tab w:leader="none" w:pos="5880" w:val="left"/>
          <w:tab w:leader="none" w:pos="6480" w:val="left"/>
        </w:tabs>
        <w:rPr>
          <w:sz w:val="20"/>
          <w:szCs w:val="20"/>
          <w:color w:val="auto"/>
        </w:rPr>
      </w:pPr>
      <w:r>
        <w:rPr>
          <w:rFonts w:ascii="Arial" w:cs="Arial" w:eastAsia="Arial" w:hAnsi="Arial"/>
          <w:sz w:val="18"/>
          <w:szCs w:val="18"/>
          <w:color w:val="auto"/>
        </w:rPr>
        <w:t>Dated: May 11,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31750</wp:posOffset>
            </wp:positionV>
            <wp:extent cx="24441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18 U.S.C. § 1350, AS ADOPTED PURSUANT TO SECTION 906 OF THE SARBANES-OXLEY ACT OF 2002</w:t>
      </w:r>
    </w:p>
    <w:p>
      <w:pPr>
        <w:spacing w:after="0" w:line="12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 Gajus V. Worthington, the chief executive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right="980" w:firstLine="886"/>
        <w:spacing w:after="0" w:line="277" w:lineRule="auto"/>
        <w:tabs>
          <w:tab w:leader="none" w:pos="10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March 31, 2015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18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May 11, 2015</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2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right="980" w:firstLine="886"/>
        <w:spacing w:after="0" w:line="277" w:lineRule="auto"/>
        <w:tabs>
          <w:tab w:leader="none" w:pos="10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March 31, 2015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3788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18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Date: May 11, 2015</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2"/>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lvl w:ilvl="1">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lowerRoman"/>
      <w:start w:val="1"/>
    </w:lvl>
  </w:abstractNum>
  <w:abstractNum w:abstractNumId="26">
    <w:nsid w:val="54E49EB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2019-12-29T16:51:49Z</dcterms:created>
  <dcterms:modified xsi:type="dcterms:W3CDTF">2019-12-29T16:51:49Z</dcterms:modified>
</cp:coreProperties>
</file>