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144d1_s8.htm"/>
      <w:bookmarkStart w:id="1" w:name="kstm2622144d1_s8"/>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S-8</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STANDARD BIOTOOLS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2660"/>
        <w:gridCol w:w="60"/>
        <w:gridCol w:w="1970"/>
      </w:tblGrid>
      <w:tr>
        <w:trPr/>
        <w:tc>
          <w:tcPr>
            <w:tcW w:w="26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77-0513190</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 Milk Street, 10th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Massachusetts 02109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BioTools Inc. 2026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Egholm, Ph.D.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and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 Milk Street, 10th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Massachusetts 02109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266-6000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C. Hicks, Esq.</w:t>
        <w:br/>
        <w:t>John T. Rudy,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Mintz, Levin, Cohn, Ferris, Glovsky and Popeo, P.C.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Financial Center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Massachusetts 02111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542-6000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2060"/>
        <w:gridCol w:w="60"/>
        <w:gridCol w:w="2510"/>
      </w:tblGrid>
      <w:tr>
        <w:trPr/>
        <w:tc>
          <w:tcPr>
            <w:tcW w:w="2060" w:type="dxa"/>
            <w:tcBorders/>
            <w:vAlign w:val="center"/>
          </w:tcPr>
          <w:p>
            <w:pPr>
              <w:pStyle w:val="TableContents"/>
              <w:bidi w:val="0"/>
              <w:spacing w:before="0" w:after="283"/>
              <w:jc w:val="left"/>
              <w:rPr>
                <w:sz w:val="20"/>
              </w:rPr>
            </w:pPr>
            <w:r>
              <w:rPr>
                <w:rFonts w:ascii="Times New Roman;Times;Serif" w:hAnsi="Times New Roman;Times;Serif"/>
                <w:sz w:val="20"/>
              </w:rPr>
              <w:t xml:space="preserve">Large accelerated filer </w:t>
            </w:r>
            <w:r>
              <w:rPr>
                <w:sz w:val="20"/>
              </w:rPr>
              <w:t>☐</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sz w:val="20"/>
              </w:rPr>
            </w:pPr>
            <w:r>
              <w:rPr>
                <w:rFonts w:ascii="Times New Roman;Times;Serif" w:hAnsi="Times New Roman;Times;Serif"/>
                <w:sz w:val="20"/>
              </w:rPr>
              <w:t xml:space="preserve">Accelerated filer </w:t>
            </w:r>
            <w:r>
              <w:rPr>
                <w:sz w:val="20"/>
              </w:rPr>
              <w:t>☒</w:t>
            </w:r>
          </w:p>
        </w:tc>
      </w:tr>
      <w:tr>
        <w:trPr/>
        <w:tc>
          <w:tcPr>
            <w:tcW w:w="2060" w:type="dxa"/>
            <w:tcBorders/>
            <w:vAlign w:val="center"/>
          </w:tcPr>
          <w:p>
            <w:pPr>
              <w:pStyle w:val="TableContents"/>
              <w:bidi w:val="0"/>
              <w:spacing w:before="0" w:after="283"/>
              <w:jc w:val="left"/>
              <w:rPr>
                <w:sz w:val="20"/>
              </w:rPr>
            </w:pPr>
            <w:r>
              <w:rPr>
                <w:rFonts w:ascii="Times New Roman;Times;Serif" w:hAnsi="Times New Roman;Times;Serif"/>
                <w:sz w:val="20"/>
              </w:rPr>
              <w:t xml:space="preserve">Non-accelerated filer </w:t>
            </w:r>
            <w:r>
              <w:rPr>
                <w:sz w:val="20"/>
              </w:rPr>
              <w:t>☐</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sz w:val="20"/>
              </w:rPr>
            </w:pPr>
            <w:r>
              <w:rPr>
                <w:rFonts w:ascii="Times New Roman;Times;Serif" w:hAnsi="Times New Roman;Times;Serif"/>
                <w:sz w:val="20"/>
              </w:rPr>
              <w:t>Smaller reporting company  </w:t>
            </w:r>
            <w:r>
              <w:rPr>
                <w:sz w:val="20"/>
              </w:rPr>
              <w:t>☐</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sz w:val="20"/>
              </w:rPr>
            </w:pPr>
            <w:r>
              <w:rPr>
                <w:rFonts w:ascii="Times New Roman;Times;Serif" w:hAnsi="Times New Roman;Times;Serif"/>
                <w:sz w:val="20"/>
              </w:rPr>
              <w:t xml:space="preserve">Emerging growth company </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(this “Registration Statement”) is being filed by Standard BioTools Inc. (the “Registrant”) for the purpose of registering 59,312,471 shares of common stock, $0.001 par value per share, of the Registrant (the “Common Stock”) reserved for issuance under the Registrant’s 2026 Equity Incentive Plan (the “2026 Plan”), which consists of 10,000,000 shares of Common Stock initially reserved for issuance under the 2026 Plan, up to 14,835,928 shares of Common Stock that remained available for future grant under the Registrant’s Amended and Restated 2011 Equity Incentive Plan, as amended (the “2011 Plan”), which shares were added to the share reserve of the 2026 Plan upon the adoption thereof, and up to 34,476,543 shares of Common Stock that may become available for issuance under the 2026 Plan upon the expiration, termination, or forfeiture of awards granted under the 2011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called for in Part I of Form S-8 is not being filed with or included in this Form S-8 (by incorporation by reference or otherwise) in accordance with the rules and regulations of the Securities and Exchange Commission (the “Commission”). The documents containing the information specified in Part I of Form S-8 will be delivered to the participants in the 2026 Plan covered by this Registration Statement as specified by Rule 428(b)(1) under the Securities Act of 1933, as amended (the “Securities Act”). </w:t>
      </w:r>
      <w:r>
        <w:rPr>
          <w:rFonts w:ascii="Times New Roman;Times;Serif" w:hAnsi="Times New Roman;Times;Serif"/>
          <w:b w:val="false"/>
          <w:i w:val="false"/>
          <w:caps w:val="false"/>
          <w:smallCaps w:val="false"/>
          <w:sz w:val="20"/>
          <w:shd w:fill="FFFFFF" w:val="clear"/>
        </w:rPr>
        <w:t>These documents, and the documents incorporated by reference in this Registration Statement pursuant to Item 3 of Part II of this Form S-8, taken together, constitute a prospectus that meets the requirements of Section 10(a)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740"/>
        <w:gridCol w:w="4370"/>
      </w:tblGrid>
      <w:tr>
        <w:trPr/>
        <w:tc>
          <w:tcPr>
            <w:tcW w:w="740" w:type="dxa"/>
            <w:tcBorders/>
            <w:vAlign w:val="center"/>
          </w:tcPr>
          <w:p>
            <w:pPr>
              <w:pStyle w:val="TableContents"/>
              <w:bidi w:val="0"/>
              <w:spacing w:before="0" w:after="283"/>
              <w:jc w:val="left"/>
              <w:rPr>
                <w:b/>
              </w:rPr>
            </w:pPr>
            <w:r>
              <w:rPr>
                <w:b/>
              </w:rPr>
              <w:t>Item 3.</w:t>
            </w:r>
          </w:p>
        </w:tc>
        <w:tc>
          <w:tcPr>
            <w:tcW w:w="4370" w:type="dxa"/>
            <w:tcBorders/>
            <w:vAlign w:val="center"/>
          </w:tcPr>
          <w:p>
            <w:pPr>
              <w:pStyle w:val="TableContents"/>
              <w:bidi w:val="0"/>
              <w:spacing w:before="0" w:after="283"/>
              <w:jc w:val="left"/>
              <w:rPr>
                <w:b/>
              </w:rPr>
            </w:pPr>
            <w:r>
              <w:rPr>
                <w:b/>
              </w:rPr>
              <w:t>Incorporation of Documents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with the Commission by the Registrant are incorporated by reference into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hyperlink r:id="rId2">
              <w:r>
                <w:rPr>
                  <w:rStyle w:val="InternetLink"/>
                </w:rPr>
                <w:t>a.</w:t>
              </w:r>
            </w:hyperlink>
          </w:p>
        </w:tc>
        <w:tc>
          <w:tcPr>
            <w:tcW w:w="9983" w:type="dxa"/>
            <w:tcBorders/>
            <w:vAlign w:val="center"/>
          </w:tcPr>
          <w:p>
            <w:pPr>
              <w:pStyle w:val="TableContents"/>
              <w:bidi w:val="0"/>
              <w:spacing w:before="0" w:after="283"/>
              <w:jc w:val="left"/>
              <w:rPr/>
            </w:pPr>
            <w:hyperlink r:id="rId3">
              <w:r>
                <w:rPr>
                  <w:rStyle w:val="InternetLink"/>
                </w:rPr>
                <w:t>The Registrant’s Annual Report on Form 10-K for the fiscal year ended December 31, 2025, filed with the Commission on March 16, 2026 pursuant to Section 13(a) of the Securities Exchange Act of 1934, as amended (the “Exchange Act”);</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 xml:space="preserve">The Registrant’s Quarterly Reports on Form 10-Q for the fiscal quarters ended March 31, 2026 and June 30, 2026, filed with the Commission on </w:t>
            </w:r>
            <w:hyperlink r:id="rId4">
              <w:r>
                <w:rPr>
                  <w:rStyle w:val="InternetLink"/>
                </w:rPr>
                <w:t>May 6, 2026</w:t>
              </w:r>
            </w:hyperlink>
            <w:r>
              <w:rPr/>
              <w:t xml:space="preserve"> and </w:t>
            </w:r>
            <w:hyperlink r:id="rId5">
              <w:r>
                <w:rPr>
                  <w:rStyle w:val="InternetLink"/>
                </w:rPr>
                <w:t>August 5, 2026</w:t>
              </w:r>
            </w:hyperlink>
            <w:r>
              <w:rPr/>
              <w:t>,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0"/>
              <w:ind w:left="0" w:right="0" w:hanging="0"/>
              <w:jc w:val="left"/>
              <w:rPr/>
            </w:pPr>
            <w:r>
              <w:rPr>
                <w:rFonts w:ascii="Times New Roman;Times;Serif" w:hAnsi="Times New Roman;Times;Serif"/>
                <w:b w:val="false"/>
                <w:i w:val="false"/>
                <w:caps w:val="false"/>
                <w:smallCaps w:val="false"/>
                <w:sz w:val="20"/>
              </w:rPr>
              <w:t xml:space="preserve">The Registrant’s Current Reports on Form 8-K, excluding any information furnished but not filed pursuant to rules promulgated under the Exchange Act, as filed with the Commission on </w:t>
            </w:r>
            <w:hyperlink r:id="rId6">
              <w:r>
                <w:rPr>
                  <w:rStyle w:val="InternetLink"/>
                  <w:rFonts w:ascii="Times New Roman;Times;Serif" w:hAnsi="Times New Roman;Times;Serif"/>
                  <w:b w:val="false"/>
                  <w:i w:val="false"/>
                  <w:caps w:val="false"/>
                  <w:smallCaps w:val="false"/>
                  <w:sz w:val="20"/>
                </w:rPr>
                <w:t>January 30, 2026</w:t>
              </w:r>
            </w:hyperlink>
            <w:r>
              <w:rPr>
                <w:rFonts w:ascii="Times New Roman;Times;Serif" w:hAnsi="Times New Roman;Times;Serif"/>
                <w:b w:val="false"/>
                <w:i w:val="false"/>
                <w:caps w:val="false"/>
                <w:smallCaps w:val="false"/>
                <w:sz w:val="20"/>
              </w:rPr>
              <w:t xml:space="preserve"> (as amended on </w:t>
            </w:r>
            <w:hyperlink r:id="rId7">
              <w:r>
                <w:rPr>
                  <w:rStyle w:val="InternetLink"/>
                  <w:rFonts w:ascii="Times New Roman;Times;Serif" w:hAnsi="Times New Roman;Times;Serif"/>
                  <w:b w:val="false"/>
                  <w:i w:val="false"/>
                  <w:caps w:val="false"/>
                  <w:smallCaps w:val="false"/>
                  <w:sz w:val="20"/>
                </w:rPr>
                <w:t>February 5,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April 24,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May 28,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June 3, 2026</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June 5,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June 8, 2026</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June 18, 2026</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July 24, 2026</w:t>
              </w:r>
            </w:hyperlink>
            <w:r>
              <w:rPr>
                <w:rFonts w:ascii="Times New Roman;Times;Serif" w:hAnsi="Times New Roman;Times;Serif"/>
                <w:b w:val="false"/>
                <w:i w:val="false"/>
                <w:caps w:val="false"/>
                <w:smallCaps w:val="false"/>
                <w:sz w:val="20"/>
              </w:rPr>
              <w:t xml:space="preserve">, and </w:t>
            </w:r>
            <w:hyperlink r:id="rId15">
              <w:r>
                <w:rPr>
                  <w:rStyle w:val="InternetLink"/>
                  <w:rFonts w:ascii="Times New Roman;Times;Serif" w:hAnsi="Times New Roman;Times;Serif"/>
                  <w:b w:val="false"/>
                  <w:i w:val="false"/>
                  <w:caps w:val="false"/>
                  <w:smallCaps w:val="false"/>
                  <w:sz w:val="20"/>
                </w:rPr>
                <w:t>July 28, 2026</w:t>
              </w:r>
            </w:hyperlink>
            <w:r>
              <w:rPr>
                <w:rFonts w:ascii="Times New Roman;Times;Serif" w:hAnsi="Times New Roman;Times;Serif"/>
                <w:b w:val="false"/>
                <w:i w:val="false"/>
                <w:caps w:val="false"/>
                <w:smallCaps w:val="false"/>
                <w:sz w:val="20"/>
              </w:rPr>
              <w:t xml:space="preserve"> (as amended on </w:t>
            </w:r>
            <w:hyperlink r:id="rId16">
              <w:r>
                <w:rPr>
                  <w:rStyle w:val="InternetLink"/>
                  <w:rFonts w:ascii="Times New Roman;Times;Serif" w:hAnsi="Times New Roman;Times;Serif"/>
                  <w:b w:val="false"/>
                  <w:i w:val="false"/>
                  <w:caps w:val="false"/>
                  <w:smallCaps w:val="false"/>
                  <w:sz w:val="20"/>
                </w:rPr>
                <w:t>July 29, 2026</w:t>
              </w:r>
            </w:hyperlink>
            <w:r>
              <w:rPr>
                <w:rFonts w:ascii="Times New Roman;Times;Serif" w:hAnsi="Times New Roman;Times;Serif"/>
                <w:b w:val="false"/>
                <w:i w:val="false"/>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left"/>
              <w:rPr/>
            </w:pPr>
            <w:r>
              <w:rPr/>
              <w:t xml:space="preserve">The description of the Registrant’s common stock contained in </w:t>
            </w:r>
            <w:hyperlink r:id="rId17">
              <w:r>
                <w:rPr>
                  <w:rStyle w:val="InternetLink"/>
                </w:rPr>
                <w:t>Exhibit 4.2</w:t>
              </w:r>
            </w:hyperlink>
            <w:r>
              <w:rPr/>
              <w:t xml:space="preserve"> of the Registrant’s Annual Report on Form 10-K for the fiscal year ended December 31, 2024, filed with the Commission on March 11, 2025, including any amendments or reports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filed by the Registrant after the date hereof pursuant to Sections 13(a), 13(c), 14 and 15(d) of the Exchange Act (other than Current Reports furnished under Item 2.02 or Item 7.01 of Form 8-K and exhibits furnished on such form that relate to such items), prior to the filing of a post-effective amendment which indicates that all securities offered hereby have been sold or which deregisters all securities then remaining unsold, shall be deemed to be incorporated by reference herein and to be part hereof from the date of filing of such reports and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740"/>
        <w:gridCol w:w="2555"/>
      </w:tblGrid>
      <w:tr>
        <w:trPr/>
        <w:tc>
          <w:tcPr>
            <w:tcW w:w="740" w:type="dxa"/>
            <w:tcBorders/>
            <w:vAlign w:val="center"/>
          </w:tcPr>
          <w:p>
            <w:pPr>
              <w:pStyle w:val="TableContents"/>
              <w:bidi w:val="0"/>
              <w:spacing w:before="0" w:after="283"/>
              <w:jc w:val="left"/>
              <w:rPr>
                <w:b/>
              </w:rPr>
            </w:pPr>
            <w:r>
              <w:rPr>
                <w:b/>
              </w:rPr>
              <w:t>Item 4.</w:t>
            </w:r>
          </w:p>
        </w:tc>
        <w:tc>
          <w:tcPr>
            <w:tcW w:w="2555" w:type="dxa"/>
            <w:tcBorders/>
            <w:vAlign w:val="center"/>
          </w:tcPr>
          <w:p>
            <w:pPr>
              <w:pStyle w:val="TableContents"/>
              <w:bidi w:val="0"/>
              <w:spacing w:before="0" w:after="283"/>
              <w:jc w:val="left"/>
              <w:rPr>
                <w:b/>
              </w:rPr>
            </w:pPr>
            <w:r>
              <w:rPr>
                <w:b/>
              </w:rPr>
              <w:t>Description of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40"/>
        <w:gridCol w:w="4205"/>
      </w:tblGrid>
      <w:tr>
        <w:trPr/>
        <w:tc>
          <w:tcPr>
            <w:tcW w:w="740" w:type="dxa"/>
            <w:tcBorders/>
            <w:vAlign w:val="center"/>
          </w:tcPr>
          <w:p>
            <w:pPr>
              <w:pStyle w:val="TableContents"/>
              <w:bidi w:val="0"/>
              <w:spacing w:before="0" w:after="283"/>
              <w:jc w:val="left"/>
              <w:rPr>
                <w:b/>
              </w:rPr>
            </w:pPr>
            <w:r>
              <w:rPr>
                <w:b/>
              </w:rPr>
              <w:t>Item 5.</w:t>
            </w:r>
          </w:p>
        </w:tc>
        <w:tc>
          <w:tcPr>
            <w:tcW w:w="4205" w:type="dxa"/>
            <w:tcBorders/>
            <w:vAlign w:val="center"/>
          </w:tcPr>
          <w:p>
            <w:pPr>
              <w:pStyle w:val="TableContents"/>
              <w:bidi w:val="0"/>
              <w:spacing w:before="0" w:after="283"/>
              <w:jc w:val="left"/>
              <w:rPr>
                <w:b/>
              </w:rPr>
            </w:pPr>
            <w:r>
              <w:rPr>
                <w:b/>
              </w:rPr>
              <w:t>Interests of Named Experts and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40"/>
        <w:gridCol w:w="4265"/>
      </w:tblGrid>
      <w:tr>
        <w:trPr/>
        <w:tc>
          <w:tcPr>
            <w:tcW w:w="740" w:type="dxa"/>
            <w:tcBorders/>
            <w:vAlign w:val="center"/>
          </w:tcPr>
          <w:p>
            <w:pPr>
              <w:pStyle w:val="TableContents"/>
              <w:bidi w:val="0"/>
              <w:spacing w:before="0" w:after="283"/>
              <w:jc w:val="left"/>
              <w:rPr>
                <w:b/>
              </w:rPr>
            </w:pPr>
            <w:r>
              <w:rPr>
                <w:b/>
              </w:rPr>
              <w:t>Item 6.</w:t>
            </w:r>
          </w:p>
        </w:tc>
        <w:tc>
          <w:tcPr>
            <w:tcW w:w="4265" w:type="dxa"/>
            <w:tcBorders/>
            <w:vAlign w:val="center"/>
          </w:tcPr>
          <w:p>
            <w:pPr>
              <w:pStyle w:val="TableContents"/>
              <w:bidi w:val="0"/>
              <w:spacing w:before="0" w:after="283"/>
              <w:jc w:val="left"/>
              <w:rPr>
                <w:b/>
              </w:rPr>
            </w:pPr>
            <w:r>
              <w:rPr>
                <w:b/>
              </w:rPr>
              <w:t>Indemnification of Directors and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(the “DGCL”), permits a corporation to indemnify its directors and officers against expenses, including attorneys’ fees, judgments, fines and amounts paid in settlements actually and reasonably incurred by them in connection with any action, suit or proceeding brought by third parties. The directors or officers must have acted in good faith and in a manner they reasonably believed to be in or not opposed to the best interests of the corporation and, with respect to any criminal action or proceeding, had no reason to believe their conduct was unlawful. In a derivative action, an action only by or in the right of the corporation, indemnification may be made only for expenses, including attorney’s fees, actually and reasonably incurred by directors and officers in connection with the defense or settlement of an action or suit, and only with respect to a matter as to which they acted in good faith and in a manner they reasonably believed to be in or not opposed to the best interests of the corporation. No indemnification shall be made if such person shall have been adjudged to be liable to the corporation, unless and only to the extent that the court in which the action or suit was brought determines upon application that the defendant officers or directors are fairly and reasonably entitled to indemnity for such expenses despite such adjudication of liability. The certificate of incorporation, as amended, of the Registrant provides that the Registrant may indemnify its directors, officers, employees or agents to the fullest extent permitted by applicable law and the bylaws, as amended, of the Registrant provide that the Registrant shall indemnify its directors and officers to the fullest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permits a corporation to provide in its charter that a director or officer of the corporation shall not be personally liable to the corporation or its stockholders for monetary damages for breach of fiduciary duty as a director or officer, except for liability of (1) a director or officer for any breach of the director’s or officer’s duty of loyalty to the corporation or its stockholders, (2) a director or officer for acts or omissions not in good faith or which involve intentional misconduct or a knowing violation of law, (3) a director for payments of unlawful dividends or unlawful stock purchases or redemptions, (4) a director or officer for any transaction from which the director or officer derived an improper personal benefit, or (5) an officer in any action by or in the right of the corporation. The certificate of incorporation, as amended, of the Registrant provides for such limitation of liability with respect to its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entered into indemnification agreements with its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rights set forth above shall not be exclusive of any other right which an indemnified person may have or hereafter acquire under any statute, the Registrant’s certificate of incorporation, as amended, the Registrant’s bylaws, as amended, any agreement, any vote of stockholders or disinterested directors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maintains standard policies of insurance that provide coverage (1) to its directors and officers against loss rising from claims made by reason of breach of duty or other wrongful act and (2) to the Registrant with respect to indemnification payments that the Registrant may make to such directors and officers.</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40"/>
        <w:gridCol w:w="3980"/>
      </w:tblGrid>
      <w:tr>
        <w:trPr/>
        <w:tc>
          <w:tcPr>
            <w:tcW w:w="740" w:type="dxa"/>
            <w:tcBorders/>
            <w:vAlign w:val="center"/>
          </w:tcPr>
          <w:p>
            <w:pPr>
              <w:pStyle w:val="TableContents"/>
              <w:bidi w:val="0"/>
              <w:spacing w:before="0" w:after="283"/>
              <w:jc w:val="left"/>
              <w:rPr>
                <w:b/>
              </w:rPr>
            </w:pPr>
            <w:r>
              <w:rPr>
                <w:b/>
              </w:rPr>
              <w:t>Item 7.</w:t>
            </w:r>
          </w:p>
        </w:tc>
        <w:tc>
          <w:tcPr>
            <w:tcW w:w="3980" w:type="dxa"/>
            <w:tcBorders/>
            <w:vAlign w:val="center"/>
          </w:tcPr>
          <w:p>
            <w:pPr>
              <w:pStyle w:val="TableContents"/>
              <w:bidi w:val="0"/>
              <w:spacing w:before="0" w:after="283"/>
              <w:jc w:val="left"/>
              <w:rPr>
                <w:b/>
              </w:rPr>
            </w:pPr>
            <w:r>
              <w:rPr>
                <w:b/>
              </w:rPr>
              <w:t>Exemption from Registration Claimed.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740"/>
        <w:gridCol w:w="935"/>
      </w:tblGrid>
      <w:tr>
        <w:trPr/>
        <w:tc>
          <w:tcPr>
            <w:tcW w:w="740" w:type="dxa"/>
            <w:tcBorders/>
            <w:vAlign w:val="center"/>
          </w:tcPr>
          <w:p>
            <w:pPr>
              <w:pStyle w:val="TableContents"/>
              <w:bidi w:val="0"/>
              <w:spacing w:before="0" w:after="283"/>
              <w:jc w:val="left"/>
              <w:rPr>
                <w:b/>
              </w:rPr>
            </w:pPr>
            <w:r>
              <w:rPr>
                <w:b/>
              </w:rPr>
              <w:t>Item 8.</w:t>
            </w:r>
          </w:p>
        </w:tc>
        <w:tc>
          <w:tcPr>
            <w:tcW w:w="935" w:type="dxa"/>
            <w:tcBorders/>
            <w:vAlign w:val="center"/>
          </w:tcPr>
          <w:p>
            <w:pPr>
              <w:pStyle w:val="TableContents"/>
              <w:bidi w:val="0"/>
              <w:spacing w:before="0" w:after="283"/>
              <w:jc w:val="left"/>
              <w:rPr>
                <w:b/>
              </w:rPr>
            </w:pPr>
            <w:r>
              <w:rPr>
                <w:b/>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60"/>
        <w:gridCol w:w="6685"/>
        <w:gridCol w:w="60"/>
        <w:gridCol w:w="500"/>
        <w:gridCol w:w="60"/>
        <w:gridCol w:w="1393"/>
        <w:gridCol w:w="60"/>
        <w:gridCol w:w="722"/>
      </w:tblGrid>
      <w:tr>
        <w:trPr/>
        <w:tc>
          <w:tcPr>
            <w:tcW w:w="6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vAlign w:val="center"/>
          </w:tcPr>
          <w:p>
            <w:pPr>
              <w:pStyle w:val="TableContents"/>
              <w:bidi w:val="0"/>
              <w:spacing w:before="0" w:after="283"/>
              <w:jc w:val="center"/>
              <w:rPr/>
            </w:pPr>
            <w:r>
              <w:rPr/>
              <w:t> </w:t>
            </w:r>
          </w:p>
        </w:tc>
        <w:tc>
          <w:tcPr>
            <w:tcW w:w="66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60" w:type="dxa"/>
            <w:tcBorders/>
            <w:vAlign w:val="center"/>
          </w:tcPr>
          <w:p>
            <w:pPr>
              <w:pStyle w:val="TableContents"/>
              <w:bidi w:val="0"/>
              <w:spacing w:before="0" w:after="283"/>
              <w:jc w:val="center"/>
              <w:rPr/>
            </w:pPr>
            <w:r>
              <w:rPr/>
              <w:t> </w:t>
            </w:r>
          </w:p>
        </w:tc>
        <w:tc>
          <w:tcPr>
            <w:tcW w:w="139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Incorporated by</w:t>
              <w:br/>
              <w:t>Reference From</w:t>
              <w:br/>
              <w:t>Exhibit Number</w:t>
            </w:r>
          </w:p>
        </w:tc>
        <w:tc>
          <w:tcPr>
            <w:tcW w:w="60" w:type="dxa"/>
            <w:tcBorders/>
            <w:vAlign w:val="center"/>
          </w:tcPr>
          <w:p>
            <w:pPr>
              <w:pStyle w:val="TableContents"/>
              <w:bidi w:val="0"/>
              <w:spacing w:before="0" w:after="283"/>
              <w:jc w:val="center"/>
              <w:rPr/>
            </w:pPr>
            <w:r>
              <w:rPr/>
              <w:t> </w:t>
            </w:r>
          </w:p>
        </w:tc>
        <w:tc>
          <w:tcPr>
            <w:tcW w:w="72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Filed</w:t>
            </w:r>
          </w:p>
        </w:tc>
      </w:tr>
      <w:tr>
        <w:trPr/>
        <w:tc>
          <w:tcPr>
            <w:tcW w:w="665" w:type="dxa"/>
            <w:tcBorders/>
            <w:vAlign w:val="center"/>
          </w:tcPr>
          <w:p>
            <w:pPr>
              <w:pStyle w:val="TableContents"/>
              <w:bidi w:val="0"/>
              <w:spacing w:before="0" w:after="283"/>
              <w:jc w:val="center"/>
              <w:rPr/>
            </w:pPr>
            <w:hyperlink r:id="rId18">
              <w:r>
                <w:rPr>
                  <w:rStyle w:val="InternetLink"/>
                  <w:rFonts w:ascii="Times New Roman;Times;Serif" w:hAnsi="Times New Roman;Times;Serif"/>
                  <w:sz w:val="20"/>
                </w:rPr>
                <w:t>4.1</w:t>
              </w:r>
            </w:hyperlink>
          </w:p>
        </w:tc>
        <w:tc>
          <w:tcPr>
            <w:tcW w:w="60" w:type="dxa"/>
            <w:tcBorders/>
            <w:vAlign w:val="center"/>
          </w:tcPr>
          <w:p>
            <w:pPr>
              <w:pStyle w:val="TableContents"/>
              <w:bidi w:val="0"/>
              <w:spacing w:before="0" w:after="283"/>
              <w:jc w:val="left"/>
              <w:rPr/>
            </w:pPr>
            <w:r>
              <w:rPr/>
              <w:t> </w:t>
            </w:r>
          </w:p>
        </w:tc>
        <w:tc>
          <w:tcPr>
            <w:tcW w:w="6685" w:type="dxa"/>
            <w:tcBorders/>
            <w:vAlign w:val="center"/>
          </w:tcPr>
          <w:p>
            <w:pPr>
              <w:pStyle w:val="TableContents"/>
              <w:bidi w:val="0"/>
              <w:spacing w:before="0" w:after="283"/>
              <w:jc w:val="left"/>
              <w:rPr/>
            </w:pPr>
            <w:hyperlink r:id="rId19">
              <w:r>
                <w:rPr>
                  <w:rStyle w:val="InternetLink"/>
                  <w:rFonts w:ascii="Times New Roman;Times;Serif" w:hAnsi="Times New Roman;Times;Serif"/>
                  <w:sz w:val="20"/>
                </w:rPr>
                <w:t>Specimen Common Stock Certificate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hyperlink r:id="rId20">
              <w:r>
                <w:rPr>
                  <w:rStyle w:val="InternetLink"/>
                  <w:rFonts w:ascii="Times New Roman;Times;Serif" w:hAnsi="Times New Roman;Times;Serif"/>
                  <w:sz w:val="20"/>
                </w:rPr>
                <w:t>S-8</w:t>
              </w:r>
            </w:hyperlink>
          </w:p>
        </w:tc>
        <w:tc>
          <w:tcPr>
            <w:tcW w:w="60" w:type="dxa"/>
            <w:tcBorders/>
            <w:vAlign w:val="center"/>
          </w:tcPr>
          <w:p>
            <w:pPr>
              <w:pStyle w:val="TableContents"/>
              <w:bidi w:val="0"/>
              <w:spacing w:before="0" w:after="283"/>
              <w:jc w:val="center"/>
              <w:rPr/>
            </w:pPr>
            <w:r>
              <w:rPr/>
              <w:t> </w:t>
            </w:r>
          </w:p>
        </w:tc>
        <w:tc>
          <w:tcPr>
            <w:tcW w:w="1393" w:type="dxa"/>
            <w:tcBorders/>
            <w:vAlign w:val="center"/>
          </w:tcPr>
          <w:p>
            <w:pPr>
              <w:pStyle w:val="TableContents"/>
              <w:bidi w:val="0"/>
              <w:spacing w:before="0" w:after="283"/>
              <w:jc w:val="center"/>
              <w:rPr/>
            </w:pPr>
            <w:hyperlink r:id="rId21">
              <w:r>
                <w:rPr>
                  <w:rStyle w:val="InternetLink"/>
                  <w:rFonts w:ascii="Times New Roman;Times;Serif" w:hAnsi="Times New Roman;Times;Serif"/>
                  <w:sz w:val="20"/>
                </w:rPr>
                <w:t>4.1</w:t>
              </w:r>
            </w:hyperlink>
          </w:p>
        </w:tc>
        <w:tc>
          <w:tcPr>
            <w:tcW w:w="60" w:type="dxa"/>
            <w:tcBorders/>
            <w:vAlign w:val="center"/>
          </w:tcPr>
          <w:p>
            <w:pPr>
              <w:pStyle w:val="TableContents"/>
              <w:bidi w:val="0"/>
              <w:spacing w:before="0" w:after="283"/>
              <w:jc w:val="center"/>
              <w:rPr/>
            </w:pPr>
            <w:r>
              <w:rPr/>
              <w:t> </w:t>
            </w:r>
          </w:p>
        </w:tc>
        <w:tc>
          <w:tcPr>
            <w:tcW w:w="722" w:type="dxa"/>
            <w:tcBorders/>
            <w:vAlign w:val="center"/>
          </w:tcPr>
          <w:p>
            <w:pPr>
              <w:pStyle w:val="TableContents"/>
              <w:bidi w:val="0"/>
              <w:spacing w:before="0" w:after="283"/>
              <w:jc w:val="center"/>
              <w:rPr/>
            </w:pPr>
            <w:hyperlink r:id="rId22">
              <w:r>
                <w:rPr>
                  <w:rStyle w:val="InternetLink"/>
                  <w:rFonts w:ascii="Times New Roman;Times;Serif" w:hAnsi="Times New Roman;Times;Serif"/>
                  <w:sz w:val="20"/>
                </w:rPr>
                <w:t>4/1/2022</w:t>
              </w:r>
            </w:hyperlink>
          </w:p>
        </w:tc>
      </w:tr>
      <w:tr>
        <w:trPr/>
        <w:tc>
          <w:tcPr>
            <w:tcW w:w="665" w:type="dxa"/>
            <w:tcBorders/>
            <w:vAlign w:val="center"/>
          </w:tcPr>
          <w:p>
            <w:pPr>
              <w:pStyle w:val="TableContents"/>
              <w:bidi w:val="0"/>
              <w:spacing w:before="0" w:after="283"/>
              <w:jc w:val="center"/>
              <w:rPr/>
            </w:pPr>
            <w:hyperlink r:id="rId23">
              <w:r>
                <w:rPr>
                  <w:rStyle w:val="InternetLink"/>
                  <w:rFonts w:ascii="Times New Roman;Times;Serif" w:hAnsi="Times New Roman;Times;Serif"/>
                  <w:sz w:val="20"/>
                </w:rPr>
                <w:t>4.2</w:t>
              </w:r>
            </w:hyperlink>
          </w:p>
        </w:tc>
        <w:tc>
          <w:tcPr>
            <w:tcW w:w="60" w:type="dxa"/>
            <w:tcBorders/>
            <w:vAlign w:val="center"/>
          </w:tcPr>
          <w:p>
            <w:pPr>
              <w:pStyle w:val="TableContents"/>
              <w:bidi w:val="0"/>
              <w:spacing w:before="0" w:after="283"/>
              <w:jc w:val="left"/>
              <w:rPr/>
            </w:pPr>
            <w:r>
              <w:rPr/>
              <w:t> </w:t>
            </w:r>
          </w:p>
        </w:tc>
        <w:tc>
          <w:tcPr>
            <w:tcW w:w="6685" w:type="dxa"/>
            <w:tcBorders/>
            <w:vAlign w:val="center"/>
          </w:tcPr>
          <w:p>
            <w:pPr>
              <w:pStyle w:val="TableContents"/>
              <w:bidi w:val="0"/>
              <w:spacing w:before="0" w:after="283"/>
              <w:jc w:val="left"/>
              <w:rPr/>
            </w:pPr>
            <w:hyperlink r:id="rId24">
              <w:r>
                <w:rPr>
                  <w:rStyle w:val="InternetLink"/>
                  <w:rFonts w:ascii="Times New Roman;Times;Serif" w:hAnsi="Times New Roman;Times;Serif"/>
                  <w:sz w:val="20"/>
                </w:rPr>
                <w:t>Eighth Amended and Restated Certificate of Incorporation of the Registrant filed on February 15, 2011.</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hyperlink r:id="rId25">
              <w:r>
                <w:rPr>
                  <w:rStyle w:val="InternetLink"/>
                  <w:rFonts w:ascii="Times New Roman;Times;Serif" w:hAnsi="Times New Roman;Times;Serif"/>
                  <w:sz w:val="20"/>
                </w:rPr>
                <w:t>10-K</w:t>
              </w:r>
            </w:hyperlink>
          </w:p>
        </w:tc>
        <w:tc>
          <w:tcPr>
            <w:tcW w:w="60" w:type="dxa"/>
            <w:tcBorders/>
            <w:vAlign w:val="center"/>
          </w:tcPr>
          <w:p>
            <w:pPr>
              <w:pStyle w:val="TableContents"/>
              <w:bidi w:val="0"/>
              <w:spacing w:before="0" w:after="283"/>
              <w:jc w:val="center"/>
              <w:rPr/>
            </w:pPr>
            <w:r>
              <w:rPr/>
              <w:t> </w:t>
            </w:r>
          </w:p>
        </w:tc>
        <w:tc>
          <w:tcPr>
            <w:tcW w:w="1393" w:type="dxa"/>
            <w:tcBorders/>
            <w:vAlign w:val="center"/>
          </w:tcPr>
          <w:p>
            <w:pPr>
              <w:pStyle w:val="TableContents"/>
              <w:bidi w:val="0"/>
              <w:spacing w:before="0" w:after="283"/>
              <w:jc w:val="center"/>
              <w:rPr/>
            </w:pPr>
            <w:hyperlink r:id="rId26">
              <w:r>
                <w:rPr>
                  <w:rStyle w:val="InternetLink"/>
                  <w:rFonts w:ascii="Times New Roman;Times;Serif" w:hAnsi="Times New Roman;Times;Serif"/>
                  <w:sz w:val="20"/>
                </w:rPr>
                <w:t>3.1</w:t>
              </w:r>
            </w:hyperlink>
          </w:p>
        </w:tc>
        <w:tc>
          <w:tcPr>
            <w:tcW w:w="60" w:type="dxa"/>
            <w:tcBorders/>
            <w:vAlign w:val="center"/>
          </w:tcPr>
          <w:p>
            <w:pPr>
              <w:pStyle w:val="TableContents"/>
              <w:bidi w:val="0"/>
              <w:spacing w:before="0" w:after="283"/>
              <w:jc w:val="center"/>
              <w:rPr/>
            </w:pPr>
            <w:r>
              <w:rPr/>
              <w:t> </w:t>
            </w:r>
          </w:p>
        </w:tc>
        <w:tc>
          <w:tcPr>
            <w:tcW w:w="722" w:type="dxa"/>
            <w:tcBorders/>
            <w:vAlign w:val="center"/>
          </w:tcPr>
          <w:p>
            <w:pPr>
              <w:pStyle w:val="TableContents"/>
              <w:bidi w:val="0"/>
              <w:spacing w:before="0" w:after="283"/>
              <w:jc w:val="center"/>
              <w:rPr/>
            </w:pPr>
            <w:hyperlink r:id="rId27">
              <w:r>
                <w:rPr>
                  <w:rStyle w:val="InternetLink"/>
                  <w:rFonts w:ascii="Times New Roman;Times;Serif" w:hAnsi="Times New Roman;Times;Serif"/>
                  <w:sz w:val="20"/>
                </w:rPr>
                <w:t>3/28/2011</w:t>
              </w:r>
            </w:hyperlink>
          </w:p>
        </w:tc>
      </w:tr>
      <w:tr>
        <w:trPr/>
        <w:tc>
          <w:tcPr>
            <w:tcW w:w="665" w:type="dxa"/>
            <w:tcBorders/>
            <w:vAlign w:val="center"/>
          </w:tcPr>
          <w:p>
            <w:pPr>
              <w:pStyle w:val="TableContents"/>
              <w:bidi w:val="0"/>
              <w:spacing w:before="0" w:after="283"/>
              <w:jc w:val="center"/>
              <w:rPr/>
            </w:pPr>
            <w:hyperlink r:id="rId28">
              <w:r>
                <w:rPr>
                  <w:rStyle w:val="InternetLink"/>
                  <w:rFonts w:ascii="Times New Roman;Times;Serif" w:hAnsi="Times New Roman;Times;Serif"/>
                  <w:sz w:val="20"/>
                </w:rPr>
                <w:t>4.3</w:t>
              </w:r>
            </w:hyperlink>
          </w:p>
        </w:tc>
        <w:tc>
          <w:tcPr>
            <w:tcW w:w="60" w:type="dxa"/>
            <w:tcBorders/>
            <w:vAlign w:val="center"/>
          </w:tcPr>
          <w:p>
            <w:pPr>
              <w:pStyle w:val="TableContents"/>
              <w:bidi w:val="0"/>
              <w:spacing w:before="0" w:after="283"/>
              <w:jc w:val="left"/>
              <w:rPr/>
            </w:pPr>
            <w:r>
              <w:rPr/>
              <w:t> </w:t>
            </w:r>
          </w:p>
        </w:tc>
        <w:tc>
          <w:tcPr>
            <w:tcW w:w="6685" w:type="dxa"/>
            <w:tcBorders/>
            <w:vAlign w:val="center"/>
          </w:tcPr>
          <w:p>
            <w:pPr>
              <w:pStyle w:val="TableContents"/>
              <w:bidi w:val="0"/>
              <w:spacing w:before="0" w:after="283"/>
              <w:jc w:val="left"/>
              <w:rPr/>
            </w:pPr>
            <w:hyperlink r:id="rId29">
              <w:r>
                <w:rPr>
                  <w:rStyle w:val="InternetLink"/>
                  <w:rFonts w:ascii="Times New Roman;Times;Serif" w:hAnsi="Times New Roman;Times;Serif"/>
                  <w:sz w:val="20"/>
                </w:rPr>
                <w:t>Certificate of Amendment to the Eighth Amended and Restated Certificate of Incorporation filed on April 1, 2022.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hyperlink r:id="rId30">
              <w:r>
                <w:rPr>
                  <w:rStyle w:val="InternetLink"/>
                  <w:rFonts w:ascii="Times New Roman;Times;Serif" w:hAnsi="Times New Roman;Times;Serif"/>
                  <w:sz w:val="20"/>
                </w:rPr>
                <w:t>S-8</w:t>
              </w:r>
            </w:hyperlink>
          </w:p>
        </w:tc>
        <w:tc>
          <w:tcPr>
            <w:tcW w:w="60" w:type="dxa"/>
            <w:tcBorders/>
            <w:vAlign w:val="center"/>
          </w:tcPr>
          <w:p>
            <w:pPr>
              <w:pStyle w:val="TableContents"/>
              <w:bidi w:val="0"/>
              <w:spacing w:before="0" w:after="283"/>
              <w:jc w:val="center"/>
              <w:rPr/>
            </w:pPr>
            <w:r>
              <w:rPr/>
              <w:t> </w:t>
            </w:r>
          </w:p>
        </w:tc>
        <w:tc>
          <w:tcPr>
            <w:tcW w:w="1393" w:type="dxa"/>
            <w:tcBorders/>
            <w:vAlign w:val="center"/>
          </w:tcPr>
          <w:p>
            <w:pPr>
              <w:pStyle w:val="TableContents"/>
              <w:bidi w:val="0"/>
              <w:spacing w:before="0" w:after="283"/>
              <w:jc w:val="center"/>
              <w:rPr/>
            </w:pPr>
            <w:hyperlink r:id="rId31">
              <w:r>
                <w:rPr>
                  <w:rStyle w:val="InternetLink"/>
                  <w:rFonts w:ascii="Times New Roman;Times;Serif" w:hAnsi="Times New Roman;Times;Serif"/>
                  <w:sz w:val="20"/>
                </w:rPr>
                <w:t>4.3</w:t>
              </w:r>
            </w:hyperlink>
          </w:p>
        </w:tc>
        <w:tc>
          <w:tcPr>
            <w:tcW w:w="60" w:type="dxa"/>
            <w:tcBorders/>
            <w:vAlign w:val="center"/>
          </w:tcPr>
          <w:p>
            <w:pPr>
              <w:pStyle w:val="TableContents"/>
              <w:bidi w:val="0"/>
              <w:spacing w:before="0" w:after="283"/>
              <w:jc w:val="center"/>
              <w:rPr/>
            </w:pPr>
            <w:r>
              <w:rPr/>
              <w:t> </w:t>
            </w:r>
          </w:p>
        </w:tc>
        <w:tc>
          <w:tcPr>
            <w:tcW w:w="722" w:type="dxa"/>
            <w:tcBorders/>
            <w:vAlign w:val="center"/>
          </w:tcPr>
          <w:p>
            <w:pPr>
              <w:pStyle w:val="TableContents"/>
              <w:bidi w:val="0"/>
              <w:spacing w:before="0" w:after="283"/>
              <w:jc w:val="center"/>
              <w:rPr/>
            </w:pPr>
            <w:hyperlink r:id="rId32">
              <w:r>
                <w:rPr>
                  <w:rStyle w:val="InternetLink"/>
                  <w:rFonts w:ascii="Times New Roman;Times;Serif" w:hAnsi="Times New Roman;Times;Serif"/>
                  <w:sz w:val="20"/>
                </w:rPr>
                <w:t>4/1/2022</w:t>
              </w:r>
            </w:hyperlink>
          </w:p>
        </w:tc>
      </w:tr>
      <w:tr>
        <w:trPr/>
        <w:tc>
          <w:tcPr>
            <w:tcW w:w="665" w:type="dxa"/>
            <w:tcBorders/>
            <w:vAlign w:val="center"/>
          </w:tcPr>
          <w:p>
            <w:pPr>
              <w:pStyle w:val="TableContents"/>
              <w:bidi w:val="0"/>
              <w:spacing w:before="0" w:after="283"/>
              <w:jc w:val="center"/>
              <w:rPr/>
            </w:pPr>
            <w:hyperlink r:id="rId33">
              <w:r>
                <w:rPr>
                  <w:rStyle w:val="InternetLink"/>
                  <w:rFonts w:ascii="Times New Roman;Times;Serif" w:hAnsi="Times New Roman;Times;Serif"/>
                  <w:sz w:val="20"/>
                </w:rPr>
                <w:t>4.4</w:t>
              </w:r>
            </w:hyperlink>
          </w:p>
        </w:tc>
        <w:tc>
          <w:tcPr>
            <w:tcW w:w="60" w:type="dxa"/>
            <w:tcBorders/>
            <w:vAlign w:val="center"/>
          </w:tcPr>
          <w:p>
            <w:pPr>
              <w:pStyle w:val="TableContents"/>
              <w:bidi w:val="0"/>
              <w:spacing w:before="0" w:after="283"/>
              <w:jc w:val="left"/>
              <w:rPr/>
            </w:pPr>
            <w:r>
              <w:rPr/>
              <w:t> </w:t>
            </w:r>
          </w:p>
        </w:tc>
        <w:tc>
          <w:tcPr>
            <w:tcW w:w="6685" w:type="dxa"/>
            <w:tcBorders/>
            <w:vAlign w:val="center"/>
          </w:tcPr>
          <w:p>
            <w:pPr>
              <w:pStyle w:val="TableContents"/>
              <w:bidi w:val="0"/>
              <w:spacing w:before="0" w:after="283"/>
              <w:jc w:val="left"/>
              <w:rPr/>
            </w:pPr>
            <w:hyperlink r:id="rId34">
              <w:r>
                <w:rPr>
                  <w:rStyle w:val="InternetLink"/>
                  <w:rFonts w:ascii="Times New Roman;Times;Serif" w:hAnsi="Times New Roman;Times;Serif"/>
                  <w:sz w:val="20"/>
                </w:rPr>
                <w:t>Second Certificate of Amendment to the Eighth Amended and Restated Certificate of Incorporation filed on January 4, 2024.</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hyperlink r:id="rId35">
              <w:r>
                <w:rPr>
                  <w:rStyle w:val="InternetLink"/>
                  <w:rFonts w:ascii="Times New Roman;Times;Serif" w:hAnsi="Times New Roman;Times;Serif"/>
                  <w:sz w:val="20"/>
                </w:rPr>
                <w:t>8-K</w:t>
              </w:r>
            </w:hyperlink>
          </w:p>
        </w:tc>
        <w:tc>
          <w:tcPr>
            <w:tcW w:w="60" w:type="dxa"/>
            <w:tcBorders/>
            <w:vAlign w:val="center"/>
          </w:tcPr>
          <w:p>
            <w:pPr>
              <w:pStyle w:val="TableContents"/>
              <w:bidi w:val="0"/>
              <w:spacing w:before="0" w:after="283"/>
              <w:jc w:val="center"/>
              <w:rPr/>
            </w:pPr>
            <w:r>
              <w:rPr/>
              <w:t> </w:t>
            </w:r>
          </w:p>
        </w:tc>
        <w:tc>
          <w:tcPr>
            <w:tcW w:w="1393" w:type="dxa"/>
            <w:tcBorders/>
            <w:vAlign w:val="center"/>
          </w:tcPr>
          <w:p>
            <w:pPr>
              <w:pStyle w:val="TableContents"/>
              <w:bidi w:val="0"/>
              <w:spacing w:before="0" w:after="283"/>
              <w:jc w:val="center"/>
              <w:rPr/>
            </w:pPr>
            <w:hyperlink r:id="rId36">
              <w:r>
                <w:rPr>
                  <w:rStyle w:val="InternetLink"/>
                  <w:rFonts w:ascii="Times New Roman;Times;Serif" w:hAnsi="Times New Roman;Times;Serif"/>
                  <w:sz w:val="20"/>
                </w:rPr>
                <w:t>3.1</w:t>
              </w:r>
            </w:hyperlink>
          </w:p>
        </w:tc>
        <w:tc>
          <w:tcPr>
            <w:tcW w:w="60" w:type="dxa"/>
            <w:tcBorders/>
            <w:vAlign w:val="center"/>
          </w:tcPr>
          <w:p>
            <w:pPr>
              <w:pStyle w:val="TableContents"/>
              <w:bidi w:val="0"/>
              <w:spacing w:before="0" w:after="283"/>
              <w:jc w:val="center"/>
              <w:rPr/>
            </w:pPr>
            <w:r>
              <w:rPr/>
              <w:t> </w:t>
            </w:r>
          </w:p>
        </w:tc>
        <w:tc>
          <w:tcPr>
            <w:tcW w:w="722" w:type="dxa"/>
            <w:tcBorders/>
            <w:vAlign w:val="center"/>
          </w:tcPr>
          <w:p>
            <w:pPr>
              <w:pStyle w:val="TableContents"/>
              <w:bidi w:val="0"/>
              <w:spacing w:before="0" w:after="283"/>
              <w:jc w:val="center"/>
              <w:rPr/>
            </w:pPr>
            <w:hyperlink r:id="rId37">
              <w:r>
                <w:rPr>
                  <w:rStyle w:val="InternetLink"/>
                  <w:rFonts w:ascii="Times New Roman;Times;Serif" w:hAnsi="Times New Roman;Times;Serif"/>
                  <w:sz w:val="20"/>
                </w:rPr>
                <w:t>1/5/2024</w:t>
              </w:r>
            </w:hyperlink>
          </w:p>
        </w:tc>
      </w:tr>
      <w:tr>
        <w:trPr/>
        <w:tc>
          <w:tcPr>
            <w:tcW w:w="665" w:type="dxa"/>
            <w:tcBorders/>
            <w:vAlign w:val="center"/>
          </w:tcPr>
          <w:p>
            <w:pPr>
              <w:pStyle w:val="TableContents"/>
              <w:bidi w:val="0"/>
              <w:spacing w:before="0" w:after="283"/>
              <w:jc w:val="center"/>
              <w:rPr/>
            </w:pPr>
            <w:hyperlink r:id="rId38">
              <w:r>
                <w:rPr>
                  <w:rStyle w:val="InternetLink"/>
                  <w:rFonts w:ascii="Times New Roman;Times;Serif" w:hAnsi="Times New Roman;Times;Serif"/>
                  <w:sz w:val="20"/>
                </w:rPr>
                <w:t>4.5</w:t>
              </w:r>
            </w:hyperlink>
          </w:p>
        </w:tc>
        <w:tc>
          <w:tcPr>
            <w:tcW w:w="60" w:type="dxa"/>
            <w:tcBorders/>
            <w:vAlign w:val="center"/>
          </w:tcPr>
          <w:p>
            <w:pPr>
              <w:pStyle w:val="TableContents"/>
              <w:bidi w:val="0"/>
              <w:spacing w:before="0" w:after="283"/>
              <w:jc w:val="left"/>
              <w:rPr/>
            </w:pPr>
            <w:r>
              <w:rPr/>
              <w:t> </w:t>
            </w:r>
          </w:p>
        </w:tc>
        <w:tc>
          <w:tcPr>
            <w:tcW w:w="6685" w:type="dxa"/>
            <w:tcBorders/>
            <w:vAlign w:val="center"/>
          </w:tcPr>
          <w:p>
            <w:pPr>
              <w:pStyle w:val="TableContents"/>
              <w:bidi w:val="0"/>
              <w:spacing w:before="0" w:after="283"/>
              <w:jc w:val="left"/>
              <w:rPr/>
            </w:pPr>
            <w:hyperlink r:id="rId39">
              <w:r>
                <w:rPr>
                  <w:rStyle w:val="InternetLink"/>
                  <w:rFonts w:ascii="Times New Roman;Times;Serif" w:hAnsi="Times New Roman;Times;Serif"/>
                  <w:sz w:val="20"/>
                </w:rPr>
                <w:t>Amended and Restated Bylaws of Standard BioTools Inc.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hyperlink r:id="rId40">
              <w:r>
                <w:rPr>
                  <w:rStyle w:val="InternetLink"/>
                  <w:rFonts w:ascii="Times New Roman;Times;Serif" w:hAnsi="Times New Roman;Times;Serif"/>
                  <w:sz w:val="20"/>
                </w:rPr>
                <w:t>S-8</w:t>
              </w:r>
            </w:hyperlink>
          </w:p>
        </w:tc>
        <w:tc>
          <w:tcPr>
            <w:tcW w:w="60" w:type="dxa"/>
            <w:tcBorders/>
            <w:vAlign w:val="center"/>
          </w:tcPr>
          <w:p>
            <w:pPr>
              <w:pStyle w:val="TableContents"/>
              <w:bidi w:val="0"/>
              <w:spacing w:before="0" w:after="283"/>
              <w:jc w:val="center"/>
              <w:rPr/>
            </w:pPr>
            <w:r>
              <w:rPr/>
              <w:t> </w:t>
            </w:r>
          </w:p>
        </w:tc>
        <w:tc>
          <w:tcPr>
            <w:tcW w:w="1393" w:type="dxa"/>
            <w:tcBorders/>
            <w:vAlign w:val="center"/>
          </w:tcPr>
          <w:p>
            <w:pPr>
              <w:pStyle w:val="TableContents"/>
              <w:bidi w:val="0"/>
              <w:spacing w:before="0" w:after="283"/>
              <w:jc w:val="center"/>
              <w:rPr/>
            </w:pPr>
            <w:hyperlink r:id="rId41">
              <w:r>
                <w:rPr>
                  <w:rStyle w:val="InternetLink"/>
                  <w:rFonts w:ascii="Times New Roman;Times;Serif" w:hAnsi="Times New Roman;Times;Serif"/>
                  <w:sz w:val="20"/>
                </w:rPr>
                <w:t>4.8</w:t>
              </w:r>
            </w:hyperlink>
          </w:p>
        </w:tc>
        <w:tc>
          <w:tcPr>
            <w:tcW w:w="60" w:type="dxa"/>
            <w:tcBorders/>
            <w:vAlign w:val="center"/>
          </w:tcPr>
          <w:p>
            <w:pPr>
              <w:pStyle w:val="TableContents"/>
              <w:bidi w:val="0"/>
              <w:spacing w:before="0" w:after="283"/>
              <w:jc w:val="center"/>
              <w:rPr/>
            </w:pPr>
            <w:r>
              <w:rPr/>
              <w:t> </w:t>
            </w:r>
          </w:p>
        </w:tc>
        <w:tc>
          <w:tcPr>
            <w:tcW w:w="722" w:type="dxa"/>
            <w:tcBorders/>
            <w:vAlign w:val="center"/>
          </w:tcPr>
          <w:p>
            <w:pPr>
              <w:pStyle w:val="TableContents"/>
              <w:bidi w:val="0"/>
              <w:spacing w:before="0" w:after="283"/>
              <w:jc w:val="center"/>
              <w:rPr/>
            </w:pPr>
            <w:hyperlink r:id="rId42">
              <w:r>
                <w:rPr>
                  <w:rStyle w:val="InternetLink"/>
                  <w:rFonts w:ascii="Times New Roman;Times;Serif" w:hAnsi="Times New Roman;Times;Serif"/>
                  <w:sz w:val="20"/>
                </w:rPr>
                <w:t>4/1/2022</w:t>
              </w:r>
            </w:hyperlink>
          </w:p>
        </w:tc>
      </w:tr>
      <w:tr>
        <w:trPr/>
        <w:tc>
          <w:tcPr>
            <w:tcW w:w="665" w:type="dxa"/>
            <w:tcBorders/>
            <w:vAlign w:val="center"/>
          </w:tcPr>
          <w:p>
            <w:pPr>
              <w:pStyle w:val="TableContents"/>
              <w:bidi w:val="0"/>
              <w:spacing w:before="0" w:after="283"/>
              <w:jc w:val="center"/>
              <w:rPr/>
            </w:pPr>
            <w:hyperlink w:anchor="tm2622144d1_ex5-1.htm">
              <w:r>
                <w:rPr>
                  <w:rStyle w:val="InternetLink"/>
                  <w:rFonts w:ascii="Times New Roman;Times;Serif" w:hAnsi="Times New Roman;Times;Serif"/>
                  <w:sz w:val="20"/>
                </w:rPr>
                <w:t>5.1*</w:t>
              </w:r>
            </w:hyperlink>
          </w:p>
        </w:tc>
        <w:tc>
          <w:tcPr>
            <w:tcW w:w="60" w:type="dxa"/>
            <w:tcBorders/>
            <w:vAlign w:val="center"/>
          </w:tcPr>
          <w:p>
            <w:pPr>
              <w:pStyle w:val="TableContents"/>
              <w:bidi w:val="0"/>
              <w:spacing w:before="0" w:after="283"/>
              <w:jc w:val="left"/>
              <w:rPr/>
            </w:pPr>
            <w:r>
              <w:rPr/>
              <w:t> </w:t>
            </w:r>
          </w:p>
        </w:tc>
        <w:tc>
          <w:tcPr>
            <w:tcW w:w="6685" w:type="dxa"/>
            <w:tcBorders/>
            <w:vAlign w:val="center"/>
          </w:tcPr>
          <w:p>
            <w:pPr>
              <w:pStyle w:val="TableContents"/>
              <w:bidi w:val="0"/>
              <w:spacing w:before="0" w:after="283"/>
              <w:jc w:val="left"/>
              <w:rPr/>
            </w:pPr>
            <w:hyperlink w:anchor="tm2622144d1_ex5-1.htm">
              <w:r>
                <w:rPr>
                  <w:rStyle w:val="InternetLink"/>
                  <w:rFonts w:ascii="Times New Roman;Times;Serif" w:hAnsi="Times New Roman;Times;Serif"/>
                  <w:sz w:val="20"/>
                </w:rPr>
                <w:t>Opinion of Mintz, Levin, Cohn, Ferris, Glovsky and Popeo, P.C.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pPr>
            <w:hyperlink w:anchor="tm2622144d1_ex23-1.htm">
              <w:r>
                <w:rPr>
                  <w:rStyle w:val="InternetLink"/>
                  <w:rFonts w:ascii="Times New Roman;Times;Serif" w:hAnsi="Times New Roman;Times;Serif"/>
                  <w:sz w:val="20"/>
                </w:rPr>
                <w:t>23.1*</w:t>
              </w:r>
            </w:hyperlink>
          </w:p>
        </w:tc>
        <w:tc>
          <w:tcPr>
            <w:tcW w:w="60" w:type="dxa"/>
            <w:tcBorders/>
            <w:vAlign w:val="center"/>
          </w:tcPr>
          <w:p>
            <w:pPr>
              <w:pStyle w:val="TableContents"/>
              <w:bidi w:val="0"/>
              <w:spacing w:before="0" w:after="283"/>
              <w:jc w:val="left"/>
              <w:rPr/>
            </w:pPr>
            <w:r>
              <w:rPr/>
              <w:t> </w:t>
            </w:r>
          </w:p>
        </w:tc>
        <w:tc>
          <w:tcPr>
            <w:tcW w:w="6685" w:type="dxa"/>
            <w:tcBorders/>
            <w:vAlign w:val="center"/>
          </w:tcPr>
          <w:p>
            <w:pPr>
              <w:pStyle w:val="TableContents"/>
              <w:bidi w:val="0"/>
              <w:spacing w:before="0" w:after="283"/>
              <w:jc w:val="left"/>
              <w:rPr/>
            </w:pPr>
            <w:hyperlink w:anchor="tm2622144d1_ex23-1.htm">
              <w:r>
                <w:rPr>
                  <w:rStyle w:val="InternetLink"/>
                  <w:rFonts w:ascii="Times New Roman;Times;Serif" w:hAnsi="Times New Roman;Times;Serif"/>
                  <w:sz w:val="20"/>
                </w:rPr>
                <w:t>Consent of PricewaterhouseCoopers LLP, Independent Registered Public Accounting Firm.</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pPr>
            <w:hyperlink w:anchor="tm2622144d1_ex5-1.htm">
              <w:r>
                <w:rPr>
                  <w:rStyle w:val="InternetLink"/>
                  <w:rFonts w:ascii="Times New Roman;Times;Serif" w:hAnsi="Times New Roman;Times;Serif"/>
                  <w:sz w:val="20"/>
                </w:rPr>
                <w:t>23.2*</w:t>
              </w:r>
            </w:hyperlink>
          </w:p>
        </w:tc>
        <w:tc>
          <w:tcPr>
            <w:tcW w:w="60" w:type="dxa"/>
            <w:tcBorders/>
            <w:vAlign w:val="center"/>
          </w:tcPr>
          <w:p>
            <w:pPr>
              <w:pStyle w:val="TableContents"/>
              <w:bidi w:val="0"/>
              <w:spacing w:before="0" w:after="283"/>
              <w:jc w:val="left"/>
              <w:rPr/>
            </w:pPr>
            <w:r>
              <w:rPr/>
              <w:t> </w:t>
            </w:r>
          </w:p>
        </w:tc>
        <w:tc>
          <w:tcPr>
            <w:tcW w:w="6685" w:type="dxa"/>
            <w:tcBorders/>
            <w:vAlign w:val="center"/>
          </w:tcPr>
          <w:p>
            <w:pPr>
              <w:pStyle w:val="TableContents"/>
              <w:bidi w:val="0"/>
              <w:spacing w:before="0" w:after="283"/>
              <w:jc w:val="left"/>
              <w:rPr/>
            </w:pPr>
            <w:hyperlink w:anchor="tm2622144d1_ex5-1.htm">
              <w:r>
                <w:rPr>
                  <w:rStyle w:val="InternetLink"/>
                  <w:rFonts w:ascii="Times New Roman;Times;Serif" w:hAnsi="Times New Roman;Times;Serif"/>
                  <w:sz w:val="20"/>
                </w:rPr>
                <w:t>Consent of Mintz, Levin, Cohn, Ferris, Glovsky and Popeo, P.C. (included as part of Exhibit 5.1 hereto).</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pPr>
            <w:hyperlink w:anchor="a_001">
              <w:r>
                <w:rPr>
                  <w:rStyle w:val="InternetLink"/>
                  <w:rFonts w:ascii="Times New Roman;Times;Serif" w:hAnsi="Times New Roman;Times;Serif"/>
                  <w:sz w:val="20"/>
                </w:rPr>
                <w:t>24.1*</w:t>
              </w:r>
            </w:hyperlink>
          </w:p>
        </w:tc>
        <w:tc>
          <w:tcPr>
            <w:tcW w:w="60" w:type="dxa"/>
            <w:tcBorders/>
            <w:vAlign w:val="center"/>
          </w:tcPr>
          <w:p>
            <w:pPr>
              <w:pStyle w:val="TableContents"/>
              <w:bidi w:val="0"/>
              <w:spacing w:before="0" w:after="283"/>
              <w:jc w:val="left"/>
              <w:rPr/>
            </w:pPr>
            <w:r>
              <w:rPr/>
              <w:t> </w:t>
            </w:r>
          </w:p>
        </w:tc>
        <w:tc>
          <w:tcPr>
            <w:tcW w:w="6685" w:type="dxa"/>
            <w:tcBorders/>
            <w:vAlign w:val="center"/>
          </w:tcPr>
          <w:p>
            <w:pPr>
              <w:pStyle w:val="TableContents"/>
              <w:bidi w:val="0"/>
              <w:spacing w:before="0" w:after="283"/>
              <w:jc w:val="left"/>
              <w:rPr/>
            </w:pPr>
            <w:hyperlink w:anchor="a_001">
              <w:r>
                <w:rPr>
                  <w:rStyle w:val="InternetLink"/>
                  <w:rFonts w:ascii="Times New Roman;Times;Serif" w:hAnsi="Times New Roman;Times;Serif"/>
                  <w:sz w:val="20"/>
                </w:rPr>
                <w:t>Power of Attorney (included on the signature page to this registration statement).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pPr>
            <w:hyperlink r:id="rId43">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6685" w:type="dxa"/>
            <w:tcBorders/>
            <w:vAlign w:val="center"/>
          </w:tcPr>
          <w:p>
            <w:pPr>
              <w:pStyle w:val="TableContents"/>
              <w:bidi w:val="0"/>
              <w:spacing w:before="0" w:after="283"/>
              <w:jc w:val="left"/>
              <w:rPr/>
            </w:pPr>
            <w:hyperlink r:id="rId44">
              <w:r>
                <w:rPr>
                  <w:rStyle w:val="InternetLink"/>
                  <w:rFonts w:ascii="Times New Roman;Times;Serif" w:hAnsi="Times New Roman;Times;Serif"/>
                  <w:sz w:val="20"/>
                </w:rPr>
                <w:t>Standard BioTools Inc. 2026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hyperlink r:id="rId45">
              <w:r>
                <w:rPr>
                  <w:rStyle w:val="InternetLink"/>
                  <w:rFonts w:ascii="Times New Roman;Times;Serif" w:hAnsi="Times New Roman;Times;Serif"/>
                  <w:sz w:val="20"/>
                </w:rPr>
                <w:t>8-K</w:t>
              </w:r>
            </w:hyperlink>
          </w:p>
        </w:tc>
        <w:tc>
          <w:tcPr>
            <w:tcW w:w="60" w:type="dxa"/>
            <w:tcBorders/>
            <w:vAlign w:val="center"/>
          </w:tcPr>
          <w:p>
            <w:pPr>
              <w:pStyle w:val="TableContents"/>
              <w:bidi w:val="0"/>
              <w:spacing w:before="0" w:after="283"/>
              <w:jc w:val="center"/>
              <w:rPr/>
            </w:pPr>
            <w:r>
              <w:rPr/>
              <w:t> </w:t>
            </w:r>
          </w:p>
        </w:tc>
        <w:tc>
          <w:tcPr>
            <w:tcW w:w="1393" w:type="dxa"/>
            <w:tcBorders/>
            <w:vAlign w:val="center"/>
          </w:tcPr>
          <w:p>
            <w:pPr>
              <w:pStyle w:val="TableContents"/>
              <w:bidi w:val="0"/>
              <w:spacing w:before="0" w:after="283"/>
              <w:jc w:val="center"/>
              <w:rPr/>
            </w:pPr>
            <w:hyperlink r:id="rId46">
              <w:r>
                <w:rPr>
                  <w:rStyle w:val="InternetLink"/>
                  <w:rFonts w:ascii="Times New Roman;Times;Serif" w:hAnsi="Times New Roman;Times;Serif"/>
                  <w:sz w:val="20"/>
                </w:rPr>
                <w:t>10.1</w:t>
              </w:r>
            </w:hyperlink>
          </w:p>
        </w:tc>
        <w:tc>
          <w:tcPr>
            <w:tcW w:w="60"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center"/>
              <w:rPr/>
            </w:pPr>
            <w:hyperlink r:id="rId47">
              <w:r>
                <w:rPr>
                  <w:rStyle w:val="InternetLink"/>
                  <w:rFonts w:ascii="Times New Roman;Times;Serif" w:hAnsi="Times New Roman;Times;Serif"/>
                  <w:sz w:val="20"/>
                </w:rPr>
                <w:t>6/18/2026</w:t>
              </w:r>
            </w:hyperlink>
          </w:p>
        </w:tc>
      </w:tr>
      <w:tr>
        <w:trPr/>
        <w:tc>
          <w:tcPr>
            <w:tcW w:w="665" w:type="dxa"/>
            <w:tcBorders/>
            <w:vAlign w:val="center"/>
          </w:tcPr>
          <w:p>
            <w:pPr>
              <w:pStyle w:val="TableContents"/>
              <w:bidi w:val="0"/>
              <w:spacing w:before="0" w:after="283"/>
              <w:jc w:val="center"/>
              <w:rPr/>
            </w:pPr>
            <w:hyperlink w:anchor="tm2622144d1_ex-filingfees.htm">
              <w:r>
                <w:rPr>
                  <w:rStyle w:val="InternetLink"/>
                  <w:rFonts w:ascii="Times New Roman;Times;Serif" w:hAnsi="Times New Roman;Times;Serif"/>
                  <w:sz w:val="20"/>
                </w:rPr>
                <w:t>107*</w:t>
              </w:r>
            </w:hyperlink>
          </w:p>
        </w:tc>
        <w:tc>
          <w:tcPr>
            <w:tcW w:w="60" w:type="dxa"/>
            <w:tcBorders/>
            <w:vAlign w:val="center"/>
          </w:tcPr>
          <w:p>
            <w:pPr>
              <w:pStyle w:val="TableContents"/>
              <w:bidi w:val="0"/>
              <w:spacing w:before="0" w:after="283"/>
              <w:jc w:val="left"/>
              <w:rPr/>
            </w:pPr>
            <w:r>
              <w:rPr/>
              <w:t> </w:t>
            </w:r>
          </w:p>
        </w:tc>
        <w:tc>
          <w:tcPr>
            <w:tcW w:w="6685" w:type="dxa"/>
            <w:tcBorders/>
            <w:vAlign w:val="center"/>
          </w:tcPr>
          <w:p>
            <w:pPr>
              <w:pStyle w:val="TableContents"/>
              <w:bidi w:val="0"/>
              <w:spacing w:before="0" w:after="283"/>
              <w:jc w:val="left"/>
              <w:rPr/>
            </w:pPr>
            <w:hyperlink w:anchor="tm2622144d1_ex-filingfees.htm">
              <w:r>
                <w:rPr>
                  <w:rStyle w:val="InternetLink"/>
                  <w:rFonts w:ascii="Times New Roman;Times;Serif" w:hAnsi="Times New Roman;Times;Serif"/>
                  <w:sz w:val="20"/>
                </w:rPr>
                <w:t>Filing Fee Table.</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60"/>
        <w:jc w:val="left"/>
        <w:rPr>
          <w:bdr w:val="single" w:sz="8" w:space="1" w:color="000000"/>
        </w:rPr>
      </w:pPr>
      <w:r>
        <w:rPr>
          <w:bdr w:val="single" w:sz="8" w:space="1" w:color="000000"/>
        </w:rPr>
        <w:t> </w:t>
      </w:r>
    </w:p>
    <w:tbl>
      <w:tblPr>
        <w:tblW w:w="6595" w:type="dxa"/>
        <w:jc w:val="left"/>
        <w:tblInd w:w="0" w:type="dxa"/>
        <w:tblLayout w:type="fixed"/>
        <w:tblCellMar>
          <w:top w:w="0" w:type="dxa"/>
          <w:left w:w="0" w:type="dxa"/>
          <w:bottom w:w="0" w:type="dxa"/>
          <w:right w:w="0" w:type="dxa"/>
        </w:tblCellMar>
      </w:tblPr>
      <w:tblGrid>
        <w:gridCol w:w="140"/>
        <w:gridCol w:w="645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management contract or compensatory plan, contract, or arrangement.</w:t>
            </w:r>
          </w:p>
        </w:tc>
      </w:tr>
    </w:tbl>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740"/>
        <w:gridCol w:w="1490"/>
      </w:tblGrid>
      <w:tr>
        <w:trPr/>
        <w:tc>
          <w:tcPr>
            <w:tcW w:w="740" w:type="dxa"/>
            <w:tcBorders/>
            <w:vAlign w:val="center"/>
          </w:tcPr>
          <w:p>
            <w:pPr>
              <w:pStyle w:val="TableContents"/>
              <w:bidi w:val="0"/>
              <w:spacing w:before="0" w:after="283"/>
              <w:jc w:val="left"/>
              <w:rPr>
                <w:b/>
              </w:rPr>
            </w:pPr>
            <w:r>
              <w:rPr>
                <w:b/>
              </w:rPr>
              <w:t>Item 9.</w:t>
            </w:r>
          </w:p>
        </w:tc>
        <w:tc>
          <w:tcPr>
            <w:tcW w:w="1490" w:type="dxa"/>
            <w:tcBorders/>
            <w:vAlign w:val="center"/>
          </w:tcPr>
          <w:p>
            <w:pPr>
              <w:pStyle w:val="TableContents"/>
              <w:bidi w:val="0"/>
              <w:spacing w:before="0" w:after="283"/>
              <w:jc w:val="left"/>
              <w:rPr>
                <w:b/>
              </w:rPr>
            </w:pPr>
            <w:r>
              <w:rPr>
                <w:b/>
              </w:rPr>
              <w:t>Undertakings.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(1)</w:t>
            </w:r>
          </w:p>
        </w:tc>
        <w:tc>
          <w:tcPr>
            <w:tcW w:w="9892" w:type="dxa"/>
            <w:tcBorders/>
            <w:vAlign w:val="center"/>
          </w:tcPr>
          <w:p>
            <w:pPr>
              <w:pStyle w:val="TableContents"/>
              <w:bidi w:val="0"/>
              <w:spacing w:before="0" w:after="283"/>
              <w:jc w:val="left"/>
              <w:rPr/>
            </w:pPr>
            <w:r>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81"/>
        <w:gridCol w:w="9878"/>
      </w:tblGrid>
      <w:tr>
        <w:trPr/>
        <w:tc>
          <w:tcPr>
            <w:tcW w:w="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(i)</w:t>
            </w:r>
          </w:p>
        </w:tc>
        <w:tc>
          <w:tcPr>
            <w:tcW w:w="9878" w:type="dxa"/>
            <w:tcBorders/>
            <w:vAlign w:val="center"/>
          </w:tcPr>
          <w:p>
            <w:pPr>
              <w:pStyle w:val="TableContents"/>
              <w:bidi w:val="0"/>
              <w:spacing w:before="0" w:after="283"/>
              <w:jc w:val="left"/>
              <w:rPr/>
            </w:pPr>
            <w:r>
              <w:rPr/>
              <w:t>To include any prospectus required by Section 10(a)(3) of the Securities Act of 1933;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(ii)</w:t>
            </w:r>
          </w:p>
        </w:tc>
        <w:tc>
          <w:tcPr>
            <w:tcW w:w="9946" w:type="dxa"/>
            <w:tcBorders/>
            <w:vAlign w:val="center"/>
          </w:tcPr>
          <w:p>
            <w:pPr>
              <w:pStyle w:val="TableContents"/>
              <w:bidi w:val="0"/>
              <w:spacing w:before="0" w:after="283"/>
              <w:jc w:val="left"/>
              <w:rPr/>
            </w:pPr>
            <w:r>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1"/>
        <w:gridCol w:w="9857"/>
      </w:tblGrid>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(iii)</w:t>
            </w:r>
          </w:p>
        </w:tc>
        <w:tc>
          <w:tcPr>
            <w:tcW w:w="9857" w:type="dxa"/>
            <w:tcBorders/>
            <w:vAlign w:val="center"/>
          </w:tcPr>
          <w:p>
            <w:pPr>
              <w:pStyle w:val="TableContents"/>
              <w:bidi w:val="0"/>
              <w:spacing w:before="0" w:after="283"/>
              <w:jc w:val="left"/>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and (a)(1)(ii)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283"/>
              <w:jc w:val="left"/>
              <w:rPr/>
            </w:pPr>
            <w:r>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7" w:type="dxa"/>
            <w:tcBorders/>
            <w:vAlign w:val="center"/>
          </w:tcPr>
          <w:p>
            <w:pPr>
              <w:pStyle w:val="TableContents"/>
              <w:bidi w:val="0"/>
              <w:spacing w:before="0" w:after="283"/>
              <w:jc w:val="left"/>
              <w:rPr/>
            </w:pPr>
            <w:r>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(b)</w:t>
            </w:r>
          </w:p>
        </w:tc>
        <w:tc>
          <w:tcPr>
            <w:tcW w:w="9962" w:type="dxa"/>
            <w:tcBorders/>
            <w:vAlign w:val="center"/>
          </w:tcPr>
          <w:p>
            <w:pPr>
              <w:pStyle w:val="TableContents"/>
              <w:bidi w:val="0"/>
              <w:spacing w:before="0" w:after="283"/>
              <w:jc w:val="left"/>
              <w:rPr/>
            </w:pPr>
            <w:r>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(h)</w:t>
            </w:r>
          </w:p>
        </w:tc>
        <w:tc>
          <w:tcPr>
            <w:tcW w:w="9969" w:type="dxa"/>
            <w:tcBorders/>
            <w:vAlign w:val="center"/>
          </w:tcPr>
          <w:p>
            <w:pPr>
              <w:pStyle w:val="TableContents"/>
              <w:bidi w:val="0"/>
              <w:spacing w:before="0" w:after="283"/>
              <w:jc w:val="left"/>
              <w:rPr/>
            </w:pPr>
            <w:r>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August 5, 2026.</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320"/>
        <w:gridCol w:w="3095"/>
      </w:tblGrid>
      <w:tr>
        <w:trPr/>
        <w:tc>
          <w:tcPr>
            <w:tcW w:w="75"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BIOTOOLS INC.</w:t>
            </w:r>
          </w:p>
        </w:tc>
      </w:tr>
      <w:tr>
        <w:trPr/>
        <w:tc>
          <w:tcPr>
            <w:tcW w:w="75"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Egholm, Ph.D.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Egholm, Ph.D.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each of Michael Egholm, Ph.D. and Alex Kim,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800" w:type="dxa"/>
        <w:jc w:val="left"/>
        <w:tblInd w:w="0" w:type="dxa"/>
        <w:tblLayout w:type="fixed"/>
        <w:tblCellMar>
          <w:top w:w="0" w:type="dxa"/>
          <w:left w:w="0" w:type="dxa"/>
          <w:bottom w:w="0" w:type="dxa"/>
          <w:right w:w="0" w:type="dxa"/>
        </w:tblCellMar>
      </w:tblPr>
      <w:tblGrid>
        <w:gridCol w:w="2570"/>
        <w:gridCol w:w="60"/>
        <w:gridCol w:w="3830"/>
        <w:gridCol w:w="60"/>
        <w:gridCol w:w="1280"/>
      </w:tblGrid>
      <w:tr>
        <w:trPr/>
        <w:tc>
          <w:tcPr>
            <w:tcW w:w="257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Signature</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Title</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Date</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2570" w:type="dxa"/>
            <w:tcBorders>
              <w:bottom w:val="single" w:sz="8" w:space="0" w:color="000000"/>
            </w:tcBorders>
            <w:tcMar>
              <w:bottom w:w="28" w:type="dxa"/>
            </w:tcMar>
            <w:vAlign w:val="center"/>
          </w:tcPr>
          <w:p>
            <w:pPr>
              <w:pStyle w:val="TableContents"/>
              <w:bidi w:val="0"/>
              <w:spacing w:before="0" w:after="283"/>
              <w:jc w:val="left"/>
              <w:rPr/>
            </w:pPr>
            <w:r>
              <w:rPr/>
              <w:t>/s/ Michael Egholm, Ph.D.</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Chief Executive Officer and Director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Egholm, Ph.D.</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2570" w:type="dxa"/>
            <w:tcBorders>
              <w:bottom w:val="single" w:sz="8" w:space="0" w:color="000000"/>
            </w:tcBorders>
            <w:tcMar>
              <w:bottom w:w="28" w:type="dxa"/>
            </w:tcMar>
            <w:vAlign w:val="center"/>
          </w:tcPr>
          <w:p>
            <w:pPr>
              <w:pStyle w:val="TableContents"/>
              <w:bidi w:val="0"/>
              <w:spacing w:before="0" w:after="283"/>
              <w:jc w:val="left"/>
              <w:rPr/>
            </w:pPr>
            <w:r>
              <w:rPr/>
              <w:t>/s/ Alex Kim</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Financial Officer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 Kim</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2570" w:type="dxa"/>
            <w:tcBorders>
              <w:bottom w:val="single" w:sz="8" w:space="0" w:color="000000"/>
            </w:tcBorders>
            <w:tcMar>
              <w:bottom w:w="28" w:type="dxa"/>
            </w:tcMar>
            <w:vAlign w:val="center"/>
          </w:tcPr>
          <w:p>
            <w:pPr>
              <w:pStyle w:val="TableContents"/>
              <w:bidi w:val="0"/>
              <w:spacing w:before="0" w:after="283"/>
              <w:jc w:val="left"/>
              <w:rPr/>
            </w:pPr>
            <w:r>
              <w:rPr/>
              <w:t>/s/ Tom Carey</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of Directors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Tom Carey</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2570" w:type="dxa"/>
            <w:tcBorders>
              <w:bottom w:val="single" w:sz="8" w:space="0" w:color="000000"/>
            </w:tcBorders>
            <w:tcMar>
              <w:bottom w:w="28" w:type="dxa"/>
            </w:tcMar>
            <w:vAlign w:val="center"/>
          </w:tcPr>
          <w:p>
            <w:pPr>
              <w:pStyle w:val="TableContents"/>
              <w:bidi w:val="0"/>
              <w:spacing w:before="0" w:after="283"/>
              <w:jc w:val="left"/>
              <w:rPr/>
            </w:pPr>
            <w:r>
              <w:rPr/>
              <w:t>/s/ Frank R. Witney, Ph.D.</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Frank R. Witney, Ph.D.</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2570" w:type="dxa"/>
            <w:tcBorders>
              <w:bottom w:val="single" w:sz="8" w:space="0" w:color="000000"/>
            </w:tcBorders>
            <w:tcMar>
              <w:bottom w:w="28" w:type="dxa"/>
            </w:tcMar>
            <w:vAlign w:val="center"/>
          </w:tcPr>
          <w:p>
            <w:pPr>
              <w:pStyle w:val="TableContents"/>
              <w:bidi w:val="0"/>
              <w:spacing w:before="0" w:after="283"/>
              <w:jc w:val="left"/>
              <w:rPr/>
            </w:pPr>
            <w:r>
              <w:rPr/>
              <w:t>/s/ Fenel M. Eloi</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Fenel M. Eloi</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2570" w:type="dxa"/>
            <w:tcBorders>
              <w:bottom w:val="single" w:sz="8" w:space="0" w:color="000000"/>
            </w:tcBorders>
            <w:tcMar>
              <w:bottom w:w="28" w:type="dxa"/>
            </w:tcMar>
            <w:vAlign w:val="center"/>
          </w:tcPr>
          <w:p>
            <w:pPr>
              <w:pStyle w:val="TableContents"/>
              <w:bidi w:val="0"/>
              <w:spacing w:before="0" w:after="283"/>
              <w:jc w:val="left"/>
              <w:rPr/>
            </w:pPr>
            <w:r>
              <w:rPr/>
              <w:t>/s/ Troy Cox</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Troy Cox</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2570" w:type="dxa"/>
            <w:tcBorders>
              <w:bottom w:val="single" w:sz="8" w:space="0" w:color="000000"/>
            </w:tcBorders>
            <w:tcMar>
              <w:bottom w:w="28" w:type="dxa"/>
            </w:tcMar>
            <w:vAlign w:val="center"/>
          </w:tcPr>
          <w:p>
            <w:pPr>
              <w:pStyle w:val="TableContents"/>
              <w:bidi w:val="0"/>
              <w:spacing w:before="0" w:after="283"/>
              <w:jc w:val="left"/>
              <w:rPr/>
            </w:pPr>
            <w:r>
              <w:rPr/>
              <w:t>/s/ Eli Casdin</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 Casdin</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2570" w:type="dxa"/>
            <w:tcBorders>
              <w:bottom w:val="single" w:sz="8" w:space="0" w:color="000000"/>
            </w:tcBorders>
            <w:tcMar>
              <w:bottom w:w="28" w:type="dxa"/>
            </w:tcMar>
            <w:vAlign w:val="center"/>
          </w:tcPr>
          <w:p>
            <w:pPr>
              <w:pStyle w:val="TableContents"/>
              <w:bidi w:val="0"/>
              <w:spacing w:before="0" w:after="283"/>
              <w:jc w:val="left"/>
              <w:rPr/>
            </w:pPr>
            <w:r>
              <w:rPr/>
              <w:t>/s/ Kathy Hibbs</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Kathy Hibbs</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 w:name="tm2622144d1_ex5-1.htm"/>
      <w:bookmarkStart w:id="4" w:name="kstm2622144d1_ex51"/>
      <w:bookmarkEnd w:id="3"/>
      <w:bookmarkEnd w:id="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283"/>
        <w:jc w:val="left"/>
        <w:rPr/>
      </w:pPr>
      <w:r>
        <w:rPr/>
        <w:t> </w:t>
      </w:r>
    </w:p>
    <w:tbl>
      <w:tblPr>
        <w:tblW w:w="2543" w:type="dxa"/>
        <w:jc w:val="left"/>
        <w:tblInd w:w="0" w:type="dxa"/>
        <w:tblLayout w:type="fixed"/>
        <w:tblCellMar>
          <w:top w:w="0" w:type="dxa"/>
          <w:left w:w="0" w:type="dxa"/>
          <w:bottom w:w="0" w:type="dxa"/>
          <w:right w:w="0" w:type="dxa"/>
        </w:tblCellMar>
      </w:tblPr>
      <w:tblGrid>
        <w:gridCol w:w="75"/>
        <w:gridCol w:w="708"/>
        <w:gridCol w:w="1760"/>
      </w:tblGrid>
      <w:tr>
        <w:trPr/>
        <w:tc>
          <w:tcPr>
            <w:tcW w:w="75"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center"/>
              <w:rPr/>
            </w:pPr>
            <w:r>
              <w:rPr/>
              <w:t> </w:t>
            </w:r>
            <w:r>
              <w:rPr/>
              <w:drawing>
                <wp:inline distT="0" distB="0" distL="0" distR="0">
                  <wp:extent cx="411480" cy="5257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8"/>
                          <a:stretch>
                            <a:fillRect/>
                          </a:stretch>
                        </pic:blipFill>
                        <pic:spPr bwMode="auto">
                          <a:xfrm>
                            <a:off x="0" y="0"/>
                            <a:ext cx="411480" cy="525780"/>
                          </a:xfrm>
                          <a:prstGeom prst="rect">
                            <a:avLst/>
                          </a:prstGeom>
                        </pic:spPr>
                      </pic:pic>
                    </a:graphicData>
                  </a:graphic>
                </wp:inline>
              </w:drawing>
            </w:r>
          </w:p>
        </w:tc>
        <w:tc>
          <w:tcPr>
            <w:tcW w:w="176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Financial Center</w:t>
              <w:br/>
              <w:t>Boston, MA 02111</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617 542 6000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mintz.com</w:t>
            </w:r>
          </w:p>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BioTools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Milk Street, 10th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02109</w:t>
      </w:r>
    </w:p>
    <w:p>
      <w:pPr>
        <w:pStyle w:val="TextBody"/>
        <w:bidi w:val="0"/>
        <w:spacing w:before="0" w:after="0"/>
        <w:ind w:left="0" w:right="0" w:hanging="0"/>
        <w:jc w:val="left"/>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35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Re:</w:t>
            </w:r>
          </w:p>
        </w:tc>
        <w:tc>
          <w:tcPr>
            <w:tcW w:w="3425" w:type="dxa"/>
            <w:tcBorders/>
            <w:vAlign w:val="center"/>
          </w:tcPr>
          <w:p>
            <w:pPr>
              <w:pStyle w:val="TableContents"/>
              <w:bidi w:val="0"/>
              <w:spacing w:before="0" w:after="283"/>
              <w:jc w:val="both"/>
              <w:rPr>
                <w:u w:val="single"/>
              </w:rPr>
            </w:pPr>
            <w:r>
              <w:rPr>
                <w:u w:val="single"/>
              </w:rPr>
              <w:t>Registration Statement on Form S-8</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legal counsel to Standard BioTools Inc., a Delaware corporation (the “Company”), in connection with the preparation and filing with the Securities and Exchange Commission (the “Commission”) of a Registration Statement on Form S-8 (the “Registration Statement”), pursuant to which the Company is registering the issuance under the Securities Act of 1933, as amended (the “Securities Act”), of an aggregate of up to 59,312,471 shares (the “Shares”) of the Company’s common stock, par value $0.001 per share, that may be issued pursuant to the Company’s 2026 Equity Incentive Plan (the “2026 Plan”). This opinion is being rendered in connection with the filing of the Registration Statement with the Commission. All capitalized terms used herein and not otherwise defined shall have the respective meanings given to them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the Company’s Eighth Amended and Restated Certificate of Incorporation, as amended, and Amended and Restated Bylaws, each as currently in effect; such other records of the corporate proceedings of the Company and certificates of the Company’s officers as we have deemed relevant; and the Registration Statement and the exhibits thereto.</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the legal capacity of natural persons, the authenticity of all documents submitted to us as originals, the conformity to original documents of all documents submitted to us as copies, the authenticity of the originals of such copies, and the truth and correctness of any representations and warranties contained therein. In addition, we have assumed that the Company will receive any required consideration in accordance with the terms of the 2026 Plan.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expressed herein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we are of the opinion that the Shares, when issued and delivered in accordance with the terms of the 2026 Plan,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4" w:space="1" w:color="000000"/>
        </w:pBdr>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Boston    Los Angeles    MIAMI    New York    San Diego    San Francisco    toronto    Washington</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Mintz, Levin, Cohn, Ferris, Glovsky and Popeo,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240" w:type="dxa"/>
        <w:jc w:val="left"/>
        <w:tblInd w:w="0" w:type="dxa"/>
        <w:tblLayout w:type="fixed"/>
        <w:tblCellMar>
          <w:top w:w="0" w:type="dxa"/>
          <w:left w:w="0" w:type="dxa"/>
          <w:bottom w:w="0" w:type="dxa"/>
          <w:right w:w="0" w:type="dxa"/>
        </w:tblCellMar>
      </w:tblPr>
      <w:tblGrid>
        <w:gridCol w:w="1280"/>
        <w:gridCol w:w="960"/>
      </w:tblGrid>
      <w:tr>
        <w:trPr/>
        <w:tc>
          <w:tcPr>
            <w:tcW w:w="128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MINTZ</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5, 2026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tc>
        <w:tc>
          <w:tcPr>
            <w:tcW w:w="960" w:type="dxa"/>
            <w:tcBorders/>
            <w:vAlign w:val="center"/>
          </w:tcPr>
          <w:p>
            <w:pPr>
              <w:pStyle w:val="TableContents"/>
              <w:bidi w:val="0"/>
              <w:spacing w:before="0" w:after="283"/>
              <w:jc w:val="right"/>
              <w:rPr/>
            </w:pPr>
            <w:r>
              <w:rPr/>
              <w:drawing>
                <wp:inline distT="0" distB="0" distL="0" distR="0">
                  <wp:extent cx="561975" cy="695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9"/>
                          <a:stretch>
                            <a:fillRect/>
                          </a:stretch>
                        </pic:blipFill>
                        <pic:spPr bwMode="auto">
                          <a:xfrm>
                            <a:off x="0" y="0"/>
                            <a:ext cx="561975" cy="695325"/>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you wish to file this opinion with the Commission as an exhibit to the Registration Statement in accordance with the requirements of Item 601(b)(5) of Regulation S-K promulgated under the Securities Act, and we hereby consent thereto. In giving this consent, we do not admit that we are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75"/>
        <w:gridCol w:w="4520"/>
      </w:tblGrid>
      <w:tr>
        <w:trPr/>
        <w:tc>
          <w:tcPr>
            <w:tcW w:w="7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Mintz, Levin, Cohn, Ferris, Glovsky and Popeo, P.C.</w:t>
            </w:r>
          </w:p>
        </w:tc>
      </w:tr>
      <w:tr>
        <w:trPr/>
        <w:tc>
          <w:tcPr>
            <w:tcW w:w="7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Mintz, Levin, Cohn, Ferris, Glovsky and Popeo, P.C.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 w:name="tm2622144d1_ex23-1.htm"/>
      <w:bookmarkStart w:id="6" w:name="kstm2622144d1_ex231"/>
      <w:bookmarkEnd w:id="5"/>
      <w:bookmarkEnd w:id="6"/>
      <w:r>
        <w:rPr/>
        <w:t> </w:t>
      </w:r>
      <w:r>
        <w:br w:type="page"/>
      </w:r>
    </w:p>
    <w:p>
      <w:pPr>
        <w:pStyle w:val="TextBody"/>
        <w:bidi w:val="0"/>
        <w:spacing w:before="0" w:after="0"/>
        <w:ind w:left="0" w:right="0" w:hanging="0"/>
        <w:jc w:val="right"/>
        <w:rPr>
          <w:caps w:val="false"/>
          <w:smallCaps w:val="false"/>
        </w:rPr>
      </w:pPr>
      <w:r>
        <w:rPr>
          <w:caps w:val="false"/>
          <w:smallCaps w:val="false"/>
        </w:rPr>
        <w:t> </w:t>
      </w:r>
      <w:r>
        <w:rPr>
          <w:rFonts w:ascii="Times New Roman;Times;Serif" w:hAnsi="Times New Roman;Times;Serif"/>
          <w:b/>
          <w:i w:val="false"/>
          <w:caps w:val="false"/>
          <w:smallCaps w:val="false"/>
          <w:sz w:val="20"/>
        </w:rPr>
        <w:t>Exhibit 23.1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Standard BioTools Inc. of our report dated March 16, 2026 relating to the financial statements, and the effectiveness of internal control over financial reporting, which appears in Standard BioTools Inc.’s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 w:name="tm2622144d1_ex-filingfees.htm"/>
      <w:bookmarkStart w:id="8" w:name="kstm2622144d1_exfilingfees"/>
      <w:bookmarkStart w:id="9" w:name="tm2622144d1_ex-filingfees.htm"/>
      <w:bookmarkStart w:id="10" w:name="kstm2622144d1_exfilingfees"/>
      <w:bookmarkEnd w:id="9"/>
      <w:bookmarkEnd w:id="10"/>
      <w:r>
        <w:br w:type="page"/>
      </w:r>
    </w:p>
    <w:tbl>
      <w:tblPr>
        <w:tblW w:w="3605" w:type="dxa"/>
        <w:jc w:val="left"/>
        <w:tblInd w:w="0" w:type="dxa"/>
        <w:tblLayout w:type="fixed"/>
        <w:tblCellMar>
          <w:top w:w="28" w:type="dxa"/>
          <w:left w:w="28" w:type="dxa"/>
          <w:bottom w:w="28" w:type="dxa"/>
          <w:right w:w="28" w:type="dxa"/>
        </w:tblCellMar>
      </w:tblPr>
      <w:tblGrid>
        <w:gridCol w:w="3451"/>
        <w:gridCol w:w="154"/>
      </w:tblGrid>
      <w:tr>
        <w:trPr/>
        <w:tc>
          <w:tcPr>
            <w:tcW w:w="360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5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283"/>
              <w:jc w:val="left"/>
              <w:rPr>
                <w:b/>
              </w:rPr>
            </w:pPr>
            <w:r>
              <w:rPr>
                <w:b/>
              </w:rPr>
              <w:t xml:space="preserve">STANDARD BIOTOOLS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6"/>
        <w:gridCol w:w="1044"/>
        <w:gridCol w:w="1292"/>
        <w:gridCol w:w="1201"/>
        <w:gridCol w:w="1214"/>
        <w:gridCol w:w="1701"/>
        <w:gridCol w:w="1126"/>
        <w:gridCol w:w="1430"/>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4"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30"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4" w:type="dxa"/>
            <w:tcBorders/>
            <w:shd w:fill="E7E7E2" w:val="clear"/>
            <w:vAlign w:val="center"/>
          </w:tcPr>
          <w:p>
            <w:pPr>
              <w:pStyle w:val="TableContents"/>
              <w:bidi w:val="0"/>
              <w:spacing w:before="0" w:after="283"/>
              <w:jc w:val="left"/>
              <w:rPr/>
            </w:pPr>
            <w:r>
              <w:rPr/>
              <w:t xml:space="preserve">Common Stock $0.001 par value per share </w:t>
            </w:r>
          </w:p>
        </w:tc>
        <w:tc>
          <w:tcPr>
            <w:tcW w:w="1292" w:type="dxa"/>
            <w:tcBorders/>
            <w:shd w:fill="E7E7E2" w:val="clear"/>
            <w:vAlign w:val="center"/>
          </w:tcPr>
          <w:p>
            <w:pPr>
              <w:pStyle w:val="TableContents"/>
              <w:bidi w:val="0"/>
              <w:spacing w:before="0" w:after="283"/>
              <w:jc w:val="center"/>
              <w:rPr/>
            </w:pPr>
            <w:r>
              <w:rPr/>
              <w:t xml:space="preserve">457(a) </w:t>
            </w:r>
          </w:p>
        </w:tc>
        <w:tc>
          <w:tcPr>
            <w:tcW w:w="1201" w:type="dxa"/>
            <w:tcBorders/>
            <w:shd w:fill="E7E7E2" w:val="clear"/>
            <w:vAlign w:val="center"/>
          </w:tcPr>
          <w:p>
            <w:pPr>
              <w:pStyle w:val="TableContents"/>
              <w:bidi w:val="0"/>
              <w:spacing w:before="0" w:after="283"/>
              <w:jc w:val="right"/>
              <w:rPr/>
            </w:pPr>
            <w:r>
              <w:rPr/>
              <w:t xml:space="preserve">56,939,276 </w:t>
            </w:r>
          </w:p>
        </w:tc>
        <w:tc>
          <w:tcPr>
            <w:tcW w:w="1214" w:type="dxa"/>
            <w:tcBorders/>
            <w:shd w:fill="E7E7E2" w:val="clear"/>
            <w:vAlign w:val="center"/>
          </w:tcPr>
          <w:p>
            <w:pPr>
              <w:pStyle w:val="TableContents"/>
              <w:bidi w:val="0"/>
              <w:spacing w:before="0" w:after="283"/>
              <w:jc w:val="right"/>
              <w:rPr/>
            </w:pPr>
            <w:r>
              <w:rPr/>
              <w:t xml:space="preserve">$ 0.8815 </w:t>
            </w:r>
          </w:p>
        </w:tc>
        <w:tc>
          <w:tcPr>
            <w:tcW w:w="1701" w:type="dxa"/>
            <w:tcBorders/>
            <w:shd w:fill="E7E7E2" w:val="clear"/>
            <w:vAlign w:val="center"/>
          </w:tcPr>
          <w:p>
            <w:pPr>
              <w:pStyle w:val="TableContents"/>
              <w:bidi w:val="0"/>
              <w:spacing w:before="0" w:after="283"/>
              <w:jc w:val="right"/>
              <w:rPr/>
            </w:pPr>
            <w:r>
              <w:rPr/>
              <w:t xml:space="preserve">$ 50,191,971.79 </w:t>
            </w:r>
          </w:p>
        </w:tc>
        <w:tc>
          <w:tcPr>
            <w:tcW w:w="1126" w:type="dxa"/>
            <w:tcBorders/>
            <w:shd w:fill="E7E7E2" w:val="clear"/>
            <w:vAlign w:val="center"/>
          </w:tcPr>
          <w:p>
            <w:pPr>
              <w:pStyle w:val="TableContents"/>
              <w:bidi w:val="0"/>
              <w:spacing w:before="0" w:after="283"/>
              <w:jc w:val="right"/>
              <w:rPr/>
            </w:pPr>
            <w:r>
              <w:rPr/>
              <w:t xml:space="preserve">0.0001381 </w:t>
            </w:r>
          </w:p>
        </w:tc>
        <w:tc>
          <w:tcPr>
            <w:tcW w:w="1430" w:type="dxa"/>
            <w:tcBorders/>
            <w:shd w:fill="E7E7E2" w:val="clear"/>
            <w:vAlign w:val="center"/>
          </w:tcPr>
          <w:p>
            <w:pPr>
              <w:pStyle w:val="TableContents"/>
              <w:bidi w:val="0"/>
              <w:spacing w:before="0" w:after="283"/>
              <w:jc w:val="right"/>
              <w:rPr/>
            </w:pPr>
            <w:r>
              <w:rPr/>
              <w:t xml:space="preserve">$ 6,931.51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56" w:type="dxa"/>
            <w:tcBorders/>
            <w:shd w:fill="E7E7E2" w:val="clear"/>
            <w:vAlign w:val="center"/>
          </w:tcPr>
          <w:p>
            <w:pPr>
              <w:pStyle w:val="TableContents"/>
              <w:bidi w:val="0"/>
              <w:spacing w:before="0" w:after="283"/>
              <w:jc w:val="left"/>
              <w:rPr/>
            </w:pPr>
            <w:r>
              <w:rPr/>
              <w:t xml:space="preserve">Equity </w:t>
            </w:r>
          </w:p>
        </w:tc>
        <w:tc>
          <w:tcPr>
            <w:tcW w:w="1044" w:type="dxa"/>
            <w:tcBorders/>
            <w:shd w:fill="E7E7E2" w:val="clear"/>
            <w:vAlign w:val="center"/>
          </w:tcPr>
          <w:p>
            <w:pPr>
              <w:pStyle w:val="TableContents"/>
              <w:bidi w:val="0"/>
              <w:spacing w:before="0" w:after="283"/>
              <w:jc w:val="left"/>
              <w:rPr/>
            </w:pPr>
            <w:r>
              <w:rPr/>
              <w:t xml:space="preserve">Common Stock $0.001 par value per share </w:t>
            </w:r>
          </w:p>
        </w:tc>
        <w:tc>
          <w:tcPr>
            <w:tcW w:w="1292" w:type="dxa"/>
            <w:tcBorders/>
            <w:shd w:fill="E7E7E2" w:val="clear"/>
            <w:vAlign w:val="center"/>
          </w:tcPr>
          <w:p>
            <w:pPr>
              <w:pStyle w:val="TableContents"/>
              <w:bidi w:val="0"/>
              <w:spacing w:before="0" w:after="283"/>
              <w:jc w:val="center"/>
              <w:rPr/>
            </w:pPr>
            <w:r>
              <w:rPr/>
              <w:t xml:space="preserve">457(a) </w:t>
            </w:r>
          </w:p>
        </w:tc>
        <w:tc>
          <w:tcPr>
            <w:tcW w:w="1201" w:type="dxa"/>
            <w:tcBorders/>
            <w:shd w:fill="E7E7E2" w:val="clear"/>
            <w:vAlign w:val="center"/>
          </w:tcPr>
          <w:p>
            <w:pPr>
              <w:pStyle w:val="TableContents"/>
              <w:bidi w:val="0"/>
              <w:spacing w:before="0" w:after="283"/>
              <w:jc w:val="right"/>
              <w:rPr/>
            </w:pPr>
            <w:r>
              <w:rPr/>
              <w:t xml:space="preserve">1,229,696 </w:t>
            </w:r>
          </w:p>
        </w:tc>
        <w:tc>
          <w:tcPr>
            <w:tcW w:w="1214" w:type="dxa"/>
            <w:tcBorders/>
            <w:shd w:fill="E7E7E2" w:val="clear"/>
            <w:vAlign w:val="center"/>
          </w:tcPr>
          <w:p>
            <w:pPr>
              <w:pStyle w:val="TableContents"/>
              <w:bidi w:val="0"/>
              <w:spacing w:before="0" w:after="283"/>
              <w:jc w:val="right"/>
              <w:rPr/>
            </w:pPr>
            <w:r>
              <w:rPr/>
              <w:t xml:space="preserve">$ 0.8815 </w:t>
            </w:r>
          </w:p>
        </w:tc>
        <w:tc>
          <w:tcPr>
            <w:tcW w:w="1701" w:type="dxa"/>
            <w:tcBorders/>
            <w:shd w:fill="E7E7E2" w:val="clear"/>
            <w:vAlign w:val="center"/>
          </w:tcPr>
          <w:p>
            <w:pPr>
              <w:pStyle w:val="TableContents"/>
              <w:bidi w:val="0"/>
              <w:spacing w:before="0" w:after="283"/>
              <w:jc w:val="right"/>
              <w:rPr/>
            </w:pPr>
            <w:r>
              <w:rPr/>
              <w:t xml:space="preserve">$ 1,083,977.02 </w:t>
            </w:r>
          </w:p>
        </w:tc>
        <w:tc>
          <w:tcPr>
            <w:tcW w:w="1126" w:type="dxa"/>
            <w:tcBorders/>
            <w:shd w:fill="E7E7E2" w:val="clear"/>
            <w:vAlign w:val="center"/>
          </w:tcPr>
          <w:p>
            <w:pPr>
              <w:pStyle w:val="TableContents"/>
              <w:bidi w:val="0"/>
              <w:spacing w:before="0" w:after="283"/>
              <w:jc w:val="right"/>
              <w:rPr/>
            </w:pPr>
            <w:r>
              <w:rPr/>
              <w:t xml:space="preserve">0.0001381 </w:t>
            </w:r>
          </w:p>
        </w:tc>
        <w:tc>
          <w:tcPr>
            <w:tcW w:w="1430" w:type="dxa"/>
            <w:tcBorders/>
            <w:shd w:fill="E7E7E2" w:val="clear"/>
            <w:vAlign w:val="center"/>
          </w:tcPr>
          <w:p>
            <w:pPr>
              <w:pStyle w:val="TableContents"/>
              <w:bidi w:val="0"/>
              <w:spacing w:before="0" w:after="283"/>
              <w:jc w:val="right"/>
              <w:rPr/>
            </w:pPr>
            <w:r>
              <w:rPr/>
              <w:t xml:space="preserve">$ 149.70 </w:t>
            </w:r>
          </w:p>
        </w:tc>
      </w:tr>
      <w:tr>
        <w:trPr/>
        <w:tc>
          <w:tcPr>
            <w:tcW w:w="241" w:type="dxa"/>
            <w:tcBorders/>
            <w:shd w:fill="E7E7E2" w:val="clear"/>
            <w:vAlign w:val="center"/>
          </w:tcPr>
          <w:p>
            <w:pPr>
              <w:pStyle w:val="TableContents"/>
              <w:bidi w:val="0"/>
              <w:spacing w:before="0" w:after="283"/>
              <w:jc w:val="center"/>
              <w:rPr/>
            </w:pPr>
            <w:r>
              <w:rPr/>
              <w:t xml:space="preserve">3 </w:t>
            </w:r>
          </w:p>
        </w:tc>
        <w:tc>
          <w:tcPr>
            <w:tcW w:w="956" w:type="dxa"/>
            <w:tcBorders/>
            <w:shd w:fill="E7E7E2" w:val="clear"/>
            <w:vAlign w:val="center"/>
          </w:tcPr>
          <w:p>
            <w:pPr>
              <w:pStyle w:val="TableContents"/>
              <w:bidi w:val="0"/>
              <w:spacing w:before="0" w:after="283"/>
              <w:jc w:val="left"/>
              <w:rPr/>
            </w:pPr>
            <w:r>
              <w:rPr/>
              <w:t xml:space="preserve">Equity </w:t>
            </w:r>
          </w:p>
        </w:tc>
        <w:tc>
          <w:tcPr>
            <w:tcW w:w="1044" w:type="dxa"/>
            <w:tcBorders/>
            <w:shd w:fill="E7E7E2" w:val="clear"/>
            <w:vAlign w:val="center"/>
          </w:tcPr>
          <w:p>
            <w:pPr>
              <w:pStyle w:val="TableContents"/>
              <w:bidi w:val="0"/>
              <w:spacing w:before="0" w:after="283"/>
              <w:jc w:val="left"/>
              <w:rPr/>
            </w:pPr>
            <w:r>
              <w:rPr/>
              <w:t xml:space="preserve">Common Stock $0.001 par value per share </w:t>
            </w:r>
          </w:p>
        </w:tc>
        <w:tc>
          <w:tcPr>
            <w:tcW w:w="1292" w:type="dxa"/>
            <w:tcBorders/>
            <w:shd w:fill="E7E7E2" w:val="clear"/>
            <w:vAlign w:val="center"/>
          </w:tcPr>
          <w:p>
            <w:pPr>
              <w:pStyle w:val="TableContents"/>
              <w:bidi w:val="0"/>
              <w:spacing w:before="0" w:after="283"/>
              <w:jc w:val="center"/>
              <w:rPr/>
            </w:pPr>
            <w:r>
              <w:rPr/>
              <w:t xml:space="preserve">457(a) </w:t>
            </w:r>
          </w:p>
        </w:tc>
        <w:tc>
          <w:tcPr>
            <w:tcW w:w="1201" w:type="dxa"/>
            <w:tcBorders/>
            <w:shd w:fill="E7E7E2" w:val="clear"/>
            <w:vAlign w:val="center"/>
          </w:tcPr>
          <w:p>
            <w:pPr>
              <w:pStyle w:val="TableContents"/>
              <w:bidi w:val="0"/>
              <w:spacing w:before="0" w:after="283"/>
              <w:jc w:val="right"/>
              <w:rPr/>
            </w:pPr>
            <w:r>
              <w:rPr/>
              <w:t xml:space="preserve">1,143,499 </w:t>
            </w:r>
          </w:p>
        </w:tc>
        <w:tc>
          <w:tcPr>
            <w:tcW w:w="1214" w:type="dxa"/>
            <w:tcBorders/>
            <w:shd w:fill="E7E7E2" w:val="clear"/>
            <w:vAlign w:val="center"/>
          </w:tcPr>
          <w:p>
            <w:pPr>
              <w:pStyle w:val="TableContents"/>
              <w:bidi w:val="0"/>
              <w:spacing w:before="0" w:after="283"/>
              <w:jc w:val="right"/>
              <w:rPr/>
            </w:pPr>
            <w:r>
              <w:rPr/>
              <w:t xml:space="preserve">$ 0.83 </w:t>
            </w:r>
          </w:p>
        </w:tc>
        <w:tc>
          <w:tcPr>
            <w:tcW w:w="1701" w:type="dxa"/>
            <w:tcBorders/>
            <w:shd w:fill="E7E7E2" w:val="clear"/>
            <w:vAlign w:val="center"/>
          </w:tcPr>
          <w:p>
            <w:pPr>
              <w:pStyle w:val="TableContents"/>
              <w:bidi w:val="0"/>
              <w:spacing w:before="0" w:after="283"/>
              <w:jc w:val="right"/>
              <w:rPr/>
            </w:pPr>
            <w:r>
              <w:rPr/>
              <w:t xml:space="preserve">$ 949,104.17 </w:t>
            </w:r>
          </w:p>
        </w:tc>
        <w:tc>
          <w:tcPr>
            <w:tcW w:w="1126" w:type="dxa"/>
            <w:tcBorders/>
            <w:shd w:fill="E7E7E2" w:val="clear"/>
            <w:vAlign w:val="center"/>
          </w:tcPr>
          <w:p>
            <w:pPr>
              <w:pStyle w:val="TableContents"/>
              <w:bidi w:val="0"/>
              <w:spacing w:before="0" w:after="283"/>
              <w:jc w:val="right"/>
              <w:rPr/>
            </w:pPr>
            <w:r>
              <w:rPr/>
              <w:t xml:space="preserve">0.0001381 </w:t>
            </w:r>
          </w:p>
        </w:tc>
        <w:tc>
          <w:tcPr>
            <w:tcW w:w="1430" w:type="dxa"/>
            <w:tcBorders/>
            <w:shd w:fill="E7E7E2" w:val="clear"/>
            <w:vAlign w:val="center"/>
          </w:tcPr>
          <w:p>
            <w:pPr>
              <w:pStyle w:val="TableContents"/>
              <w:bidi w:val="0"/>
              <w:spacing w:before="0" w:after="283"/>
              <w:jc w:val="right"/>
              <w:rPr/>
            </w:pPr>
            <w:r>
              <w:rPr/>
              <w:t xml:space="preserve">$ 131.07 </w:t>
            </w:r>
          </w:p>
        </w:tc>
      </w:tr>
      <w:tr>
        <w:trPr/>
        <w:tc>
          <w:tcPr>
            <w:tcW w:w="4734" w:type="dxa"/>
            <w:gridSpan w:val="5"/>
            <w:tcBorders/>
            <w:vAlign w:val="center"/>
          </w:tcPr>
          <w:p>
            <w:pPr>
              <w:pStyle w:val="TableContents"/>
              <w:bidi w:val="0"/>
              <w:spacing w:before="0" w:after="0"/>
              <w:ind w:left="0" w:right="0" w:hanging="0"/>
              <w:jc w:val="right"/>
              <w:rPr/>
            </w:pPr>
            <w:r>
              <w:rPr/>
              <w:t>Total Offering Amounts:</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0"/>
              <w:ind w:left="0" w:right="0" w:hanging="0"/>
              <w:jc w:val="right"/>
              <w:rPr/>
            </w:pPr>
            <w:bookmarkStart w:id="11" w:name="MaxAggtOfferingPrice"/>
            <w:bookmarkEnd w:id="11"/>
            <w:r>
              <w:rPr/>
              <w:t xml:space="preserve">$ 52,225,052.98 </w:t>
            </w:r>
          </w:p>
        </w:tc>
        <w:tc>
          <w:tcPr>
            <w:tcW w:w="1126" w:type="dxa"/>
            <w:tcBorders/>
            <w:vAlign w:val="center"/>
          </w:tcPr>
          <w:p>
            <w:pPr>
              <w:pStyle w:val="TableContents"/>
              <w:bidi w:val="0"/>
              <w:spacing w:before="0" w:after="283"/>
              <w:jc w:val="left"/>
              <w:rPr>
                <w:sz w:val="4"/>
                <w:szCs w:val="4"/>
              </w:rPr>
            </w:pPr>
            <w:r>
              <w:rPr>
                <w:sz w:val="4"/>
                <w:szCs w:val="4"/>
              </w:rPr>
            </w:r>
          </w:p>
        </w:tc>
        <w:tc>
          <w:tcPr>
            <w:tcW w:w="143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$ 7,212.28 </w:t>
            </w:r>
          </w:p>
        </w:tc>
      </w:tr>
      <w:tr>
        <w:trPr/>
        <w:tc>
          <w:tcPr>
            <w:tcW w:w="4734" w:type="dxa"/>
            <w:gridSpan w:val="5"/>
            <w:tcBorders/>
            <w:vAlign w:val="center"/>
          </w:tcPr>
          <w:p>
            <w:pPr>
              <w:pStyle w:val="TableContents"/>
              <w:bidi w:val="0"/>
              <w:spacing w:before="0" w:after="0"/>
              <w:ind w:left="0" w:right="0" w:hanging="0"/>
              <w:jc w:val="right"/>
              <w:rPr/>
            </w:pPr>
            <w:r>
              <w:rPr/>
              <w:t xml:space="preserve">Total Fee Offsets: </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34" w:type="dxa"/>
            <w:gridSpan w:val="5"/>
            <w:tcBorders/>
            <w:vAlign w:val="center"/>
          </w:tcPr>
          <w:p>
            <w:pPr>
              <w:pStyle w:val="TableContents"/>
              <w:bidi w:val="0"/>
              <w:spacing w:before="0" w:after="0"/>
              <w:ind w:left="0" w:right="0" w:hanging="0"/>
              <w:jc w:val="right"/>
              <w:rPr/>
            </w:pPr>
            <w:r>
              <w:rPr/>
              <w:t xml:space="preserve">Net Fee Due: </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0"/>
              <w:ind w:left="0" w:right="0" w:hanging="0"/>
              <w:jc w:val="right"/>
              <w:rPr/>
            </w:pPr>
            <w:bookmarkStart w:id="14" w:name="NetFeeAmt"/>
            <w:bookmarkEnd w:id="14"/>
            <w:r>
              <w:rPr/>
              <w:t xml:space="preserve">$ 7,212.28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7"/>
        <w:gridCol w:w="8709"/>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Note 1(a): Pursuant to Rule 416(a) under the Securities Act of 1933, as amended (the "Securities Act"), this Registration Statement shall also cover any additional shares of common stock, par value $0.001 per share ("Common Stock") of Standard BioTools Inc. (the "Registrant") that become issuable under the Standard BioTools Inc. 2026 Equity Incentive Plan (the "2026 Plan") by reason of an event such as any stock split, stock dividend or similar adjustment effected without the Registrant's receipt of consideration that increases the number of the outstanding shares of Common Stock. Note 1(b): Represents the number of shares of Common Stock available for future issuance pursuant to the 2026 Plan and underlying outstanding awards granted under the Standard BioTools Inc. Amended and Restated 2011 Equity Incentive Plan, as amended (the "2011 Plan"), to the extent such awards are forfeited, expire or are cancelled without delivery of shares of Common Stock or which result in the forfeiture of shares of Common Stock back to the Registrant. Note 1(c): Estimated solely for the purpose of calculating the amount of the registration fee pursuant to Rule 457(c) and Rule 457(h) under the Securities Act. The offering price per share and the aggregate offering price for shares reserved for future grant or issuance under the 2026 Plan are based upon a price of $0.8815 per share, which is the average of the high and the low price of Registrant's Common Stock as reported on The Nasdaq Global Select Market as of a date (August 3, 2026) within five business days prior to filing this Registration Statement.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Note 2(a): Pursuant to Rule 416(a) under the Securities Act, this Registration Statement shall also cover any additional shares of Common Stock that become issuable under the 2026 Plan by reason of an event such as any stock split, stock dividend or similar adjustment effected without the Registrant's receipt of consideration that increases the number of the outstanding shares of Common Stock. Note 2(b): Represents the number of shares of Common Stock issuable upon the vesting of restricted stock units which have been granted under the 2026 Plan. Note 2(c): Estimated solely for the purpose of calculating the amount of the registration fee pursuant to Rule 457(c) and Rule 457(h) under the Securities Act. The offering price per share and the aggregate offering price are based upon a price of $0.8815 per share, which is the average of the high and the low price of Registrant's Common Stock as reported on The Nasdaq Global Select Market as of a date (August 3, 2026) within five business days prior to filing this Registration Statement.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6" w:type="dxa"/>
            <w:gridSpan w:val="2"/>
            <w:tcBorders/>
            <w:vAlign w:val="center"/>
          </w:tcPr>
          <w:p>
            <w:pPr>
              <w:pStyle w:val="TableContents"/>
              <w:bidi w:val="0"/>
              <w:spacing w:before="0" w:after="283"/>
              <w:jc w:val="left"/>
              <w:rPr/>
            </w:pPr>
            <w:r>
              <w:rPr/>
              <w:t xml:space="preserve">Note 3(a): Pursuant to Rule 416(a) under the Securities Act, this Registration Statement shall also cover any additional shares of Common Stock that become issuable under the 2026 Plan by reason of an event such as any stock split, stock dividend or similar adjustment effected without the Registrant's receipt of consideration that increases the number of the outstanding shares of Common Stock. Note 3(b): Represents the number of shares of Common Stock issuable upon the exercise of options which have been granted under the 2026 Plan. Note 3(c): Estimated solely for the purpose of calculating the amount of the registration fee pursuant to Rule 457(h) promulgated under the Securities Act. The price per share and aggregate offering price are calculated on the basis of the weighted average exercise price of the options granted under the 2026 Plan of $0.83 per share.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162194/000119312526108326/lab-20251231.htm" TargetMode="External"/><Relationship Id="rId3" Type="http://schemas.openxmlformats.org/officeDocument/2006/relationships/hyperlink" Target="https://www.sec.gov/ix?doc=/Archives/edgar/data/1162194/000119312526108326/lab-20251231.htm" TargetMode="External"/><Relationship Id="rId4" Type="http://schemas.openxmlformats.org/officeDocument/2006/relationships/hyperlink" Target="https://www.sec.gov/ix?doc=/Archives/edgar/data/1162194/000119312526208967/lab-20260331.htm" TargetMode="External"/><Relationship Id="rId5" Type="http://schemas.openxmlformats.org/officeDocument/2006/relationships/hyperlink" Target="https://www.sec.gov/ix?doc=/Archives/edgar/data/0001162194/000119312526335103/lab-20260630.htm" TargetMode="External"/><Relationship Id="rId6" Type="http://schemas.openxmlformats.org/officeDocument/2006/relationships/hyperlink" Target="https://www.sec.gov/ix?doc=/Archives/edgar/data/1162194/000110465926008375/tm264472d1_8k.htm" TargetMode="External"/><Relationship Id="rId7" Type="http://schemas.openxmlformats.org/officeDocument/2006/relationships/hyperlink" Target="https://www.sec.gov/ix?doc=/Archives/edgar/data/1162194/000110465926010965/tm265294d1_8ka.htm" TargetMode="External"/><Relationship Id="rId8" Type="http://schemas.openxmlformats.org/officeDocument/2006/relationships/hyperlink" Target="https://www.sec.gov/ix?doc=/Archives/edgar/data/1162194/000119312526177290/lab-20250913.htm" TargetMode="External"/><Relationship Id="rId9" Type="http://schemas.openxmlformats.org/officeDocument/2006/relationships/hyperlink" Target="https://www.sec.gov/ix?doc=/Archives/edgar/data/1162194/000119312526245181/lab-20260521.htm" TargetMode="External"/><Relationship Id="rId10" Type="http://schemas.openxmlformats.org/officeDocument/2006/relationships/hyperlink" Target="https://www.sec.gov/ix?doc=/Archives/edgar/data/1162194/000119312526255403/lab-20260529.htm" TargetMode="External"/><Relationship Id="rId11" Type="http://schemas.openxmlformats.org/officeDocument/2006/relationships/hyperlink" Target="https://www.sec.gov/ix?doc=/Archives/edgar/data/1162194/000119312526259877/d309595d8k.htm" TargetMode="External"/><Relationship Id="rId12" Type="http://schemas.openxmlformats.org/officeDocument/2006/relationships/hyperlink" Target="https://www.sec.gov/ix?doc=/Archives/edgar/data/1162194/000110465926071195/tm2617100d1_8k.htm" TargetMode="External"/><Relationship Id="rId13" Type="http://schemas.openxmlformats.org/officeDocument/2006/relationships/hyperlink" Target="https://www.sec.gov/ix?doc=/Archives/edgar/data/1162194/000119312526275946/lab-20260617.htm" TargetMode="External"/><Relationship Id="rId14" Type="http://schemas.openxmlformats.org/officeDocument/2006/relationships/hyperlink" Target="https://www.sec.gov/ix?doc=/Archives/edgar/data/0001162194/000119312526316183/lab-20260722.htm" TargetMode="External"/><Relationship Id="rId15" Type="http://schemas.openxmlformats.org/officeDocument/2006/relationships/hyperlink" Target="https://www.sec.gov/ix?doc=/Archives/edgar/data/0001162194/000114036126029841/ef20078901_8k.htm" TargetMode="External"/><Relationship Id="rId16" Type="http://schemas.openxmlformats.org/officeDocument/2006/relationships/hyperlink" Target="https://www.sec.gov/ix?doc=/Archives/edgar/data/0001162194/000114036126029964/ef20078945_8ka.htm" TargetMode="External"/><Relationship Id="rId17" Type="http://schemas.openxmlformats.org/officeDocument/2006/relationships/hyperlink" Target="https://www.sec.gov/Archives/edgar/data/1162194/000095017025036608/lab-ex4_2.htm" TargetMode="External"/><Relationship Id="rId18" Type="http://schemas.openxmlformats.org/officeDocument/2006/relationships/hyperlink" Target="https://www.sec.gov/Archives/edgar/data/1162194/000119312522093794/d300506dex41.htm" TargetMode="External"/><Relationship Id="rId19" Type="http://schemas.openxmlformats.org/officeDocument/2006/relationships/hyperlink" Target="https://www.sec.gov/Archives/edgar/data/1162194/000119312522093794/d300506dex41.htm" TargetMode="External"/><Relationship Id="rId20" Type="http://schemas.openxmlformats.org/officeDocument/2006/relationships/hyperlink" Target="https://www.sec.gov/Archives/edgar/data/1162194/000119312522093794/d300506dex41.htm" TargetMode="External"/><Relationship Id="rId21" Type="http://schemas.openxmlformats.org/officeDocument/2006/relationships/hyperlink" Target="https://www.sec.gov/Archives/edgar/data/1162194/000119312522093794/d300506dex41.htm" TargetMode="External"/><Relationship Id="rId22" Type="http://schemas.openxmlformats.org/officeDocument/2006/relationships/hyperlink" Target="https://www.sec.gov/Archives/edgar/data/1162194/000119312522093794/d300506dex41.htm" TargetMode="External"/><Relationship Id="rId23" Type="http://schemas.openxmlformats.org/officeDocument/2006/relationships/hyperlink" Target="https://www.sec.gov/Archives/edgar/data/1162194/000119312511078412/dex31.htm" TargetMode="External"/><Relationship Id="rId24" Type="http://schemas.openxmlformats.org/officeDocument/2006/relationships/hyperlink" Target="https://www.sec.gov/Archives/edgar/data/1162194/000119312511078412/dex31.htm" TargetMode="External"/><Relationship Id="rId25" Type="http://schemas.openxmlformats.org/officeDocument/2006/relationships/hyperlink" Target="https://www.sec.gov/Archives/edgar/data/1162194/000119312511078412/dex31.htm" TargetMode="External"/><Relationship Id="rId26" Type="http://schemas.openxmlformats.org/officeDocument/2006/relationships/hyperlink" Target="https://www.sec.gov/Archives/edgar/data/1162194/000119312511078412/dex31.htm" TargetMode="External"/><Relationship Id="rId27" Type="http://schemas.openxmlformats.org/officeDocument/2006/relationships/hyperlink" Target="https://www.sec.gov/Archives/edgar/data/1162194/000119312511078412/dex31.htm" TargetMode="External"/><Relationship Id="rId28" Type="http://schemas.openxmlformats.org/officeDocument/2006/relationships/hyperlink" Target="https://www.sec.gov/Archives/edgar/data/1162194/000119312522093794/d300506dex43.htm" TargetMode="External"/><Relationship Id="rId29" Type="http://schemas.openxmlformats.org/officeDocument/2006/relationships/hyperlink" Target="https://www.sec.gov/Archives/edgar/data/1162194/000119312522093794/d300506dex43.htm" TargetMode="External"/><Relationship Id="rId30" Type="http://schemas.openxmlformats.org/officeDocument/2006/relationships/hyperlink" Target="https://www.sec.gov/Archives/edgar/data/1162194/000119312522093794/d300506dex43.htm" TargetMode="External"/><Relationship Id="rId31" Type="http://schemas.openxmlformats.org/officeDocument/2006/relationships/hyperlink" Target="https://www.sec.gov/Archives/edgar/data/1162194/000119312522093794/d300506dex43.htm" TargetMode="External"/><Relationship Id="rId32" Type="http://schemas.openxmlformats.org/officeDocument/2006/relationships/hyperlink" Target="https://www.sec.gov/Archives/edgar/data/1162194/000119312522093794/d300506dex43.htm" TargetMode="External"/><Relationship Id="rId33" Type="http://schemas.openxmlformats.org/officeDocument/2006/relationships/hyperlink" Target="https://www.sec.gov/Archives/edgar/data/1162194/000110465924001640/tm2333984d3_ex3-1.htm" TargetMode="External"/><Relationship Id="rId34" Type="http://schemas.openxmlformats.org/officeDocument/2006/relationships/hyperlink" Target="https://www.sec.gov/Archives/edgar/data/1162194/000110465924001640/tm2333984d3_ex3-1.htm" TargetMode="External"/><Relationship Id="rId35" Type="http://schemas.openxmlformats.org/officeDocument/2006/relationships/hyperlink" Target="https://www.sec.gov/Archives/edgar/data/1162194/000110465924001640/tm2333984d3_ex3-1.htm" TargetMode="External"/><Relationship Id="rId36" Type="http://schemas.openxmlformats.org/officeDocument/2006/relationships/hyperlink" Target="https://www.sec.gov/Archives/edgar/data/1162194/000110465924001640/tm2333984d3_ex3-1.htm" TargetMode="External"/><Relationship Id="rId37" Type="http://schemas.openxmlformats.org/officeDocument/2006/relationships/hyperlink" Target="https://www.sec.gov/Archives/edgar/data/1162194/000110465924001640/tm2333984d3_ex3-1.htm" TargetMode="External"/><Relationship Id="rId38" Type="http://schemas.openxmlformats.org/officeDocument/2006/relationships/hyperlink" Target="https://www.sec.gov/Archives/edgar/data/1162194/000119312522093794/d300506dex48.htm" TargetMode="External"/><Relationship Id="rId39" Type="http://schemas.openxmlformats.org/officeDocument/2006/relationships/hyperlink" Target="https://www.sec.gov/Archives/edgar/data/1162194/000119312522093794/d300506dex48.htm" TargetMode="External"/><Relationship Id="rId40" Type="http://schemas.openxmlformats.org/officeDocument/2006/relationships/hyperlink" Target="https://www.sec.gov/Archives/edgar/data/1162194/000119312522093794/d300506dex48.htm" TargetMode="External"/><Relationship Id="rId41" Type="http://schemas.openxmlformats.org/officeDocument/2006/relationships/hyperlink" Target="https://www.sec.gov/Archives/edgar/data/1162194/000119312522093794/d300506dex48.htm" TargetMode="External"/><Relationship Id="rId42" Type="http://schemas.openxmlformats.org/officeDocument/2006/relationships/hyperlink" Target="https://www.sec.gov/Archives/edgar/data/1162194/000119312522093794/d300506dex48.htm" TargetMode="External"/><Relationship Id="rId43" Type="http://schemas.openxmlformats.org/officeDocument/2006/relationships/hyperlink" Target="https://www.sec.gov/Archives/edgar/data/1162194/000119312526275946/lab-ex10_1.htm" TargetMode="External"/><Relationship Id="rId44" Type="http://schemas.openxmlformats.org/officeDocument/2006/relationships/hyperlink" Target="https://www.sec.gov/Archives/edgar/data/1162194/000119312526275946/lab-ex10_1.htm" TargetMode="External"/><Relationship Id="rId45" Type="http://schemas.openxmlformats.org/officeDocument/2006/relationships/hyperlink" Target="https://www.sec.gov/Archives/edgar/data/1162194/000119312526275946/lab-ex10_1.htm" TargetMode="External"/><Relationship Id="rId46" Type="http://schemas.openxmlformats.org/officeDocument/2006/relationships/hyperlink" Target="https://www.sec.gov/Archives/edgar/data/1162194/000119312526275946/lab-ex10_1.htm" TargetMode="External"/><Relationship Id="rId47" Type="http://schemas.openxmlformats.org/officeDocument/2006/relationships/hyperlink" Target="https://www.sec.gov/Archives/edgar/data/1162194/000119312526275946/lab-ex10_1.htm" TargetMode="External"/><Relationship Id="rId48" Type="http://schemas.openxmlformats.org/officeDocument/2006/relationships/image" Target="media/image1.jpeg"/><Relationship Id="rId49" Type="http://schemas.openxmlformats.org/officeDocument/2006/relationships/image" Target="media/image2.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4188</Words>
  <Characters>22262</Characters>
  <CharactersWithSpaces>26531</CharactersWithSpaces>
  <Paragraphs>593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