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Mackay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MILK STREET,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48"/>
        <w:gridCol w:w="1264"/>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25,729</w:t>
            </w:r>
            <w:r>
              <w:rPr>
                <w:rFonts w:ascii="Times;serif" w:hAnsi="Times;serif"/>
                <w:color w:val="008000"/>
                <w:position w:val="7"/>
                <w:sz w:val="16"/>
                <w:sz w:val="20"/>
                <w:shd w:fill="FFFFFF" w:val="clear"/>
              </w:rPr>
              <w:t>(1)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0.672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1,480,823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("RSUs") granted to the reporting person on May 20, 2024, March 21, 2025 and March 20, 2026, which grants were originally reported on Form 3 and Form 4s filed with the U.S. Securities and Exchange Commission on September 3, 2024, March 24, 2025 and April 8,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Mackay by Tomone Tanaka,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5501"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3458</Characters>
  <CharactersWithSpaces>4033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