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060" w:space="720"/>
            <w:col w:w="4660" w:space="720"/>
            <w:col w:w="2220" w:space="720"/>
            <w:col w:w="28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060" w:space="720"/>
            <w:col w:w="160" w:space="80"/>
            <w:col w:w="4420" w:space="720"/>
            <w:col w:w="2220" w:space="720"/>
            <w:col w:w="280"/>
          </w:cols>
          <w:pgMar w:left="240" w:top="233" w:right="279" w:bottom="1440" w:gutter="0" w:footer="0" w:header="0"/>
          <w:type w:val="continuous"/>
        </w:sectPr>
      </w:pPr>
    </w:p>
    <w:p>
      <w:pPr>
        <w:ind w:right="212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29, 2016, there were 29,036,525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7"/>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5860" w:type="dxa"/>
            <w:vAlign w:val="bottom"/>
            <w:gridSpan w:val="14"/>
          </w:tcPr>
          <w:p>
            <w:pPr>
              <w:spacing w:after="0"/>
              <w:rPr>
                <w:sz w:val="20"/>
                <w:szCs w:val="20"/>
                <w:color w:val="auto"/>
              </w:rPr>
            </w:pPr>
            <w:r>
              <w:rPr>
                <w:rFonts w:ascii="Arial" w:cs="Arial" w:eastAsia="Arial" w:hAnsi="Arial"/>
                <w:sz w:val="18"/>
                <w:szCs w:val="18"/>
                <w:color w:val="0000FF"/>
                <w:w w:val="88"/>
              </w:rPr>
              <w:t>Condensed Consolidated Balance Sheets - June 30, 2016 and December 31, 2015</w:t>
            </w:r>
          </w:p>
        </w:tc>
        <w:tc>
          <w:tcPr>
            <w:tcW w:w="272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9"/>
          </w:tcPr>
          <w:p>
            <w:pPr>
              <w:spacing w:after="0"/>
              <w:rPr>
                <w:sz w:val="20"/>
                <w:szCs w:val="20"/>
                <w:color w:val="auto"/>
              </w:rPr>
            </w:pPr>
            <w:r>
              <w:rPr>
                <w:rFonts w:ascii="Arial" w:cs="Arial" w:eastAsia="Arial" w:hAnsi="Arial"/>
                <w:sz w:val="18"/>
                <w:szCs w:val="18"/>
                <w:color w:val="0000FF"/>
                <w:w w:val="96"/>
              </w:rPr>
              <w:t>Condensed Consolidated Statement of Operations for the three and six months ended June 30, 2016 and 2015</w:t>
            </w: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9"/>
          </w:tcPr>
          <w:p>
            <w:pPr>
              <w:spacing w:after="0"/>
              <w:rPr>
                <w:sz w:val="20"/>
                <w:szCs w:val="20"/>
                <w:color w:val="auto"/>
              </w:rPr>
            </w:pPr>
            <w:r>
              <w:rPr>
                <w:rFonts w:ascii="Arial" w:cs="Arial" w:eastAsia="Arial" w:hAnsi="Arial"/>
                <w:sz w:val="18"/>
                <w:szCs w:val="18"/>
                <w:color w:val="0000FF"/>
                <w:w w:val="92"/>
              </w:rPr>
              <w:t>Condensed Consolidated Statements of Comprehensive Loss for the three and six months ended June 30, 2016 and</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4"/>
              </w:rPr>
              <w:t>2015</w:t>
            </w:r>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300" w:type="dxa"/>
            <w:vAlign w:val="bottom"/>
            <w:gridSpan w:val="16"/>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2016 and 2015</w:t>
            </w:r>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10"/>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3300" w:type="dxa"/>
            <w:vAlign w:val="bottom"/>
            <w:gridSpan w:val="6"/>
          </w:tcPr>
          <w:p>
            <w:pPr>
              <w:spacing w:after="0"/>
              <w:rPr>
                <w:sz w:val="24"/>
                <w:szCs w:val="24"/>
                <w:color w:val="auto"/>
              </w:rPr>
            </w:pPr>
          </w:p>
        </w:tc>
        <w:tc>
          <w:tcPr>
            <w:tcW w:w="12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1"/>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sz w:val="20"/>
                <w:szCs w:val="20"/>
                <w:color w:val="auto"/>
              </w:rPr>
            </w:pPr>
            <w:r>
              <w:rPr>
                <w:rFonts w:ascii="Arial" w:cs="Arial" w:eastAsia="Arial" w:hAnsi="Arial"/>
                <w:sz w:val="18"/>
                <w:szCs w:val="18"/>
                <w:color w:val="0000FF"/>
                <w:w w:val="91"/>
              </w:rPr>
              <w:t>Other Information</w:t>
            </w: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SIGNATURES</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EXHIBIT LIST</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i w:val="1"/>
          <w:iCs w:val="1"/>
          <w:color w:val="auto"/>
        </w:rPr>
        <w:t>(Unaudited)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5"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7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50,512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65,855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of $508 at June 30, 2016 and $103 at December 31, 2015)</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25,457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17,924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127,044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144,095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16,816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15,258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85,445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91,048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342,034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370,050</w:t>
            </w:r>
          </w:p>
        </w:tc>
      </w:tr>
      <w:tr>
        <w:trPr>
          <w:trHeight w:val="67"/>
        </w:trPr>
        <w:tc>
          <w:tcPr>
            <w:tcW w:w="76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3,553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9,028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9,419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194,811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194,673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257,770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255,149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2016 and December 31, 2015</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$0.001 par value, 200,000 shares authorized at June 30, 2016 and December 31,</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4"/>
              </w:rPr>
              <w:t>2015; 29,037 and 28,844 shares issued and outstanding as of June 30, 2016 and December 31,</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2015, respectively</w:t>
            </w:r>
          </w:p>
        </w:tc>
        <w:tc>
          <w:tcPr>
            <w:tcW w:w="38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479,508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114,901</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342,034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370,050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24,733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25,654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50,103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49,648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License and grant revenue</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55,347</w:t>
            </w:r>
          </w:p>
        </w:tc>
        <w:tc>
          <w:tcPr>
            <w:tcW w:w="0" w:type="dxa"/>
            <w:vAlign w:val="bottom"/>
          </w:tcPr>
          <w:p>
            <w:pPr>
              <w:spacing w:after="0"/>
              <w:rPr>
                <w:sz w:val="1"/>
                <w:szCs w:val="1"/>
                <w:color w:val="auto"/>
              </w:rPr>
            </w:pPr>
          </w:p>
        </w:tc>
      </w:tr>
      <w:tr>
        <w:trPr>
          <w:trHeight w:val="223"/>
        </w:trPr>
        <w:tc>
          <w:tcPr>
            <w:tcW w:w="57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21,049</w:t>
            </w: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20,080</w:t>
            </w: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49,320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41,316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84,007</w:t>
            </w:r>
          </w:p>
        </w:tc>
        <w:tc>
          <w:tcPr>
            <w:tcW w:w="0" w:type="dxa"/>
            <w:vAlign w:val="bottom"/>
          </w:tcPr>
          <w:p>
            <w:pPr>
              <w:spacing w:after="0"/>
              <w:rPr>
                <w:sz w:val="1"/>
                <w:szCs w:val="1"/>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(32,076)</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67"/>
        </w:trPr>
        <w:tc>
          <w:tcPr>
            <w:tcW w:w="5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28,636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240" w:top="125" w:right="7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(38,501)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(31,167)</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2,779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5,600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non-cash items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1,285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(15,146)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(17,629)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(34,559)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(33,731)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56,387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39,376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21,496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 net of taxes paid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5,128</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33,713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35,898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Our customers include those both in research and applied markets. Research customers are predominantly academic institutions, while our applied customers include clinical laboratories, biopharmaceutical, agricultural biotechnology (Ag-Bio) companies, and contract research organizations.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2015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six months ended June 30, 2016 are not necessarily indicative of the results to be expected for the year ending December 31, 2016 or for any other interim period or for any other future year. All intercompany accounts and transactions have been eliminated upon consolidation.</w:t>
      </w:r>
    </w:p>
    <w:p>
      <w:pPr>
        <w:spacing w:after="0" w:line="12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2015 included in our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75" w:lineRule="exact"/>
        <w:rPr>
          <w:sz w:val="20"/>
          <w:szCs w:val="20"/>
          <w:color w:val="auto"/>
        </w:rPr>
      </w:pPr>
    </w:p>
    <w:p>
      <w:pPr>
        <w:ind w:right="220" w:firstLine="432"/>
        <w:spacing w:after="0" w:line="258" w:lineRule="auto"/>
        <w:rPr>
          <w:sz w:val="20"/>
          <w:szCs w:val="20"/>
          <w:color w:val="auto"/>
        </w:rPr>
      </w:pPr>
      <w:r>
        <w:rPr>
          <w:rFonts w:ascii="Arial" w:cs="Arial" w:eastAsia="Arial" w:hAnsi="Arial"/>
          <w:sz w:val="18"/>
          <w:szCs w:val="18"/>
          <w:color w:val="auto"/>
        </w:rPr>
        <w:t>Prior period amounts, which do not affect total revenue, total costs and expenses, loss from operations or net loss, were reclassified to conform to the current period presentation as follows:</w:t>
      </w:r>
    </w:p>
    <w:p>
      <w:pPr>
        <w:spacing w:after="0" w:line="1" w:lineRule="exact"/>
        <w:rPr>
          <w:sz w:val="20"/>
          <w:szCs w:val="20"/>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unamortized debt issuance costs of $1.0 million as of December 31, 2015 from other non-current assets to a reduction of Convertible Notes, net on the condensed consolidated balance sheets;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service revenue and cost of service revenue are excluded from total product revenue and total cost of product revenue, as previously reported;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by geography includes license and grant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by geography generated in Japan is included in revenue generated in Asia-Pacific.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they would have been anti-dilutive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6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58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8,433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six months ended June 30, 2016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 (Loss)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56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Other Comprehensive</w:t>
            </w: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on Securities</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Translation Adjustment</w:t>
            </w:r>
          </w:p>
        </w:tc>
        <w:tc>
          <w:tcPr>
            <w:tcW w:w="140" w:type="dxa"/>
            <w:vAlign w:val="bottom"/>
          </w:tcPr>
          <w:p>
            <w:pPr>
              <w:spacing w:after="0"/>
              <w:rPr>
                <w:sz w:val="16"/>
                <w:szCs w:val="16"/>
                <w:color w:val="auto"/>
              </w:rPr>
            </w:pPr>
          </w:p>
        </w:tc>
        <w:tc>
          <w:tcPr>
            <w:tcW w:w="1560" w:type="dxa"/>
            <w:vAlign w:val="bottom"/>
          </w:tcPr>
          <w:p>
            <w:pPr>
              <w:jc w:val="right"/>
              <w:ind w:right="615"/>
              <w:spacing w:after="0"/>
              <w:rPr>
                <w:sz w:val="20"/>
                <w:szCs w:val="20"/>
                <w:color w:val="auto"/>
              </w:rPr>
            </w:pPr>
            <w:r>
              <w:rPr>
                <w:rFonts w:ascii="Arial" w:cs="Arial" w:eastAsia="Arial" w:hAnsi="Arial"/>
                <w:sz w:val="14"/>
                <w:szCs w:val="14"/>
                <w:b w:val="1"/>
                <w:bCs w:val="1"/>
                <w:color w:val="auto"/>
              </w:rPr>
              <w:t>Loss</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259</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17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the third quarter of 2014, we received cash proceeds of $0.3 million from the escrow account related to the acquisition. We recorded these amounts as "Gain from sale of investment in Verinata" in the consolidated statements of operations for the year ended December 31, 2014. The final milestones related to the sale of Verinata to Illumina were met in December 2015 and, accordingly, we recorded our share of these milestone payment obligations in the amount of $2.3 million in Gain from sale of investment in Verinata in the consolidated statement of operations for the year ended December 31, 2015. In January 2016, we received the payment of $2.3 million and it was recorded in net cash provided by investing activities in the condensed consolidated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Goodwill and intangible assets with indefinite lives are not subject to amortization, but are tested for impairment on an annual basis during the fourth quarter or whenever events or changes in circumstances indicate the carrying amount of these</w:t>
      </w:r>
    </w:p>
    <w:p>
      <w:pPr>
        <w:sectPr>
          <w:pgSz w:w="11900" w:h="16838" w:orient="portrait"/>
          <w:cols w:equalWidth="0" w:num="1">
            <w:col w:w="11400"/>
          </w:cols>
          <w:pgMar w:left="240" w:top="125" w:right="2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9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exception of those discussed below, there have not been any recent changes in accounting pronouncements and Accounting Standards Update (ASU) and Accounting Standards Codifications (ASC) issued by the Financial Accounting Standards Board (FASB) during the six months ended June 30, 2016 that are of significance or potential significance to us.</w:t>
      </w:r>
    </w:p>
    <w:p>
      <w:pPr>
        <w:spacing w:after="0" w:line="2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FASB issued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May 2016, the FASB issued ASU 2016-12, which provided narrow scope improvements and practical expedients related to FASB ASU 2014-09, Revenue from Contracts with Customers. The improvements address completed contracts and contract modifications at transition, noncash consideration, the presentation of sales taxes and other taxes collected from customers, and assessment of collectibility when determining whether a transaction represents a valid contract. On July 7, 2015, the FASB amended ASU 2014-09 to defer the effective date by one year with early adoption permitted as of the original effective date. ASU 2014-09 and ASU 2016-12 will be effective for our fiscal year beginning January 1, 2018 unless we elect the earlier date of January 1, 2017. We are currently evaluating the accounting, transition, and disclosure requirements of these standards. We cannot currently estimate the financial statement impact of adoption.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In April 2015, the FASB issued ASU-2015-03,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We applied this guidance in ASU 2015-03 in our financial statements commencing in the first quarter of 2016.</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and net realizable value. ASU 2015-11 defines net realizable value as estimated selling prices in the ordinary course of business, less reasonably predictable costs of completion, disposal, and transportation. ASU 2015-11 will be effective for our fiscal year beginning January 1, 2017. We are currently evaluating the accounting and disclosure requirements of the standard and cannot currently estimate the financial statement impact of adoption.</w:t>
      </w:r>
    </w:p>
    <w:p>
      <w:pPr>
        <w:spacing w:after="0" w:line="5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November 2015, the FASB issued ASU 2015-17 ASC 740, Income Taxes, Balance Sheet Classification of Deferred Taxes, effective for annual periods beginning after December 15, 2016. The amendments in this update require that in a classified statement of financial position, an entity shall classify deferred tax liabilities and assets as non-current, and an entity shall not offset deferred tax liabilities and assets attributable to different tax-paying components of the entity or to different tax jurisdictions. We currently are evaluating the adoption of the provisions of ASU 2015-17 and cannot currently estimate the financial statement impact of adoption.</w:t>
      </w:r>
    </w:p>
    <w:p>
      <w:pPr>
        <w:spacing w:after="0" w:line="5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February 2016, the FASB issued ASU 2016-02 Leases, requiring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 model but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In March 2016, the FASB issued ASU 2016-09, which simplifies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employee taxes paid when an employer withholds shares for tax-withholding purposes. ASU 2016-09 will be effective for our fiscal year beginning January 1, 2017. We are currently evaluating the accounting and disclosure requirements of the standard and cannot currently estimate the financial statement impact of adoption.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In February 2014, we received $195.2 million, net of underwriting discounts, from the issuance of the Notes and incurred approximately $1.1 million in offering-related expenses. The underwriting discount of $6.0 million was recorded as an offset to the proceeds. The balance of unamortized debt discount and debt issuance costs of $6.5 million was included in convertible notes, net as of June 30, 2016 on the accompanying condensed consolidated balance sheet.</w:t>
      </w:r>
    </w:p>
    <w:p>
      <w:pPr>
        <w:spacing w:after="0" w:line="3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Sciences, Inc. (now Fluidigm Sciences Inc.) (See Note 4). Interest expense related to the Notes was approximately $1.5 million and $2.9 million for the three and six months ended June 30, 2016, respectively. Interest expense related to the Notes was $1.5 million and $2.9 million for the three and six months ended June 30, 2015, respectively. Approximately $2.8 million of accrued interest under the Notes became due and was paid during the six months ended June 30,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measurement period for the acquisition ended on February 12, 2015. The final aggregate purchase price was determined to be $199.9 million, as detailed in the table below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Purchase Consideration</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Issued 1,759,007 shares of Fluidigm common stock</w:t>
            </w:r>
            <w:r>
              <w:rPr>
                <w:rFonts w:ascii="Arial" w:cs="Arial" w:eastAsia="Arial" w:hAnsi="Arial"/>
                <w:sz w:val="12"/>
                <w:szCs w:val="12"/>
                <w:color w:val="auto"/>
              </w:rPr>
              <w:t>(2)</w:t>
            </w:r>
          </w:p>
        </w:tc>
        <w:tc>
          <w:tcPr>
            <w:tcW w:w="20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consideration paid at Acquisition Date</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2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Aggregate purchase price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part of the acquisition, we accelerated vesting of certain DVS stock options and shares of restricted stock, and incurred a $6.7 million expense, based upon the per share consideration paid to holders of shares of DVS common stock as of February 13, 2014.</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40"/>
        <w:spacing w:after="0" w:line="292" w:lineRule="auto"/>
        <w:rPr>
          <w:rFonts w:ascii="Arial" w:cs="Arial" w:eastAsia="Arial" w:hAnsi="Arial"/>
          <w:sz w:val="18"/>
          <w:szCs w:val="18"/>
          <w:color w:val="auto"/>
        </w:rPr>
      </w:pPr>
      <w:r>
        <w:rPr>
          <w:rFonts w:ascii="Arial" w:cs="Arial" w:eastAsia="Arial" w:hAnsi="Arial"/>
          <w:sz w:val="16"/>
          <w:szCs w:val="16"/>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was recognized over the awards’ remaining vesting periods subsequent to the acquisition. The fair value of the Fluidigm equivalent share-based awards as of the Acquisition Date was estimated using the Black-Scholes valuation model.</w:t>
      </w:r>
    </w:p>
    <w:p>
      <w:pPr>
        <w:spacing w:after="0" w:line="5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Approximately 885,000 shares of Fluidigm common stock, with a fair value of $38.6 million, representing 50.3030% of the shares otherwise payable to the former stockholders of DVS, were deposited into escrow (Escrowed Shares). The Escrowed Shares comprised a portion of the merger consideration and were being held in escrow to secure indemnification obligations under the merger agreement. Under the terms of the merger agreement, fifty percent (50.0%) of the aggregate shares subject to the indemnification escrow were eligible for release on March 13, 2015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or 170,107 shares, to us, which were canceled and returned to the status of authorized and unissued shares. Additionally, the parties agreed to, among other things, release various claims and waive certain rights with respect to the merger agreement. On the settlement date, the 170,107 shares had a value of approximately $4.0 million, which was recorded as gain on escrow settlement during the quarter ended September 30,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4"/>
              </w:rPr>
              <w:t>Allocation of purchase price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8,405</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7,698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3,489</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1,482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112,000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104,108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238,472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(1,114)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(1,204)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(31,942)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(1,629)</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199,933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20" w:type="dxa"/>
            <w:vAlign w:val="bottom"/>
            <w:gridSpan w:val="14"/>
          </w:tcPr>
          <w:p>
            <w:pPr>
              <w:jc w:val="right"/>
              <w:ind w:right="322"/>
              <w:spacing w:after="0"/>
              <w:rPr>
                <w:sz w:val="20"/>
                <w:szCs w:val="20"/>
                <w:color w:val="auto"/>
              </w:rPr>
            </w:pPr>
            <w:r>
              <w:rPr>
                <w:rFonts w:ascii="Arial" w:cs="Arial" w:eastAsia="Arial" w:hAnsi="Arial"/>
                <w:sz w:val="18"/>
                <w:szCs w:val="18"/>
                <w:color w:val="auto"/>
                <w:w w:val="94"/>
              </w:rPr>
              <w:t>The following table provides details of intangible assets acquired in connection with the DVS acquisition as of June 30, 2016 (in thousands, except</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years: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0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24"/>
                <w:szCs w:val="24"/>
                <w:color w:val="auto"/>
              </w:rPr>
            </w:pPr>
          </w:p>
        </w:tc>
        <w:tc>
          <w:tcPr>
            <w:tcW w:w="10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63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85,400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recognized $2.8 million and $5.6 million in intangible assets amortization expense during the three and six months ended June 30, 2016, respectively, and $2.8 million and $5.6 million during the three and six months ended June 30, 2015, respectively. Intangible asset amortization expense is recorded in cost of product revenue.</w:t>
      </w:r>
    </w:p>
    <w:p>
      <w:pPr>
        <w:spacing w:after="0" w:line="18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$104.1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deductible for income tax purposes. There were no changes in goodwill between December 31, 2015 and June 30, 2016.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233"/>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18,180</w:t>
            </w: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78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23,110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(21,893)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(19,618)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16,816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15,258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4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total intangible assets, which include developed technology, net as a result of the DVS acquisition and other intangible assets included in other non-current assets, was $92.7 million as of June 30, 2016. The estimated future amortization expense of intangible assets as of June 30, 2016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7"/>
        </w:trPr>
        <w:tc>
          <w:tcPr>
            <w:tcW w:w="10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(remainder of the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12,391</w:t>
            </w:r>
          </w:p>
        </w:tc>
      </w:tr>
      <w:tr>
        <w:trPr>
          <w:trHeight w:val="27"/>
        </w:trPr>
        <w:tc>
          <w:tcPr>
            <w:tcW w:w="10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12,235</w:t>
            </w:r>
          </w:p>
        </w:tc>
      </w:tr>
      <w:tr>
        <w:trPr>
          <w:trHeight w:val="27"/>
        </w:trPr>
        <w:tc>
          <w:tcPr>
            <w:tcW w:w="10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37,310</w:t>
            </w:r>
          </w:p>
        </w:tc>
      </w:tr>
      <w:tr>
        <w:trPr>
          <w:trHeight w:val="27"/>
        </w:trPr>
        <w:tc>
          <w:tcPr>
            <w:tcW w:w="10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92,699</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a basis for determining fair value for our financial instruments, we follow a three-tier value hierarchy, which prioritizes the inputs used in measuring fair value as follows: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2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Level I financial instruments include money market funds because they are valued using quoted market prices. Our Level II financial instruments include U.S. government and agency securities because their value is based on valuations using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72,348</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59,261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70,768</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72,348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83,576</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were no transfers in and out of Level I and Level II fair value measurement categories during the six months ended June 30, 2016 and 2015, and there were no changes in the valuation techniques used.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Gain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4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 - cash equivalents</w:t>
            </w:r>
          </w:p>
        </w:tc>
        <w:tc>
          <w:tcPr>
            <w:tcW w:w="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8,748</w:t>
            </w:r>
          </w:p>
        </w:tc>
        <w:tc>
          <w:tcPr>
            <w:tcW w:w="120" w:type="dxa"/>
            <w:vAlign w:val="bottom"/>
            <w:shd w:val="clear" w:color="auto" w:fill="CCEEFF"/>
          </w:tcPr>
          <w:p>
            <w:pPr>
              <w:spacing w:after="0"/>
              <w:rPr>
                <w:sz w:val="21"/>
                <w:szCs w:val="21"/>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U.S. government and agency securities - short-term investments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8"/>
                <w:szCs w:val="18"/>
                <w:color w:val="auto"/>
              </w:rPr>
              <w:t>50,481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restart"/>
          </w:tcPr>
          <w:p>
            <w:pPr>
              <w:jc w:val="right"/>
              <w:ind w:right="4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8"/>
                <w:szCs w:val="18"/>
                <w:color w:val="auto"/>
              </w:rPr>
              <w:t>50,512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59,229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59,261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Gain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 - short-term investments</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72,348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contractual maturity dates of $8.7 million of the U.S. government and agency securities are within 90 days from June 30, 2016. The contractual maturity dates of $50.5 million of our investments are within one year from June 30, 2016.</w:t>
      </w:r>
    </w:p>
    <w:p>
      <w:pPr>
        <w:spacing w:after="0" w:line="35"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We hold available-for-sale securities. Based on an evaluation of securities that were in a loss position, we did not recognize any other-than-temporary impairment charges for the six months ended June 30, 2016 and 2015. None of these securities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00"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The estimated fair value of the Notes is based on a market approach. The estimated fair value was approximately $114.7 million (par value $201.3 million) as of June 30, 2016 and represents a Level II valuation. 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6"/>
                <w:szCs w:val="16"/>
                <w:color w:val="auto"/>
              </w:rPr>
            </w:pPr>
          </w:p>
        </w:tc>
        <w:tc>
          <w:tcPr>
            <w:tcW w:w="154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17,889</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11,228</w:t>
            </w: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35,898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29,117</w:t>
            </w:r>
          </w:p>
        </w:tc>
      </w:tr>
      <w:tr>
        <w:trPr>
          <w:trHeight w:val="27"/>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entered into various long-term non-cancelable operating leases for equipment and facilities.</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April 9, 2013, we entered into an amendment (the April 2013 Amendment) to the lease agreement dated September 14, 2010 (as amended, the Headquarters Lease) relating to the lease of office and laboratory space at our corporate headquarters located in South San Francisco, California. The April 2013 Amendment provided for an expansion of the premises covered under the Headquarters Lease, effective April 1, 2014; an extension of the term to April 30, 2020 with an option to renew for an additional five years; payment of base rent with rent escalation; and payment of certain operating expenses during the term of the Headquarters Lease. The April 2013 Amendment also provided for an allowance of approximately $0.7 million for tenant improvements, of which we used $0.5 million and the remaining $0.2 million was used to offset base rent obligations in the quarter ended September 30, 2015. An additional allowance of approximately $0.5 million for tenant improvements, which, if used, will be repaid in equal monthly payments with interest at a rate of 9% per annum over the remaining term of the Headquarters Lease. The total future minimum lease payments for the additional space, which will be paid through April 2020, are approximately $6.0 million as of June 30, 2016.</w:t>
      </w:r>
    </w:p>
    <w:p>
      <w:pPr>
        <w:spacing w:after="0" w:line="12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Headquarters Lease (the June 2014 Amendment), which provided for an expansion of the premises covered under the Headquarters Lease by approximately 13,000 square feet, effective October 1, 2014; payment of base rent with rent escalation; and payment of certain operating expenses during the term of the Headquarters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Headquarters Lease. The total future minimum lease payments for the additional space, which will be paid through April 2020, are approximately $1.8 million as of June 30, 2016.</w:t>
      </w:r>
    </w:p>
    <w:p>
      <w:pPr>
        <w:spacing w:after="0" w:line="1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Headquarters Lease (the September 2014 Amendment), which provided for an expansion of the premises covered under the Headquarters Lease by approximately 9,000 square feet, effective October 1, 2014; payment of base rent with rent escalation; and payment of certain operating expenses during the term of the Headquarters Lease. The September 2014 Amendment also provided for an allowance of approximately $0.2 million for tenant improvements. The total future minimum lease payments for the additional space, which will be paid through April 2020, are approximately $1.2 million as of June 30, 2016.</w:t>
      </w:r>
    </w:p>
    <w:p>
      <w:pPr>
        <w:spacing w:after="0" w:line="13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December 8, 2015, we entered into an additional amendment to the Headquarters Lease (the December 2015 Amendment), which provides for an expansion of the premises covered under the Headquarters Lease by approximately 24,039 square feet, with a commencement date of April 1, 2016, payment of base rent with rent escalation, and an increase in our share of certain operating expenses during the term of the Headquarters Lease. The December 2015 Amendment also provided for an allowance of up to approximately $0.4 million for tenant improvements. The total future minimum lease payments for the additional space, which will be paid through April 2020, are approximately $3.7 million as of June 30, 2016.</w:t>
      </w:r>
    </w:p>
    <w:p>
      <w:pPr>
        <w:spacing w:after="0" w:line="11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October 14, 2013, Fluidigm Singapore Pte. Ltd., our wholly-owned subsidiary (Fluidigm Singapore) accepted an offer of tenancy (the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on March 3, 2014 for a term of 99 months, and the Singapore Lease and rental obligations thereunder commenced on June 3, 2014. The Singapore Lease also provides Fluidigm Singapore with an option to renew for an additional 60 months at the then prevailing market rent, and on similar terms as the existing Singapore Lease. In June 2014, Fluidigm Singapore leased additional space of approximately 2,400 square feet in the same building as the new facility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the same terms as the Singapore Lease (the June 2014 Amendment). We completed the consolidation of our Singapore manufacturing operations in the new space in July 2014, and the site qualification was completed in August 2014. In April 2015, Fluidigm Singapore leased additional space of approximately 10,000 square feet in the same building on the same terms as the Singapore Lease (the April 2015 Amendment), and terminated the June 2014 Singapore Amendment as of June 30, 2015. The total future minimum lease payments for the facility, which will be paid through June 2022, are approximately $3.9 million as of June 30, 2016.</w:t>
      </w:r>
    </w:p>
    <w:p>
      <w:pPr>
        <w:spacing w:after="0" w:line="5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August 18, 2015, we, Fluidigm Canada Inc., our wholly-owned subsidiary (Fluidigm Canada), and Rodick Equities, Inc. entered into a lease dated as of August 17, 2015 (the New Canada Lease), relating to the lease of approximately 41,145 square feet of office, laboratory, and warehouse space at a facility in Markham, Ontario, Canada. Pursuant to the terms of the New Canada Lease, Fluidigm Canada was in possession of the new space commencing on or about August 27, 2015, and rental obligations thereunder commenced on April 1, 2016 for a term of 10 years. The New Canada Lease provides for an allowance for tenant improvements, an option to renew the Lease for an additional five years, and a right of first offer on certain additional space in the Building.</w:t>
      </w:r>
    </w:p>
    <w:p>
      <w:pPr>
        <w:spacing w:after="0" w:line="139"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color w:val="auto"/>
        </w:rPr>
        <w:t>In connection with our acquisition of DVS, we acquired the operating leases for facilities in Sunnyvale, California and Markham, Ontario, Canada. (See Note 4 to our condensed consolidated financial statements for additional information). The Sunnyvale lease will terminate in July 2016. The Markham lease terminated on April 30, 2016. The total future minimum payments under the Sunnyvale lease are approximately $65,000 as of June 30, 2016.</w:t>
      </w:r>
    </w:p>
    <w:p>
      <w:pPr>
        <w:spacing w:after="0" w:line="9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March 2016, the Company and ARE-NC Region No. 5, LLC, a Delaware limited liability company, entered into a lease (the North Carolina Lease), relating to the lease of approximately 12,824 square feet of office, laboratory, and manufacturing space at a facility in Durham, North Carolina. Pursuant to the terms of the North Carolina Lease, we took possession of the facility commencing in March 2016, and rental obligations thereunder will commence in September 2016, for a term of 60 months from October 1, 2016. The North Carolina Lease provides for an allowance for tenant improvements, an option for an additional tenant improvement allowance with additional rent payments above the minimum lease payments, and two options to renew the Lease for an additional three years each. The total future minimum lease payments for the facility, which will be paid through September 30, 2021, are approximately $1.4 million as of June 30, 2016.</w:t>
      </w:r>
    </w:p>
    <w:p>
      <w:pPr>
        <w:spacing w:after="0" w:line="2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We do not expect the license payments to be material in any particular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six months ended June 30, 2016 and 2015, which is included in other accrued liabilities, is summarized below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Warranty charges, net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5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r>
      <w:tr>
        <w:trPr>
          <w:trHeight w:val="20"/>
        </w:trPr>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action or proceeding. We have not incurred material costs to defend lawsuits or settle claims related to these indemnification provisions. As of June 30, 2016, we had no accrued liabilities for these indemnification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three and six months ended June 30, 2016, we granted certain employees options to purchase 80,097 and 415,689 shares of common stock, respectively. The options granted during the three months ended June 30, 2016 had exercise prices ranging from $8.98 to $10.49 and a total grant date fair value of $0.8 million. The options granted during the six months ended June 30, 2016 had exercise prices ranging from $5.78 to $10.49 and a total grant date fair value of $3.1 million.</w:t>
      </w:r>
    </w:p>
    <w:p>
      <w:pPr>
        <w:spacing w:after="0" w:line="5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three and six months ended June 30, 2016, we granted certain employees 116,302 and 721,694 restricted stock units, respectively. The restricted stock units granted during the three months ended June 30, 2016 had fair market values ranging from $8.98 to $10.49 and a total grant date fair value of $1.1 million. The restricted stock units granted during the six months ended June 30, 2016 had fair markets values ranging from $5.70 to $10.49 and a total grant date fair value of $5.4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recognized stock-based compensation expense of $3.7 million and $4.6 million during the three months ended June 30, 2016 and 2015, respectively. We recognized stock-based compensation expense of $7.4 million and $8.7 million during the six months ended June 30, 2016 and 2015, respectively. As of June 30, 2016, we had $8.7 million and $18.0 million of unrecognized stock-based compensation expense related to stock options and restricted stock units, respectively, which are expected to be recognized over a weighted average period of 2.1 years and 2.7 years, respectively.</w:t>
      </w:r>
    </w:p>
    <w:p>
      <w:pPr>
        <w:spacing w:after="0" w:line="11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March 2016, we granted 184,050 and 73,620 performance-based stock options and performance-based restricted stock units (each, a “performance award”)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The performance awards granted during the six months ended June 30, 2016 had fair market values ranging from $3.02 to $7.10 per share and a total grant date fair value of $1.1 million. The Company recognizes stock-based compensation expense over the vesting period of the performance awards. We did not recognize any expense related to these performance awards for the three and six months ended June 30, 2016.</w:t>
      </w:r>
    </w:p>
    <w:p>
      <w:pPr>
        <w:spacing w:after="0" w:line="11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In conjunction with the DVS acquisition, we assumed all outstanding DVS stock options and unvested shares of restricted stock (See Note 4). As of June 30, 2016, we had $0.1 million of unrecognized stock-based compensation costs related to the assumed stock options, which are expected to be recognized over a remaining weighted average period of 1.0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 provision or benefit for income taxes for the periods presented differs from the 34% U.S. Federal statutory rate primarily due to maintaining a valuation allowance for U.S. losses and tax assets, which we do not consider to be realizable. We recorded a tax benefit of $1.0 million and $1.8 million for the three and six months ended June 30, 2016, respectively, which was primarily attributable to the amortization of our acquisition related deferred tax liability, partially offset by tax provision and discrete items from our foreign operations. We recorded a tax benefit of $0.3 million and $0.9 million for the three and six months ended June 30, 2015, respectively, which was primarily attributable to the amortization of our acquisition-related deferred tax liability, partially offset by tax provision and provision for uncertain tax liabilities related to our foreign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17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biopharmaceutical, Ag-Bio companies and contract research organizations in growth markets, such as single-cell biology and production genomics.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total revenue by geography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28,073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15,928</w:t>
            </w:r>
          </w:p>
        </w:tc>
      </w:tr>
      <w:tr>
        <w:trPr>
          <w:trHeight w:val="27"/>
        </w:trPr>
        <w:tc>
          <w:tcPr>
            <w:tcW w:w="5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2,423</w:t>
            </w:r>
          </w:p>
        </w:tc>
      </w:tr>
      <w:tr>
        <w:trPr>
          <w:trHeight w:val="27"/>
        </w:trPr>
        <w:tc>
          <w:tcPr>
            <w:tcW w:w="5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55,347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individual customer represented more than 10% of our revenues for the three and six months ended June 30, 2016 and 2015.</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 from sales to customers in China represented 10% or $2.8 million and 11% or $6.1 million for the three and six months ended June 30, 2016, respectively, and did not exceed 10% for the three and six months ended June 30, 2015, respectively.</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530" w:right="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“Biomark,” “C1,” “Callisto,” “CyTOF,” “Delta Gene,” “EP1,” “Helios,” “Juno,” “Polaris,” and “SNP Type,”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Our customers include those both in research and applied markets. Research customers are predominantly academic institutions, while our applied customers include clinical laboratories, biopharmaceutical, agricultural biotechnology (Ag-Bio) companies, and contract research organizations (CRO's).</w:t>
      </w:r>
    </w:p>
    <w:p>
      <w:pPr>
        <w:spacing w:after="0" w:line="13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Single-cell analysis is a rapidly-growing field that we believe has the potential to revolutionize basic discovery in biology and lead to new and better ways to diagnose and treat disease. We pioneered a field that is now known as single-cell genomics and, through our acquisition of DVS Sciences, Inc. (now Fluidigm Sciences Inc.) in February 2014, we expanded into the field of single-cell proteomics. Our single-cell biology platform empowers our customers to analyze a large number of individual cells using simplified workflows with increased speed and accuracy at reduced costs. Our products also enable customers to apply the knowledge of biology in industrial or other applied settings that typically utilize low quantity and/or quality samples in high-throughput repeat testing applications.</w:t>
      </w:r>
    </w:p>
    <w:p>
      <w:pPr>
        <w:spacing w:after="0" w:line="139" w:lineRule="exact"/>
        <w:rPr>
          <w:sz w:val="20"/>
          <w:szCs w:val="20"/>
          <w:color w:val="auto"/>
        </w:rPr>
      </w:pPr>
    </w:p>
    <w:p>
      <w:pPr>
        <w:ind w:right="34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We also manufacture IFCs, assays, and reagents for research and development at our facilities in South San Francisco, California.</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Our total revenue was $114.7 million in 2015, and for the six months ended June 30, 2016, our total revenue was $57.2 million. We have incurred significant net losses since our inception in 1999 and, as of June 30, 2016, our accumulated deficit was $402.0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six months ended June 30, 2016 compared to those disclosed in our Annual Report on Form 10-K for the year ended December 31, 2015, as filed with the SEC on February 29,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six months ended June 30, 2016 and 2015, and as a percentage of total revenue for the respective periods ($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Pr>
          <w:p>
            <w:pPr>
              <w:spacing w:after="0"/>
              <w:rPr>
                <w:sz w:val="20"/>
                <w:szCs w:val="20"/>
                <w:color w:val="auto"/>
              </w:rPr>
            </w:pPr>
          </w:p>
        </w:tc>
      </w:tr>
      <w:tr>
        <w:trPr>
          <w:trHeight w:val="276"/>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26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28,168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28,618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57,171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55,347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11,156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20,390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r>
      <w:tr>
        <w:trPr>
          <w:trHeight w:val="237"/>
        </w:trPr>
        <w:tc>
          <w:tcPr>
            <w:tcW w:w="26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94,182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84,007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152</w:t>
            </w:r>
          </w:p>
        </w:tc>
      </w:tr>
      <w:tr>
        <w:trPr>
          <w:trHeight w:val="27"/>
        </w:trPr>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(14,659)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2660" w:type="dxa"/>
            <w:vAlign w:val="bottom"/>
          </w:tcPr>
          <w:p>
            <w:pPr>
              <w:ind w:left="3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(15,502)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(32,076)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57"/>
        </w:trPr>
        <w:tc>
          <w:tcPr>
            <w:tcW w:w="26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(15,236)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(31,167)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generate revenue primarily from sales of our products and services, license agreements, and government grants. Our product revenue consists of sales of instruments and consumables, including IFCs, assays, and other reagents. Our service revenue consists of post-warranty service contracts, preventive maintenance plans, instrument parts, installation, and training. We have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entered into license agreements and have received government grants to conduct research and development activities. The following table presents our revenue by source for each period presented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13,195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14,532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27,009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27,700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21,948</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24,733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49,648</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License and grant revenue</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143</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57,171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55,347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geography and as a percentage of total revenue, respectively, by geography of our customers for each period presented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rPr>
              <w:t>Three Months Ended 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w w:val="90"/>
              </w:rPr>
              <w:t>Six Months Ended June 30,</w:t>
            </w:r>
          </w:p>
        </w:tc>
        <w:tc>
          <w:tcPr>
            <w:tcW w:w="86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27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28,073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15,928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2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28,618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57,171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55,347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Total revenue from our five largest customers comprised 16% of our total revenue in both the three and six months ended June 30, 2016 and 18% and 15% of our total revenue in the three and six months ended June 30, 2015, respectively.</w:t>
      </w:r>
    </w:p>
    <w:p>
      <w:pPr>
        <w:spacing w:after="0" w:line="11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Revenue from sales to China represented 10% or $2.8 million and 11% or $6.1 million for the three and six months ended June 30, 2016, respectively, and did not exceed 10% for the three and six months ended June 30,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2016 and June 30, 2015</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Total revenue decreased by $0.5 million, or 2%, to $28.2 million for the three months ended June 30, 2016, compared to $28.6 million for the three months ended June 30,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Product revenue decreased by $0.9 million, or 4%, to $24.7 million for the three months ended June 30, 2016, compared to $25.7 million for the three months ended June 30, 2015. Total product revenue from Research customers decreased by $2.4 million, or 13%, to $15.5 million primarily driven by lower C1 instrument revenue. Total product revenue from Applied customers increased by $1.5 million or 19% to $9.3 million driven by higher proteomics and genomics analytical instrument revenue.</w:t>
      </w:r>
    </w:p>
    <w:p>
      <w:pPr>
        <w:spacing w:after="0" w:line="52"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Instrument revenue decreased by $1.3 million, or 9%, to $13.2 million. The decrease was primarily driven by decreased unit sales of core genomic preparatory systems and lower average selling prices. The decrease was partially offset by an increase in unit sales of our BioMark HD and contributions from Juno.</w:t>
      </w:r>
    </w:p>
    <w:p>
      <w:pPr>
        <w:spacing w:after="0" w:line="34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Consumables revenue increased by $0.4 million, or 4%, to $11.5 million, primarily due to increases in unit sales of genomics analytical IFCs and increases in sales of proteomics reagents, partially offset by decreases in unit sales of genomics preparatory IFCs.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Annualized IFC pull-through for our genomics analytical systems was within our historical range of $25,000 to $35,000 per system per year. Annualized IFC pull-through for our genomics preparatory systems was below our historical range of $15,000 to $25,000 per system per year, and consumables pull-through for our proteomics analytical systems was within our historical range of $50,000 to $70,000 per system per year.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the average selling prices of our products to fluctuate over time based on market conditions, product mix, and currency fluctuations.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Service revenue increased by $0.5 million, or 17%, to $3.4 million for the three months ended June 30, 2016, compared to $2.9 million for the three months ended June 30, 2015, primarily due to increased sales of post-warranty service contracts as our installed base continues to grow. Service revenue for the three months ended June 30, 2015, which was previously reflected in instrument revenue, has been reclassified to conform to the current period presentation.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revenue during the three months ended June 30, 2016 and 2015, was generated in the United States.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11,156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809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Cost of product revenue was $11.2 million for both the three months ended June 30, 2016 and June 30, 2015. Overall cost of product revenue as a percentage of related revenue was 45% and 43% for the three months ended June 30, 2016 and 2015, respectively. Product margin declined by two percentage points compared to the corresponding period in 2015, primarily due to generally lower instrument selling prices, and to a lesser extent, lower selling prices for IFCs used in sample preparatory systems.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Cost of service revenue increased by $0.4 million, or 54%, to $1.2 million for the three months ended June 30, 2016 from $0.8 million for the three months ended June 30, 2015. Overall cost of service revenue as a percentage of related revenue was 37% and 28% for the three months ended June 30, 2016 and 2015, respectively. The service margins decreased nine percentage points during the three months ended June 30, 2016 compared to the corresponding period in 2015 mainly due to higher labor, travel and material costs associated with the increase in post-warranty service contracts. Cost of service revenue for prior periods, which was previously recorded in cost of product revenue within our condensed consolidated statement of operations, has been reclassified to conform to the current period presentation.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operating expenses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10,090</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23,845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21,222</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33,823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31,312</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8060" w:space="720"/>
            <w:col w:w="2640"/>
          </w:cols>
          <w:pgMar w:left="240" w:top="125" w:right="239" w:bottom="1440" w:gutter="0" w:footer="0" w:header="0"/>
        </w:sect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Research and development expense decreased $0.1 million, or 1%, to $10.0 million for the three months ended June 30, 2016, compared to $10.1 million for the three months ended June 30, 2015, primarily due to a decrease in product materials and supplies.</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Selling, general and administrative expense for the three months ended June 30, 2016 increased $2.6 million, or 12%, to $23.8 million,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$21.2 million for the three months ended June 30, 2015. This increase was primarily driven by continued investments in our global commercial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higher headcount and compensation-related costs.</w:t>
      </w:r>
    </w:p>
    <w:p>
      <w:pPr>
        <w:spacing w:after="0" w:line="15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334"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$1.5 million during the three months ended June 30, 2016 and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Other expense increased by $0.7 million for the three months ended June 30, 2016, compared to other income of $0.6 million for the three months ended June 30, 2015, primarily due to the negative effects of foreign exchange rate changes during the three months ended June 30, 2016.</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recorded a tax benefit of $1.0 million and $0.3 million for the three months ended June 30, 2016 and 2015, respectively. The tax benefit for both periods was primarily attributable to the amortization of our acquisition-related deferred tax liability, partially offset by tax provision and discrete items from our foreign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2016 and June 30, 2015</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Total revenue increased by $1.8 million, or 3%, to $57.2 million for the six months ended June 30, 2016, compared to $55.3 million for the six months ended June 30,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Product revenue increased by $0.5 million, or 1%, to $50.1 million for the six months ended June 30, 2016, compared to $49.6 million for the six months ended June 30, 2015. Total product revenue from Research customers decreased by $1.9 million or 6% to $31.2 million driven by lower instrument sales. Total product revenue from Applied customers increased by $2.3 million or 14% to $18.9 million, driven by higher consumables and instrument sales.</w:t>
      </w:r>
    </w:p>
    <w:p>
      <w:pPr>
        <w:spacing w:after="0" w:line="1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Instrument revenue decreased by $0.7 million, or 2%, to $27.0 million. The decrease was primarily driven by decreases in unit sales of core genomics preparatory systems, which include C1 and Access Array, a decrease in unit sales of our EP1 systems and lower selling prices. The decrease was partially offset by increases in unit sales of Biomark HD and Helios systems, which have higher selling prices relative to our core genomics systems, and contributions from products launched in 2015, including Juno and Polaris.</w:t>
      </w:r>
    </w:p>
    <w:p>
      <w:pPr>
        <w:spacing w:after="0" w:line="187"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Consumables revenue increased by $1.1 million, or 5%, to $23.1 million, primarily due to increases in unit sales of genomics analytical IFCs and proteomics consumables. The increases were partially offset by a decrease in unit sales of genomics preparatory IFCs .</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9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Service revenue increased by $1.4 million, or 25%, to $6.9 million for the six months ended June 30, 2016, compared to $5.6 million for the six months ended June 30, 2015, primarily due to increased sales of post-warranty service contracts as our installed base continues to grow. Service revenue for the six months ended June 30, 2015, which was previously reflected in instrument revenue, has been reclassified to conform to the current period presentation.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revenue was $0.1 million during the six months ended June 30, 2016 and 2015, and was generated in the United States.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Six Months Ended</w:t>
            </w:r>
          </w:p>
        </w:tc>
        <w:tc>
          <w:tcPr>
            <w:tcW w:w="120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June 30,</w:t>
            </w:r>
          </w:p>
        </w:tc>
        <w:tc>
          <w:tcPr>
            <w:tcW w:w="120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7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0" w:type="dxa"/>
            <w:vAlign w:val="bottom"/>
          </w:tcPr>
          <w:p>
            <w:pPr>
              <w:jc w:val="right"/>
              <w:ind w:right="714"/>
              <w:spacing w:after="0"/>
              <w:rPr>
                <w:sz w:val="20"/>
                <w:szCs w:val="20"/>
                <w:color w:val="auto"/>
              </w:rPr>
            </w:pPr>
            <w:r>
              <w:rPr>
                <w:rFonts w:ascii="Arial" w:cs="Arial" w:eastAsia="Arial" w:hAnsi="Arial"/>
                <w:sz w:val="14"/>
                <w:szCs w:val="14"/>
                <w:b w:val="1"/>
                <w:bCs w:val="1"/>
                <w:color w:val="auto"/>
              </w:rPr>
              <w:t>2015</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8"/>
              </w:rPr>
              <w:t>22,026</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21,049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2,446</w:t>
            </w: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Cost of product revenue increased by $1.0 million, or 5%, to $22.0 million for the six months ended June 30, 2016 from $21.0 million for the six months ended June 30, 2015. Overall cost of product revenue as a percentage of related revenue was 44% and 42% for the six months ended June 30, 2016 and 2015, respectively. Product margin declined by two percentage points compared to the corresponding period in 2015, primarily due to higher instrument manufacturing costs driven by overall lower volume of production, and lower selling prices for IFCs used in sample preparatory systems and generally lower selling prices for instruments.</w:t>
      </w:r>
    </w:p>
    <w:p>
      <w:pPr>
        <w:spacing w:after="0" w:line="13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Cost of service revenue increased by $0.9 million, or 57%, to $2.4 million for the six months ended June 30, 2016 from $1.6 million for the six months ended June 30, 2015. Overall cost of service revenue as a percentage of related revenue was 35% and 28% for the six months ended June 30, 2016 and 2015, respectively. Service margins decreased seven percentage points during the six months ended June 30, 2016 compared to the corresponding period in 2015 mainly due to higher labor, travel and material costs associated with the increase in post-warranty service contracts. Cost of service revenue for prior periods, which was previously recorded in cost of product revenue within our condensed consolidated statement of operations, has been reclassified to conform to the current period presentation.</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operating expenses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20,390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20,080</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49,320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41,316</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69,710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61,396</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6" w:lineRule="exact"/>
        <w:rPr>
          <w:sz w:val="20"/>
          <w:szCs w:val="20"/>
          <w:color w:val="auto"/>
        </w:rPr>
      </w:pPr>
    </w:p>
    <w:p>
      <w:pPr>
        <w:sectPr>
          <w:pgSz w:w="11900" w:h="16838" w:orient="portrait"/>
          <w:cols w:equalWidth="0" w:num="2">
            <w:col w:w="8060" w:space="720"/>
            <w:col w:w="2640"/>
          </w:cols>
          <w:pgMar w:left="240" w:top="125" w:right="239" w:bottom="1440" w:gutter="0" w:footer="0" w:header="0"/>
          <w:type w:val="continuous"/>
        </w:sectPr>
      </w:pPr>
    </w:p>
    <w:p>
      <w:pPr>
        <w:jc w:val="both"/>
        <w:ind w:right="120" w:firstLine="432"/>
        <w:spacing w:after="0" w:line="264" w:lineRule="auto"/>
        <w:rPr>
          <w:sz w:val="20"/>
          <w:szCs w:val="20"/>
          <w:color w:val="auto"/>
        </w:rPr>
      </w:pPr>
      <w:r>
        <w:rPr>
          <w:rFonts w:ascii="Arial" w:cs="Arial" w:eastAsia="Arial" w:hAnsi="Arial"/>
          <w:sz w:val="18"/>
          <w:szCs w:val="18"/>
          <w:color w:val="auto"/>
        </w:rPr>
        <w:t>Research and development expense increased $0.3 million, or 2%, to $20.4 million for the six months ended June 30, 2016, compared to $20.1 million for the six months ended June 30, 2015, primarily due to an increase in headcount and compensation-related costs of $0.7 million, offset by reduced product materials and supplies of $0.3 million and reduced outside services costs of $0.2 million.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Selling, general and administrative expense for the six months ended June 30, 2016 increased $8.0 million, or 19%, to $49.3 million, compared to $41.3 million for the six months ended June 30, 2015. This increase was primarily driven by continued investments in our global commercial infrastructure, including higher headcount and compensation-related costs of $6.3 million, increased legal fees and other related costs of $0.8 million, increased bad debt expense of $0.5 million, and increased travel expenses of $0.4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334"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$2.9 million during the six months ended June 30, 2016 and 2015.</w:t>
      </w:r>
    </w:p>
    <w:p>
      <w:pPr>
        <w:spacing w:after="0" w:line="171"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Other expense, net decreased by $0.1 million for the six months ended June 30, 2016, compared to $0.5 million for the six months ended June 30, 2015, primarily due to the net favorable effects of foreign exchange rate changes.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We recorded a tax benefit of $1.8 million and $0.9 million for the six months ended June 30, 2016 and 2015, respectively. The tax benefit for both periods was primarily attributable to the amortization of our acquisition-related deferred tax liability, partially offset by tax provision from our foreign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June 30, 2016, our principal sources of liquidity consisted of $35.9 million of cash and cash equivalents and $50.5 million of investments. As of June 30, 2016, our working capital excluding deferred revenue totaled $103.8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Six Months Ended</w:t>
            </w:r>
          </w:p>
        </w:tc>
        <w:tc>
          <w:tcPr>
            <w:tcW w:w="116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(15,146)</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(17,629)</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5,128</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6,781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w:t>
            </w: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5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2016 was $15.1 million, and consisted of net loss of $38.5 million, less non-cash adjustments of $16.8 million, less net change in assets and liabilities of $6.5 million. Non-cash items primarily included stock-based compensation expense of $7.4 million, amortization of developed technology of $5.6 million, depreciation and amortization of $3.2 million, and $0.6 million in other non-cash adjustments. The net change in assets and liabilities was primarily driven by a decrease in accounts receivable of $6 million due to increased cash collections which caused days sales outstanding to decrease from 75 days as of December 31, 2015 to 60 days as June 30, 2016, offset by an increase in inventory of 0.9 million.</w:t>
      </w:r>
    </w:p>
    <w:p>
      <w:pPr>
        <w:spacing w:after="0" w:line="5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cash used in operating activities for the six months ended June 30, 2015, was $17.6 million, and consisted of net loss of $31.2 million, less non-cash adjustments of $17.3 million, plus net change in assets and liabilities of $3.8 million. Non-cash items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primarily included stock-based compensation expense of $8.7 million, amortization of developed technology of $5.6 million, and depreciation and amortization of $2.8 million. The net change in assets and liabilities was primarily driven by a net decrease in liabilities and accounts payable of $2.0 million, and increased inventory balances of $3.1 million, partially offset by a decrease in accounts receivable of $0.8 million, prepaid and other assets of $0.6 million, and an increase in deferred revenue of $1.3 million.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90"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primary investing activities consist of purchases, sales, and maturities of our short-term and long-term investments and to a much lesser extent, capital expenditures for manufacturing, laboratory, and computer equipment and software to support our expanding infrastructure and work force. We expect to continue to expand our manufacturing capability and throughput,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23" w:lineRule="exact"/>
        <w:rPr>
          <w:sz w:val="20"/>
          <w:szCs w:val="20"/>
          <w:color w:val="auto"/>
        </w:rPr>
      </w:pPr>
    </w:p>
    <w:p>
      <w:pPr>
        <w:jc w:val="both"/>
        <w:ind w:right="540" w:firstLine="432"/>
        <w:spacing w:after="0" w:line="286" w:lineRule="auto"/>
        <w:rPr>
          <w:sz w:val="20"/>
          <w:szCs w:val="20"/>
          <w:color w:val="auto"/>
        </w:rPr>
      </w:pPr>
      <w:r>
        <w:rPr>
          <w:rFonts w:ascii="Arial" w:cs="Arial" w:eastAsia="Arial" w:hAnsi="Arial"/>
          <w:sz w:val="17"/>
          <w:szCs w:val="17"/>
          <w:color w:val="auto"/>
        </w:rPr>
        <w:t>Net cash provided by investing activities was $21.5 million during the six months ended June 30, 2016. Net cash provided by investing activities primarily consisted of $56.4 million of proceeds from sales and maturities of investments, proceeds from the gain of investment in Verinata (described below), partially offset by purchases of investments of $34.6 million, and capital expenditures of $2.7 million.</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The final milestones related to the sale of Verinata to Illumina were met in December 2015 and, accordingly, we recorded our share of these milestone payment obligations in the amount of $2.3 million from the sale of investment in Verinata in the accompanying consolidated statement of operations for the year ended December 31, 2015. In January 2016, we received the $2.3 million payment.</w:t>
      </w:r>
    </w:p>
    <w:p>
      <w:pPr>
        <w:spacing w:after="0" w:line="3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Net cash provided by investing activities was $3.2 million during the six months ended June 30, 2015. Net cash provided by investing activities primarily consisted of $39.4 million of proceeds from sales and maturities of investments, partially offset by purchases of investments of $33.7 million and purchases of capital expenditures of $2.3 million and intangible assets of $0.1 million primarily to support growth in our employee base worldwide and our growth in manufacturing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provided by financing activities consists of proceeds received in connection with the exercise of options for our common stock.</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Net cash provided by financing activities was $0.1 million and $5.1 million during the six months ended June 30, 2016 and June 30, 2015, respectively, and consists of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June 30, 2016, our working capital excluding deferred revenue was $103.8 million, including cash, cash equivalents, and short-term investments of $86.4 million.</w:t>
      </w:r>
    </w:p>
    <w:p>
      <w:pPr>
        <w:spacing w:after="0" w:line="3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15"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June 30, 2016, we did not have any off-balance sheet arrangements as defined in Item 303(a)(4) of the Securities and Exchange Commission's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operating lease obligations relate to a lease for our current headquarters and leases for manufacturing, warehousing and office space for our foreign subsidiaries. Please see Note 7 to the financial statements for a description of our lease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2016 and 2015, we experienced foreign currency losses of $0.9 million and $0.7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had cash and cash equivalents of $35.9 million at June 30, 2016. These amounts were held primarily in cash on deposit with banks and money market funds which are short-term. We had $50.5 million in investments at June 30, 2016, held primarily in U.S. government and agency securities with contractual maturity dates that are within one year from June 30, 2016.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2016, our Chief Executive Officer and Chief Financial Officer concluded that, as of such date, our disclosure controls and procedures were effective at the reasonable assurance level.</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2016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seasonal historical trend resumed in 2015 and 2016, and we expect it to continue. Additionally, for the quarters ended March 31, 2016 and June 30, 2015, we experienced year-over-year revenue growth rates that were substantially lower than revenue growth rates experienced in other periods since our initial public offering, and we experienced a year-over-year decline in revenue for the quarters ended June 30, 2016, September 30, 2015, and for the year ended December 31,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7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and that our financial results for some periods may be below those projected by securities analysts, which could significantly decrease the price of our common stock.</w:t>
      </w:r>
    </w:p>
    <w:p>
      <w:pPr>
        <w:spacing w:after="0" w:line="166"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In addition, we have recently experienced increased competition in the single-cell biology market, including new product releases from Becton, Dickinson and Company, 10X Genomics, Inc. and WaferGen Bio-systems, Inc., as well as an announced exclusive partnership between Illumina, Inc. and Bio-Rad Laboratories, Inc.</w:t>
      </w:r>
    </w:p>
    <w:p>
      <w:pPr>
        <w:spacing w:after="0" w:line="178"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recently experienced a performance issue with respect to certain IFCs used in our C1 systems due to the presence of more than one cell in an IFC chamber. We have announced the release of one redesigned IFC and are currently working to redesign other impacted IFCs. Although we have announced our current expectation that the additional redesigned IFCs will be available later in 2016, we may experience unexpected delays or product development challenges that could affect the timing or our ability to release redesigned IFCs that adequately address these performance issues.</w:t>
      </w:r>
    </w:p>
    <w:p>
      <w:pPr>
        <w:spacing w:after="0" w:line="17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 We are in the final stages of relocating our manufacturing facility for Helios/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CyTOF 2 and other proteomics products in Canada, which could result in delays or disruptions in manufacturing and which could have an adverse effect on our revenues or operating results. 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7" w:lineRule="exact"/>
        <w:rPr>
          <w:sz w:val="20"/>
          <w:szCs w:val="20"/>
          <w:color w:val="auto"/>
        </w:rPr>
      </w:pPr>
    </w:p>
    <w:p>
      <w:pPr>
        <w:ind w:right="2180"/>
        <w:spacing w:after="0" w:line="261" w:lineRule="auto"/>
        <w:rPr>
          <w:sz w:val="20"/>
          <w:szCs w:val="20"/>
          <w:color w:val="auto"/>
        </w:rPr>
      </w:pPr>
      <w:r>
        <w:rPr>
          <w:rFonts w:ascii="Arial" w:cs="Arial" w:eastAsia="Arial" w:hAnsi="Arial"/>
          <w:sz w:val="18"/>
          <w:szCs w:val="18"/>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8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During the six months ended June 30, 2016 and the years ended 2015 and 2014, approximately 49%, 52% and 49%, respectively, of our total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6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In addition, on June 23, 2016, the United Kingdom (U.K.) held a referendum in which voters approved an exit from the European Union, commonly referred to as “Brexit.” As a result of the referendum, it is expected that the British government will begin negotiating the terms of the U.K.’s withdrawal from the European Union and the U.K.’s future relationships with European Union member states.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158"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six months ended June 30, 2016 and for the years ended December 31, 2015 and 2014, we experienced foreign currency losses of $0.6 million, $1.6 million and $1.1 million, respectively. Fluctuations in currency exchange rates could have an adverse impact on our financial results in the future.</w:t>
      </w:r>
    </w:p>
    <w:p>
      <w:pPr>
        <w:spacing w:after="0" w:line="16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40" w:hanging="320"/>
        <w:spacing w:after="0" w:line="26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2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right="16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4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30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20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$38.5 million, $53.3 million, and $52.8 million during the six months ended June 30, 2016 and for the years ended December 31, 2015 and 2014, respectively. As of June 30, 2016, we had an accumulated deficit of $402.0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and we expect these expenses will increase in future periods. We also expect that our selling, general, and administrative expenses will continue to increase due to the additional operational costs associated with the growth of our business.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June 30, 2016, we had goodwill and intangible assets, net of amortization, of approximately $104.1 million and $85.4 million, respectively. These assets represent a significant portion of the assets recorded on our consolidated balance sheet and relate primarily to our acquisition of DVS in February 2014. In addition, if in the future we acquire additional businesses, technologies, or other intangible assets, a substantial portion of the value of such assets may be recorded as goodwill or intangible assets.</w:t>
      </w:r>
    </w:p>
    <w:p>
      <w:pPr>
        <w:spacing w:after="0" w:line="18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41"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69"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and pharmaceutical, biotechnology, and Ag-Bio companies for research purposes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8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have announced our plan to register with the FDA as a medical device manufacturer and list some of our products with the FDA pursuant to an FDA Class I listing for general purpose laboratory equipment. We currently expect to make initial filing in the near term.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addition, we plan to submit 510(k) premarket notifications to the FDA to obtain FDA clearance of certain of our products on a selected basis. Although we plan to submit 510(k) applications for certain of our products,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uses we believe are important or commercially attractive.</w:t>
      </w:r>
    </w:p>
    <w:p>
      <w:pPr>
        <w:spacing w:after="0" w:line="19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will need to comply with the Medical Device Directive 93/42 EEC, which is required to market medical devices in the European Union. We received certification under ISO 13485:2003, which includes requirements for the implementation of a quality management system for the design and manufacturing of medical devices and is the European Quality Standard applicable to medical device manufacturers, and under ISO 9001:2008, which specifies requirements for a quality management system to demonstrate the ability to consistently provide products that meet customer and applicable statutory and regulatory requirements. Compliance with these certification standards could take significant time and expense and may increase our costs or divert resources away from other projects.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6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implementing the framework for regulating LDTs. At the same time, various legislative proposals have been floated that would take differing approaches to the regulation of LDTs. It is also 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left="400" w:right="5740" w:firstLine="40"/>
        <w:spacing w:after="0" w:line="563" w:lineRule="auto"/>
        <w:tabs>
          <w:tab w:leader="none" w:pos="7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Political uncertainty and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 move of any of our manufacturing facilities may delay or otherwise adversely affect our manufacturing activities and business.</w:t>
      </w:r>
    </w:p>
    <w:p>
      <w:pPr>
        <w:spacing w:after="0" w:line="188"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referred to as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5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GAAP under SEC regulations and those who are required to follow International Financial Reporting Standards outside of the United States. These efforts by the FASB and IASB may result in different accounting principles under GAAP that may result in materially different financial results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 us in areas including, but not limited to, principles for recognizing revenue and lease accounting. Additionally, significant changes to GAAP resulting from the FASB’s and IASB’s efforts may require that we change how we process, analyze and report financial information and that we change financial reporting controls.</w:t>
      </w:r>
    </w:p>
    <w:p>
      <w:pPr>
        <w:spacing w:after="0" w:line="181"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8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From time to time, we engage in discussions regarding possible commercial, licensing and cross-licensing agreements with third parties.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7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customers have also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a third party competitor initiated litigation against a newly hired Fluidigm employee alleging, among other claims, misappropriation of proprietary information and breach of contractual and fiduciary obligations to the third party. Although we are not currently a party to this litigation, we cannot provide assurances that the third party will not bring claims against Fluidigm with respect to this employee or other employees that we have hired or may hire who were previously associated with the third party. If we fail in defending such claims, in addition to paying monetary damages or the potential for injunctive relief against us, in some instances we may lose valuable intellectual property rights. A loss of key research personnel work product could hamper or prevent our ability to commercialize certain potential products or a loss or inability to hire key marketing, sales or research and development personnel could adversely affect our future product development, sales and revenues, any of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1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factors would be expected to have a material adverse effect on our business, operating results, and financial condition and could result in a substantial decline in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June 30, 2016, we had 29,036,525 shares of common stock outstanding, and stockholders holding at least 5% of our stock, individually or with affiliated persons or entities, collectively beneficially owned or controlled approximately 69.9%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notes surrendered for conversion, then the holder surrendering such notes will not be entitled to vote on the amendment, although such holder will nevertheless be subject to any changes affecting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may adversely affect the trading price of the notes or our common stock. An event that adversely affects the value of the notes may occur, and that event may not result in an adjustment to the conversion rate.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364"/>
        </w:trPr>
        <w:tc>
          <w:tcPr>
            <w:tcW w:w="16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Offer Letter to Jennifer Lee, dated March 30, 2016</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5/23/2016</w:t>
            </w:r>
          </w:p>
        </w:tc>
        <w:tc>
          <w:tcPr>
            <w:tcW w:w="0" w:type="dxa"/>
            <w:vAlign w:val="bottom"/>
          </w:tcPr>
          <w:p>
            <w:pPr>
              <w:spacing w:after="0"/>
              <w:rPr>
                <w:sz w:val="1"/>
                <w:szCs w:val="1"/>
                <w:color w:val="auto"/>
              </w:rPr>
            </w:pPr>
          </w:p>
        </w:tc>
      </w:tr>
      <w:tr>
        <w:trPr>
          <w:trHeight w:val="391"/>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right="240" w:hanging="565"/>
        <w:spacing w:after="0" w:line="271"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780" w:type="dxa"/>
            <w:vAlign w:val="bottom"/>
            <w:gridSpan w:val="2"/>
          </w:tcPr>
          <w:p>
            <w:pPr>
              <w:ind w:left="3480"/>
              <w:spacing w:after="0"/>
              <w:rPr>
                <w:sz w:val="20"/>
                <w:szCs w:val="20"/>
                <w:color w:val="auto"/>
              </w:rPr>
            </w:pPr>
            <w:r>
              <w:rPr>
                <w:rFonts w:ascii="Arial" w:cs="Arial" w:eastAsia="Arial" w:hAnsi="Arial"/>
                <w:sz w:val="18"/>
                <w:szCs w:val="18"/>
                <w:color w:val="auto"/>
              </w:rPr>
              <w:t>FLUIDIGM CORPORATION</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Dated: August 8, 2016</w:t>
            </w:r>
          </w:p>
        </w:tc>
        <w:tc>
          <w:tcPr>
            <w:tcW w:w="4140" w:type="dxa"/>
            <w:vAlign w:val="bottom"/>
          </w:tcPr>
          <w:p>
            <w:pPr>
              <w:ind w:left="3480"/>
              <w:spacing w:after="0"/>
              <w:rPr>
                <w:sz w:val="20"/>
                <w:szCs w:val="20"/>
                <w:color w:val="auto"/>
              </w:rPr>
            </w:pPr>
            <w:r>
              <w:rPr>
                <w:rFonts w:ascii="Arial" w:cs="Arial" w:eastAsia="Arial" w:hAnsi="Arial"/>
                <w:sz w:val="18"/>
                <w:szCs w:val="18"/>
                <w:color w:val="auto"/>
              </w:rPr>
              <w:t>By:</w:t>
            </w:r>
          </w:p>
        </w:tc>
        <w:tc>
          <w:tcPr>
            <w:tcW w:w="3640" w:type="dxa"/>
            <w:vAlign w:val="bottom"/>
          </w:tcPr>
          <w:p>
            <w:pPr>
              <w:ind w:left="20"/>
              <w:spacing w:after="0"/>
              <w:rPr>
                <w:sz w:val="20"/>
                <w:szCs w:val="20"/>
                <w:color w:val="auto"/>
              </w:rPr>
            </w:pPr>
            <w:r>
              <w:rPr>
                <w:rFonts w:ascii="Arial" w:cs="Arial" w:eastAsia="Arial" w:hAnsi="Arial"/>
                <w:sz w:val="18"/>
                <w:szCs w:val="18"/>
                <w:color w:val="auto"/>
              </w:rPr>
              <w:t>/s/ Gajus V. Worthington</w:t>
            </w:r>
          </w:p>
        </w:tc>
      </w:tr>
      <w:tr>
        <w:trPr>
          <w:trHeight w:val="27"/>
        </w:trPr>
        <w:tc>
          <w:tcPr>
            <w:tcW w:w="36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Gajus V. Worthington</w:t>
            </w:r>
          </w:p>
        </w:tc>
      </w:tr>
      <w:tr>
        <w:trPr>
          <w:trHeight w:val="270"/>
        </w:trPr>
        <w:tc>
          <w:tcPr>
            <w:tcW w:w="36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Dated: August 8, 2016</w:t>
            </w:r>
          </w:p>
        </w:tc>
        <w:tc>
          <w:tcPr>
            <w:tcW w:w="4140" w:type="dxa"/>
            <w:vAlign w:val="bottom"/>
          </w:tcPr>
          <w:p>
            <w:pPr>
              <w:ind w:left="3480"/>
              <w:spacing w:after="0"/>
              <w:rPr>
                <w:sz w:val="20"/>
                <w:szCs w:val="20"/>
                <w:color w:val="auto"/>
              </w:rPr>
            </w:pPr>
            <w:r>
              <w:rPr>
                <w:rFonts w:ascii="Arial" w:cs="Arial" w:eastAsia="Arial" w:hAnsi="Arial"/>
                <w:sz w:val="18"/>
                <w:szCs w:val="18"/>
                <w:color w:val="auto"/>
              </w:rPr>
              <w:t>By:</w:t>
            </w:r>
          </w:p>
        </w:tc>
        <w:tc>
          <w:tcPr>
            <w:tcW w:w="3640" w:type="dxa"/>
            <w:vAlign w:val="bottom"/>
          </w:tcPr>
          <w:p>
            <w:pPr>
              <w:ind w:left="20"/>
              <w:spacing w:after="0"/>
              <w:rPr>
                <w:sz w:val="20"/>
                <w:szCs w:val="20"/>
                <w:color w:val="auto"/>
              </w:rPr>
            </w:pPr>
            <w:r>
              <w:rPr>
                <w:rFonts w:ascii="Arial" w:cs="Arial" w:eastAsia="Arial" w:hAnsi="Arial"/>
                <w:sz w:val="18"/>
                <w:szCs w:val="18"/>
                <w:color w:val="auto"/>
              </w:rPr>
              <w:t>/s/ Vikram Jog</w:t>
            </w:r>
          </w:p>
        </w:tc>
      </w:tr>
      <w:tr>
        <w:trPr>
          <w:trHeight w:val="27"/>
        </w:trPr>
        <w:tc>
          <w:tcPr>
            <w:tcW w:w="36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Vikram Jog</w:t>
            </w:r>
          </w:p>
        </w:tc>
      </w:tr>
      <w:tr>
        <w:trPr>
          <w:trHeight w:val="270"/>
        </w:trPr>
        <w:tc>
          <w:tcPr>
            <w:tcW w:w="36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86"/>
        </w:trPr>
        <w:tc>
          <w:tcPr>
            <w:tcW w:w="3600" w:type="dxa"/>
            <w:vAlign w:val="bottom"/>
          </w:tcPr>
          <w:p>
            <w:pPr>
              <w:spacing w:after="0"/>
              <w:rPr>
                <w:sz w:val="24"/>
                <w:szCs w:val="24"/>
                <w:color w:val="auto"/>
              </w:rPr>
            </w:pPr>
          </w:p>
        </w:tc>
        <w:tc>
          <w:tcPr>
            <w:tcW w:w="4140" w:type="dxa"/>
            <w:vAlign w:val="bottom"/>
          </w:tcPr>
          <w:p>
            <w:pPr>
              <w:jc w:val="right"/>
              <w:ind w:right="1890"/>
              <w:spacing w:after="0"/>
              <w:rPr>
                <w:sz w:val="20"/>
                <w:szCs w:val="20"/>
                <w:color w:val="auto"/>
              </w:rPr>
            </w:pPr>
            <w:r>
              <w:rPr>
                <w:rFonts w:ascii="Arial" w:cs="Arial" w:eastAsia="Arial" w:hAnsi="Arial"/>
                <w:sz w:val="18"/>
                <w:szCs w:val="18"/>
                <w:color w:val="auto"/>
              </w:rPr>
              <w:t>57</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364"/>
        </w:trPr>
        <w:tc>
          <w:tcPr>
            <w:tcW w:w="16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Offer Letter to Jennifer Lee, dated March 30, 2016</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5/23/2016</w:t>
            </w:r>
          </w:p>
        </w:tc>
        <w:tc>
          <w:tcPr>
            <w:tcW w:w="0" w:type="dxa"/>
            <w:vAlign w:val="bottom"/>
          </w:tcPr>
          <w:p>
            <w:pPr>
              <w:spacing w:after="0"/>
              <w:rPr>
                <w:sz w:val="1"/>
                <w:szCs w:val="1"/>
                <w:color w:val="auto"/>
              </w:rPr>
            </w:pPr>
          </w:p>
        </w:tc>
      </w:tr>
      <w:tr>
        <w:trPr>
          <w:trHeight w:val="391"/>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00" w:right="440" w:hanging="565"/>
        <w:spacing w:after="0" w:line="27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August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August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2016</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August 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2019-12-29T11:19:37Z</dcterms:created>
  <dcterms:modified xsi:type="dcterms:W3CDTF">2019-12-29T11:19:37Z</dcterms:modified>
</cp:coreProperties>
</file>