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740" w:right="1840" w:hanging="3705"/>
        <w:spacing w:after="0" w:line="454"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gridSpan w:val="2"/>
          </w:tcPr>
          <w:p>
            <w:pPr>
              <w:jc w:val="center"/>
              <w:ind w:left="3819"/>
              <w:spacing w:after="0"/>
              <w:rPr>
                <w:sz w:val="20"/>
                <w:szCs w:val="20"/>
                <w:color w:val="auto"/>
              </w:rPr>
            </w:pPr>
            <w:r>
              <w:rPr>
                <w:rFonts w:ascii="Arial" w:cs="Arial" w:eastAsia="Arial" w:hAnsi="Arial"/>
                <w:sz w:val="18"/>
                <w:szCs w:val="18"/>
                <w:b w:val="1"/>
                <w:bCs w:val="1"/>
                <w:color w:val="auto"/>
                <w:w w:val="89"/>
              </w:rPr>
              <w:t>77-0513190</w:t>
            </w:r>
          </w:p>
        </w:tc>
      </w:tr>
      <w:tr>
        <w:trPr>
          <w:trHeight w:val="180"/>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20" w:type="dxa"/>
            <w:vAlign w:val="bottom"/>
            <w:gridSpan w:val="2"/>
          </w:tcPr>
          <w:p>
            <w:pPr>
              <w:jc w:val="center"/>
              <w:ind w:left="383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320" w:type="dxa"/>
            <w:vAlign w:val="bottom"/>
            <w:gridSpan w:val="2"/>
          </w:tcPr>
          <w:p>
            <w:pPr>
              <w:jc w:val="center"/>
              <w:ind w:left="3819"/>
              <w:spacing w:after="0"/>
              <w:rPr>
                <w:sz w:val="20"/>
                <w:szCs w:val="20"/>
                <w:color w:val="auto"/>
              </w:rPr>
            </w:pPr>
            <w:r>
              <w:rPr>
                <w:rFonts w:ascii="Arial" w:cs="Arial" w:eastAsia="Arial" w:hAnsi="Arial"/>
                <w:sz w:val="14"/>
                <w:szCs w:val="14"/>
                <w:b w:val="1"/>
                <w:bCs w:val="1"/>
                <w:color w:val="auto"/>
                <w:w w:val="95"/>
              </w:rPr>
              <w:t>Identification Number)</w:t>
            </w:r>
          </w:p>
        </w:tc>
      </w:tr>
      <w:tr>
        <w:trPr>
          <w:trHeight w:val="264"/>
        </w:trPr>
        <w:tc>
          <w:tcPr>
            <w:tcW w:w="1900" w:type="dxa"/>
            <w:vAlign w:val="bottom"/>
          </w:tcPr>
          <w:p>
            <w:pPr>
              <w:spacing w:after="0"/>
              <w:rPr>
                <w:sz w:val="22"/>
                <w:szCs w:val="22"/>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7000 Shoreline Court, Suite 100</w:t>
            </w:r>
          </w:p>
        </w:tc>
      </w:tr>
      <w:tr>
        <w:trPr>
          <w:trHeight w:val="212"/>
        </w:trPr>
        <w:tc>
          <w:tcPr>
            <w:tcW w:w="1900" w:type="dxa"/>
            <w:vAlign w:val="bottom"/>
          </w:tcPr>
          <w:p>
            <w:pPr>
              <w:spacing w:after="0"/>
              <w:rPr>
                <w:sz w:val="18"/>
                <w:szCs w:val="18"/>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354"/>
        </w:trPr>
        <w:tc>
          <w:tcPr>
            <w:tcW w:w="19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(650) 266-6000</w:t>
            </w:r>
          </w:p>
        </w:tc>
        <w:tc>
          <w:tcPr>
            <w:tcW w:w="1120" w:type="dxa"/>
            <w:vAlign w:val="bottom"/>
          </w:tcPr>
          <w:p>
            <w:pPr>
              <w:spacing w:after="0"/>
              <w:rPr>
                <w:sz w:val="24"/>
                <w:szCs w:val="24"/>
                <w:color w:val="auto"/>
              </w:rPr>
            </w:pPr>
          </w:p>
        </w:tc>
      </w:tr>
      <w:tr>
        <w:trPr>
          <w:trHeight w:val="186"/>
        </w:trPr>
        <w:tc>
          <w:tcPr>
            <w:tcW w:w="1900" w:type="dxa"/>
            <w:vAlign w:val="bottom"/>
          </w:tcPr>
          <w:p>
            <w:pPr>
              <w:spacing w:after="0"/>
              <w:rPr>
                <w:sz w:val="16"/>
                <w:szCs w:val="16"/>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190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bl>
    <w:p>
      <w:pPr>
        <w:spacing w:after="0" w:line="310"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337"/>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0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2018, there were 39,322,608 shares of the Registrant’s common stock, $0.001 par value per share, outstanding.</w:t>
      </w:r>
    </w:p>
    <w:p>
      <w:pPr>
        <w:sectPr>
          <w:pgSz w:w="11900" w:h="16838" w:orient="portrait"/>
          <w:cols w:equalWidth="0" w:num="1">
            <w:col w:w="11380"/>
          </w:cols>
          <w:pgMar w:left="240" w:top="729" w:right="279" w:bottom="1440" w:gutter="0" w:footer="0" w:header="0"/>
        </w:sect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729" w:right="27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0"/>
          </w:tcPr>
          <w:p>
            <w:pPr>
              <w:jc w:val="center"/>
              <w:ind w:right="31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6580" w:type="dxa"/>
            <w:vAlign w:val="bottom"/>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2018 and December 31, 2017</w:t>
              </w:r>
            </w:hyperlink>
          </w:p>
        </w:tc>
        <w:tc>
          <w:tcPr>
            <w:tcW w:w="200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2018 and 2017</w:t>
              </w:r>
            </w:hyperlink>
          </w:p>
        </w:tc>
        <w:tc>
          <w:tcPr>
            <w:tcW w:w="8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580" w:type="dxa"/>
            <w:vAlign w:val="bottom"/>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nine months ended September 30, 2018</w:t>
              </w:r>
            </w:hyperlink>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2017</w:t>
              </w:r>
            </w:hyperlink>
          </w:p>
        </w:tc>
        <w:tc>
          <w:tcPr>
            <w:tcW w:w="8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840" w:type="dxa"/>
            <w:vAlign w:val="bottom"/>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2018 and 2017</w:t>
              </w:r>
            </w:hyperlink>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840" w:type="dxa"/>
            <w:vAlign w:val="bottom"/>
            <w:gridSpan w:val="6"/>
          </w:tcPr>
          <w:p>
            <w:pPr>
              <w:spacing w:after="0"/>
              <w:rPr>
                <w:sz w:val="24"/>
                <w:szCs w:val="24"/>
                <w:color w:val="auto"/>
              </w:rPr>
            </w:pPr>
          </w:p>
        </w:tc>
        <w:tc>
          <w:tcPr>
            <w:tcW w:w="74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3"/>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422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0"/>
          </w:tcPr>
          <w:p>
            <w:pPr>
              <w:jc w:val="center"/>
              <w:ind w:right="3160"/>
              <w:spacing w:after="0"/>
              <w:rPr>
                <w:rFonts w:ascii="Arial" w:cs="Arial" w:eastAsia="Arial" w:hAnsi="Arial"/>
                <w:sz w:val="18"/>
                <w:szCs w:val="18"/>
                <w:color w:val="0000FF"/>
                <w:w w:val="96"/>
              </w:rPr>
            </w:pPr>
            <w:hyperlink w:anchor="page35">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Other Information</w:t>
              </w:r>
            </w:hyperlink>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61</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7260" w:type="dxa"/>
            <w:vAlign w:val="bottom"/>
            <w:gridSpan w:val="1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88"/>
              </w:rPr>
            </w:pPr>
            <w:hyperlink w:anchor="page64">
              <w:r>
                <w:rPr>
                  <w:rFonts w:ascii="Arial" w:cs="Arial" w:eastAsia="Arial" w:hAnsi="Arial"/>
                  <w:sz w:val="18"/>
                  <w:szCs w:val="18"/>
                  <w:color w:val="0000FF"/>
                  <w:w w:val="88"/>
                </w:rPr>
                <w:t>Exhibits</w:t>
              </w:r>
            </w:hyperlink>
          </w:p>
        </w:tc>
        <w:tc>
          <w:tcPr>
            <w:tcW w:w="720" w:type="dxa"/>
            <w:vAlign w:val="bottom"/>
            <w:gridSpan w:val="2"/>
          </w:tcPr>
          <w:p>
            <w:pPr>
              <w:spacing w:after="0"/>
              <w:rPr>
                <w:sz w:val="24"/>
                <w:szCs w:val="24"/>
                <w:color w:val="auto"/>
              </w:rPr>
            </w:pPr>
          </w:p>
        </w:tc>
        <w:tc>
          <w:tcPr>
            <w:tcW w:w="72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SIGNATURES</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64</w:t>
              </w:r>
            </w:hyperlink>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EXHIBIT LIST</w:t>
              </w:r>
            </w:hyperlink>
          </w:p>
        </w:tc>
        <w:tc>
          <w:tcPr>
            <w:tcW w:w="8380" w:type="dxa"/>
            <w:vAlign w:val="bottom"/>
            <w:gridSpan w:val="16"/>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63</w:t>
              </w:r>
            </w:hyperlink>
          </w:p>
        </w:tc>
      </w:tr>
      <w:tr>
        <w:trPr>
          <w:trHeight w:val="20"/>
        </w:trPr>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160"/>
          </w:cols>
          <w:pgMar w:left="280" w:top="58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58,056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Accounts receivable (net of allowances of $31 at September 30, 2018 and $391 at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287,351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195,238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256,416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(see Note 8)</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0"/>
              </w:rPr>
              <w:t>Preferred stock, $0.001 par value, 10,000 shares authorized, no shares issued and outstanding at September 30,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2018 and December 31, 2017</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$0.001 par value, 200,000 shares authorized at September 30, 2018 and December 31, 2017;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39,316 and 38,787 shares issued and outstanding as of September 30, 2018 and December 31,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566,964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531,666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(544,075)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(500,196)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252,290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287,351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24,242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20,576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66,496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61,383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12,620</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74,193</w:t>
            </w:r>
          </w:p>
        </w:tc>
        <w:tc>
          <w:tcPr>
            <w:tcW w:w="0" w:type="dxa"/>
            <w:vAlign w:val="bottom"/>
          </w:tcPr>
          <w:p>
            <w:pPr>
              <w:spacing w:after="0"/>
              <w:rPr>
                <w:sz w:val="1"/>
                <w:szCs w:val="1"/>
                <w:color w:val="auto"/>
              </w:rPr>
            </w:pPr>
          </w:p>
        </w:tc>
      </w:tr>
      <w:tr>
        <w:trPr>
          <w:trHeight w:val="223"/>
        </w:trPr>
        <w:tc>
          <w:tcPr>
            <w:tcW w:w="51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33,060</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23,668</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20,102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57,812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63,653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123,818</w:t>
            </w: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67"/>
        </w:trPr>
        <w:tc>
          <w:tcPr>
            <w:tcW w:w="5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58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Net change in unrealized gain on investments</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(44,180)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(50,049)</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(44,238)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(50,078)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5,578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developed technology</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discounts, premium and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non-cash items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(24,759)</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 and maturities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24,375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21,537</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proceeds from issuance of common stock</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28,843</w:t>
            </w:r>
          </w:p>
        </w:tc>
      </w:tr>
      <w:tr>
        <w:trPr>
          <w:trHeight w:val="27"/>
        </w:trPr>
        <w:tc>
          <w:tcPr>
            <w:tcW w:w="8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 increase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35,045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35,829</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60,944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81" w:lineRule="exact"/>
        <w:rPr>
          <w:sz w:val="20"/>
          <w:szCs w:val="20"/>
          <w:color w:val="auto"/>
        </w:rPr>
      </w:pPr>
    </w:p>
    <w:p>
      <w:pPr>
        <w:ind w:right="34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380" w:lineRule="exact"/>
        <w:rPr>
          <w:sz w:val="20"/>
          <w:szCs w:val="20"/>
          <w:color w:val="auto"/>
        </w:rPr>
      </w:pPr>
    </w:p>
    <w:p>
      <w:pPr>
        <w:ind w:right="784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2017, has been derived from audited consolidated financial statements at that date but does not include all disclosures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and nine months ended September 30, 2018 are not necessarily indicative of the results to be expected for the year ending December 31, 2018, or for any other interim period or for any other future year. All intercompany transactions and balances have been eliminated in consolidation.</w:t>
      </w:r>
    </w:p>
    <w:p>
      <w:pPr>
        <w:spacing w:after="0" w:line="182"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preparation of these condensed consolidated financial statements requires management to make estimates and assumptions that affect the amounts reported in the condensed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condensed consolidated financial statements.</w:t>
      </w:r>
    </w:p>
    <w:p>
      <w:pPr>
        <w:spacing w:after="0" w:line="154"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2017, included in our Annual Report on Form 10-K.</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Certain prior period amounts in the condensed consolidated statements of cash flows have been reclassified to conform to the current period presentation. These reclassifications were immaterial and did not affect prior period total assets, total liabilities, stockholders' equity, total revenue, total costs and expenses, loss from operations or net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options to purchase common stock, and shares associated with the potential conversion of our convertible notes are considered to be potentially dilutive common shares but have been excluded from the calculation of diluted net loss per share as their effect is anti-dilutive for all periods presented.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potentially dilutive common shares were excluded from the computation of diluted net loss per share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because including them would have been anti-dilutive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10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0" w:type="dxa"/>
            <w:vAlign w:val="bottom"/>
            <w:tcBorders>
              <w:bottom w:val="single" w:sz="8" w:color="CCEEFF"/>
            </w:tcBorders>
          </w:tcPr>
          <w:p>
            <w:pPr>
              <w:spacing w:after="0"/>
              <w:rPr>
                <w:sz w:val="22"/>
                <w:szCs w:val="22"/>
                <w:color w:val="auto"/>
              </w:rPr>
            </w:pPr>
          </w:p>
        </w:tc>
        <w:tc>
          <w:tcPr>
            <w:tcW w:w="484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performance awards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3,742</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48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19,036</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19,036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Convertible Notes potential make-whole shares at September 30,</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48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2014</w:t>
            </w:r>
          </w:p>
        </w:tc>
        <w:tc>
          <w:tcPr>
            <w:tcW w:w="48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3,598</w:t>
            </w:r>
          </w:p>
        </w:tc>
      </w:tr>
      <w:tr>
        <w:trPr>
          <w:trHeight w:val="27"/>
        </w:trPr>
        <w:tc>
          <w:tcPr>
            <w:tcW w:w="4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Total</w:t>
            </w:r>
          </w:p>
        </w:tc>
        <w:tc>
          <w:tcPr>
            <w:tcW w:w="48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25,127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7,340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25,127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7,340</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and nine months ended September 30, 2018,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Unrealized Gain</w:t>
            </w:r>
          </w:p>
        </w:tc>
        <w:tc>
          <w:tcPr>
            <w:tcW w:w="120" w:type="dxa"/>
            <w:vAlign w:val="bottom"/>
          </w:tcPr>
          <w:p>
            <w:pPr>
              <w:spacing w:after="0"/>
              <w:rPr>
                <w:sz w:val="14"/>
                <w:szCs w:val="14"/>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on Securities</w:t>
            </w:r>
          </w:p>
        </w:tc>
        <w:tc>
          <w:tcPr>
            <w:tcW w:w="14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Comprehensive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Immaterial amounts of unrealized gains and losses have been reclassified into the condensed consolidated statement of operations for the three and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2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assess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79"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We evaluate our finite-lived intangible assets and other long-lived assets for indicators of possible impairment when events or changes in circumstances indicate that the carrying amount of an asset may not be recoverable. If any indicator of impairment exists, we assess the recoverability of the affected asset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In February 2014, we closed an underwritten public offering $201.3 million aggregate principal amount of our 2.75% Senior Convertible Notes due 2034 (2014 Notes). In March 2018, we entered into separate privately negotiated transactions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certain holders of our 2014 Notes to exchange $150.0 million in aggregate principal amount of the 2014 Notes for our new 2.75% Exchange Convertible Senior Notes due 2034 (2018 Notes).</w:t>
      </w:r>
    </w:p>
    <w:p>
      <w:pPr>
        <w:spacing w:after="0" w:line="170" w:lineRule="exact"/>
        <w:rPr>
          <w:sz w:val="20"/>
          <w:szCs w:val="20"/>
          <w:color w:val="auto"/>
        </w:rPr>
      </w:pPr>
    </w:p>
    <w:p>
      <w:pPr>
        <w:ind w:right="80" w:firstLine="392"/>
        <w:spacing w:after="0" w:line="277" w:lineRule="auto"/>
        <w:rPr>
          <w:sz w:val="20"/>
          <w:szCs w:val="20"/>
          <w:color w:val="auto"/>
        </w:rPr>
      </w:pPr>
      <w:r>
        <w:rPr>
          <w:rFonts w:ascii="Arial" w:cs="Arial" w:eastAsia="Arial" w:hAnsi="Arial"/>
          <w:sz w:val="18"/>
          <w:szCs w:val="18"/>
          <w:color w:val="auto"/>
        </w:rPr>
        <w:t>Following the exchange, approximately $51.3 million in aggregate principal amount of the 2014 Notes remain outstanding in addition to $150.0 million in aggregate principal amount of the 2018 Notes.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Footnote 4. Convertible Notes and Credit Facility for the accounting treatment of the transaction and additional information about the exchange.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(Topic 606). Topic 606 and its related amendments supersede Revenue Recognition (Topic 605), issued in June 2010, and provide principles for recognizing revenue for goods and services in a manner consistent with the transfer of control of those goods and services to the customer.</w:t>
      </w:r>
    </w:p>
    <w:p>
      <w:pPr>
        <w:spacing w:after="0" w:line="181" w:lineRule="exact"/>
        <w:rPr>
          <w:sz w:val="20"/>
          <w:szCs w:val="20"/>
          <w:color w:val="auto"/>
        </w:rPr>
      </w:pPr>
    </w:p>
    <w:p>
      <w:pPr>
        <w:ind w:right="40" w:firstLine="392"/>
        <w:spacing w:after="0" w:line="272" w:lineRule="auto"/>
        <w:rPr>
          <w:sz w:val="20"/>
          <w:szCs w:val="20"/>
          <w:color w:val="auto"/>
        </w:rPr>
      </w:pPr>
      <w:r>
        <w:rPr>
          <w:rFonts w:ascii="Arial" w:cs="Arial" w:eastAsia="Arial" w:hAnsi="Arial"/>
          <w:sz w:val="17"/>
          <w:szCs w:val="17"/>
          <w:color w:val="auto"/>
        </w:rPr>
        <w:t>We adopted Topic 606 on January 1, 2018, using the modified retrospective method applied to those contracts with unrecognized revenue on the adoption date. We recognized the effect of applying the new revenue standard by recording a cumulative catch-up adjustment that reduced the accumulated deficit component of stockholders’ equity by $0.4 million and increased current assets by $0.2 million and non-current assets by $0.2 million. The adjustment capitalized certain sales commission costs that were incurred to obtain instrument service contracts. Under Topic 605, we accounted for these incremental contract acquisition costs by recognizing them as expense at the point the contract was awarded. Under Topic 606, the costs are capitalized and amortized to expense over the life of the contract, which is generally one to three years. The comparative information for periods prior to January 1, 2018, has not been restated and continues to be reported in accordance with Topic 605.</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cumulative effect of adopting Topic 606 on amounts previously reported in our consolidated balance sheet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Balance at December 31,</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Topic 606 Transition</w:t>
            </w:r>
          </w:p>
        </w:tc>
        <w:tc>
          <w:tcPr>
            <w:tcW w:w="120" w:type="dxa"/>
            <w:vAlign w:val="bottom"/>
          </w:tcPr>
          <w:p>
            <w:pPr>
              <w:spacing w:after="0"/>
              <w:rPr>
                <w:sz w:val="14"/>
                <w:szCs w:val="14"/>
                <w:color w:val="auto"/>
              </w:rPr>
            </w:pPr>
          </w:p>
        </w:tc>
        <w:tc>
          <w:tcPr>
            <w:tcW w:w="148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Balance at January 1,</w:t>
            </w:r>
          </w:p>
        </w:tc>
      </w:t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14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94,801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94,954</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7,746</w:t>
            </w:r>
          </w:p>
        </w:tc>
      </w:tr>
      <w:tr>
        <w:trPr>
          <w:trHeight w:val="243"/>
        </w:trPr>
        <w:tc>
          <w:tcPr>
            <w:tcW w:w="64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287,351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287,709</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(499,838)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30,935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31,293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287,351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287,709</w:t>
            </w:r>
          </w:p>
        </w:tc>
      </w:tr>
      <w:tr>
        <w:trPr>
          <w:trHeight w:val="27"/>
        </w:trPr>
        <w:tc>
          <w:tcPr>
            <w:tcW w:w="6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impacts on our condensed consolidated statements of operations of adopting Topic 606 compared to Topic 605 for the three and nine months ended September 30,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Balance Without</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 Without</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8"/>
              </w:rPr>
              <w:t>As Reported</w:t>
            </w:r>
          </w:p>
        </w:tc>
        <w:tc>
          <w:tcPr>
            <w:tcW w:w="260" w:type="dxa"/>
            <w:vAlign w:val="bottom"/>
          </w:tcPr>
          <w:p>
            <w:pPr>
              <w:spacing w:after="0"/>
              <w:rPr>
                <w:sz w:val="12"/>
                <w:szCs w:val="12"/>
                <w:color w:val="auto"/>
              </w:rPr>
            </w:pPr>
          </w:p>
        </w:tc>
        <w:tc>
          <w:tcPr>
            <w:tcW w:w="11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4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Effect of Change</w:t>
            </w:r>
          </w:p>
        </w:tc>
        <w:tc>
          <w:tcPr>
            <w:tcW w:w="180" w:type="dxa"/>
            <w:vAlign w:val="bottom"/>
          </w:tcPr>
          <w:p>
            <w:pPr>
              <w:spacing w:after="0"/>
              <w:rPr>
                <w:sz w:val="12"/>
                <w:szCs w:val="12"/>
                <w:color w:val="auto"/>
              </w:rPr>
            </w:pPr>
          </w:p>
        </w:tc>
        <w:tc>
          <w:tcPr>
            <w:tcW w:w="11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6"/>
              </w:rPr>
              <w:t>As Reported</w:t>
            </w:r>
          </w:p>
        </w:tc>
        <w:tc>
          <w:tcPr>
            <w:tcW w:w="240" w:type="dxa"/>
            <w:vAlign w:val="bottom"/>
          </w:tcPr>
          <w:p>
            <w:pPr>
              <w:spacing w:after="0"/>
              <w:rPr>
                <w:sz w:val="12"/>
                <w:szCs w:val="12"/>
                <w:color w:val="auto"/>
              </w:rPr>
            </w:pPr>
          </w:p>
        </w:tc>
        <w:tc>
          <w:tcPr>
            <w:tcW w:w="11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Topic 606</w:t>
            </w:r>
          </w:p>
        </w:tc>
        <w:tc>
          <w:tcPr>
            <w:tcW w:w="1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Topic 606</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3280" w:type="dxa"/>
            <w:vAlign w:val="bottom"/>
            <w:tcBorders>
              <w:top w:val="single" w:sz="8" w:color="auto"/>
              <w:bottom w:val="single" w:sz="8" w:color="auto"/>
            </w:tcBorders>
            <w:gridSpan w:val="4"/>
          </w:tcPr>
          <w:p>
            <w:pPr>
              <w:jc w:val="center"/>
              <w:ind w:left="275"/>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260" w:type="dxa"/>
            <w:vAlign w:val="bottom"/>
            <w:tcBorders>
              <w:top w:val="single" w:sz="8" w:color="auto"/>
              <w:bottom w:val="single" w:sz="8" w:color="auto"/>
            </w:tcBorders>
            <w:gridSpan w:val="4"/>
          </w:tcPr>
          <w:p>
            <w:pPr>
              <w:jc w:val="center"/>
              <w:ind w:left="295"/>
              <w:spacing w:after="0"/>
              <w:rPr>
                <w:sz w:val="20"/>
                <w:szCs w:val="20"/>
                <w:color w:val="auto"/>
              </w:rPr>
            </w:pPr>
            <w:r>
              <w:rPr>
                <w:rFonts w:ascii="Arial" w:cs="Arial" w:eastAsia="Arial" w:hAnsi="Arial"/>
                <w:sz w:val="14"/>
                <w:szCs w:val="14"/>
                <w:b w:val="1"/>
                <w:bCs w:val="1"/>
                <w:color w:val="auto"/>
                <w:w w:val="93"/>
              </w:rPr>
              <w:t>Nine Months Ended September 30, 2018</w:t>
            </w:r>
          </w:p>
        </w:tc>
        <w:tc>
          <w:tcPr>
            <w:tcW w:w="5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20,020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20,035</w:t>
            </w:r>
          </w:p>
        </w:tc>
        <w:tc>
          <w:tcPr>
            <w:tcW w:w="80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57,812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57,877</w:t>
            </w:r>
          </w:p>
        </w:tc>
        <w:tc>
          <w:tcPr>
            <w:tcW w:w="78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40,591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40,606</w:t>
            </w:r>
          </w:p>
        </w:tc>
        <w:tc>
          <w:tcPr>
            <w:tcW w:w="800" w:type="dxa"/>
            <w:vAlign w:val="bottom"/>
          </w:tcPr>
          <w:p>
            <w:pPr>
              <w:jc w:val="right"/>
              <w:ind w:right="533"/>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117,685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117,750</w:t>
            </w:r>
          </w:p>
        </w:tc>
        <w:tc>
          <w:tcPr>
            <w:tcW w:w="78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80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(37,111)</w:t>
            </w:r>
          </w:p>
        </w:tc>
        <w:tc>
          <w:tcPr>
            <w:tcW w:w="78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(15,545)</w:t>
            </w:r>
          </w:p>
        </w:tc>
        <w:tc>
          <w:tcPr>
            <w:tcW w:w="800" w:type="dxa"/>
            <w:vAlign w:val="bottom"/>
          </w:tcPr>
          <w:p>
            <w:pPr>
              <w:jc w:val="right"/>
              <w:ind w:right="53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(46,405)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(46,470)</w:t>
            </w:r>
          </w:p>
        </w:tc>
        <w:tc>
          <w:tcPr>
            <w:tcW w:w="78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c>
          <w:tcPr>
            <w:tcW w:w="80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(44,238)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(44,303)</w:t>
            </w:r>
          </w:p>
        </w:tc>
        <w:tc>
          <w:tcPr>
            <w:tcW w:w="78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impacts on our condensed consolidated balance sheets of adopting Topic 606 compared to Topic 605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Balance Without</w:t>
            </w: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As Reported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20" w:type="dxa"/>
            <w:vAlign w:val="bottom"/>
          </w:tcPr>
          <w:p>
            <w:pPr>
              <w:spacing w:after="0"/>
              <w:rPr>
                <w:sz w:val="12"/>
                <w:szCs w:val="12"/>
                <w:color w:val="auto"/>
              </w:rPr>
            </w:pPr>
          </w:p>
        </w:tc>
        <w:tc>
          <w:tcPr>
            <w:tcW w:w="14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Topic 606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 2018</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71,860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71,688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61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252,290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251,867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618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252,290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251,867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The ASU addresses eight specific cash flow issues and their presentation within the statement of cash flows. We adopted this ASU in the first quarter of 2018. The adoption of this ASU did not have a material impact on our condensed consolidated financial statements.</w:t>
      </w:r>
    </w:p>
    <w:p>
      <w:pPr>
        <w:spacing w:after="0" w:line="181"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FASB’s Emerging Issues Task Force, amending the presentation of restricted cash within the statement of cash flows. The new guidance requires that restricted cash be included within cash and cash equivalents on the statement of cash flows. We adopted this ASU in the first quarter of 2018. The adoption of this ASU did not have a material impact on our condensed consolidated financial statements.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In February 2016, the FASB issued ASU 2016-02 Leases (Topic 842). This ASU requires lessees to recognize a right-of-use asset and a lease liability on the balance sheet for all leases except short-term leases. For lessees, leases will continue to be classified as either operating or finance leases in the income statement. Lessor accounting under this ASU is similar to the current model but updated to align with certain changes to the lessee model. Lessors will continue to classify leases as operating, direct financing or sales-type leases. ASU 2016-02 will be effective for our fiscal year beginning January 1, 2019, and early adoption is permitted. During the third quarter of 2018, the FASB provided a practical expedient transition method</w:t>
      </w:r>
    </w:p>
    <w:p>
      <w:pPr>
        <w:spacing w:after="0" w:line="2"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to adopt the new lease requirements by allowing companies to recognize a cumulative-effect adjustment to the opening balance of retained earnings in the period of adoption that would enable us to not provide comparative period financial statements. Instead, we would apply the transition provisions at its effective date. The Company will adopt the new standard on January 1, 2019. The Company has developed a project plan and we are in the process of reviewing our lease portfolio, analyzing the potential accounting impact and determining the use of practical expedients upon adoption.</w:t>
      </w:r>
    </w:p>
    <w:p>
      <w:pPr>
        <w:spacing w:after="0" w:line="378" w:lineRule="exact"/>
        <w:rPr>
          <w:sz w:val="20"/>
          <w:szCs w:val="20"/>
          <w:color w:val="auto"/>
        </w:rPr>
      </w:pPr>
    </w:p>
    <w:p>
      <w:pPr>
        <w:ind w:right="340" w:firstLine="405"/>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effect that the updated standard will have on our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In February 2018, the FASB issued ASU 2018-02 Income Statement - Reporting Comprehensive Income (Topic 220): Reclassification of Certain Tax Effects from Accumulated Other Comprehensive Income. This ASU amends the reporting of comprehensive income to allow a reclassification from accumulated other comprehensive income to retained earnings for stranded tax effects resulting from the Tax Cuts and Jobs Act (the Tax Act). The Tax Act was enacted in December 2017 and</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reduced the U.S federal corporate income tax rate and made other changes to U.S. federal tax law. ASU 2018-02 will be effective for our fiscal year beginning January 1, 2019, and early adoption is permitted. We are currently evaluating the accounting, transition, and disclosure requirements of the standard. We are currently evaluating the effect that the updated standard will have on our consolidated financial statements.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March 2018, the FASB issued ASU No. 2018-05, Income Taxes (Topic 740): Amendments to SEC Paragraphs Pursuant to SEC Staff Accounting Bulletin No. 118. This ASU allows SEC reporting companies to record provisional amounts in earnings for the year ended December 31, 2017, due to the complexities involved in accounting for the enactment of the Tax Act. The Company recognized the estimated income tax effects of the Tax Act in its 2017 Consolidated Financial Statements in accordance with SEC Staff Accounting Bulletin No. 118 (“SAB No. 118”). Refer to Note 10 for further information regarding the provisional amounts recorded by the Company as of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right="340" w:firstLine="392"/>
        <w:spacing w:after="0" w:line="264"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is reported net of any sales, use and value-added taxes we collect from customers as required by government authorities.</w:t>
      </w:r>
    </w:p>
    <w:p>
      <w:pPr>
        <w:spacing w:after="0" w:line="225" w:lineRule="exact"/>
        <w:rPr>
          <w:sz w:val="20"/>
          <w:szCs w:val="20"/>
          <w:color w:val="auto"/>
        </w:rPr>
      </w:pPr>
    </w:p>
    <w:p>
      <w:pPr>
        <w:jc w:val="both"/>
        <w:ind w:right="260" w:firstLine="392"/>
        <w:spacing w:after="0" w:line="302"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w:t>
      </w:r>
    </w:p>
    <w:p>
      <w:pPr>
        <w:spacing w:after="0" w:line="12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Customers generally do not have a unilateral right to return products after delivery. Instruments are sold with an assurance-type warranty and the estimated cost of the warranty is recognized as expense at the point when revenue is recognized. Invoices are generally issued at shipment and become due in 30 to 60 days.</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We recognize revenue from repairs, installation, training and other specialized product support services at the point in time the work is completed.</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Installation and training services are generally billed in advance of service. Repairs and other services are generally billed at the point the work is completed.</w:t>
      </w:r>
    </w:p>
    <w:p>
      <w:pPr>
        <w:spacing w:after="0" w:line="23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Revenue associated with instrument service contracts is recognized ratably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right="320" w:firstLine="405"/>
        <w:spacing w:after="0" w:line="257" w:lineRule="auto"/>
        <w:rPr>
          <w:sz w:val="20"/>
          <w:szCs w:val="20"/>
          <w:color w:val="auto"/>
        </w:rPr>
      </w:pPr>
      <w:r>
        <w:rPr>
          <w:rFonts w:ascii="Arial" w:cs="Arial" w:eastAsia="Arial" w:hAnsi="Arial"/>
          <w:sz w:val="18"/>
          <w:szCs w:val="18"/>
          <w:color w:val="auto"/>
        </w:rPr>
        <w:t>We reported $15.2 million of deferred revenue on our December 31, 2017 consolidated balance sheet. During the three months ended September 30, 2018, $3.5 million of the opening balance was recognized as revenue and $6.1 million of net additional advance payments were received from customers, primarily associated with instrument service contracts. During the nine months ended September 30, 2018, $9.8 million of the opening balance was recognized as revenue and $15.5 million of net additional advance payments were received from customers, primarily associated with instrument service contracts. At September 30, 2018, we reported $17.2 million of deferred revenue.</w:t>
      </w:r>
    </w:p>
    <w:p>
      <w:pPr>
        <w:spacing w:after="0" w:line="200" w:lineRule="exact"/>
        <w:rPr>
          <w:sz w:val="20"/>
          <w:szCs w:val="20"/>
          <w:color w:val="auto"/>
        </w:rPr>
      </w:pPr>
    </w:p>
    <w:p>
      <w:pPr>
        <w:spacing w:after="0" w:line="20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September 30,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 xml:space="preserve">Expected Revenue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(remainder of the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4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500" w:firstLine="8"/>
        <w:spacing w:after="0" w:line="286"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69" w:lineRule="exact"/>
        <w:rPr>
          <w:sz w:val="20"/>
          <w:szCs w:val="20"/>
          <w:color w:val="auto"/>
        </w:rPr>
      </w:pPr>
    </w:p>
    <w:p>
      <w:pPr>
        <w:ind w:right="300" w:firstLine="216"/>
        <w:spacing w:after="0" w:line="277" w:lineRule="auto"/>
        <w:rPr>
          <w:sz w:val="20"/>
          <w:szCs w:val="20"/>
          <w:color w:val="auto"/>
        </w:rPr>
      </w:pPr>
      <w:r>
        <w:rPr>
          <w:rFonts w:ascii="Arial" w:cs="Arial" w:eastAsia="Arial" w:hAnsi="Arial"/>
          <w:sz w:val="18"/>
          <w:szCs w:val="18"/>
          <w:color w:val="auto"/>
        </w:rPr>
        <w:t>We apply the practical expedient that permits us to not disclose information about unsatisfied performance obligations that are expected to be delivered within one year.</w:t>
      </w:r>
    </w:p>
    <w:p>
      <w:pPr>
        <w:spacing w:after="0" w:line="40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Contract Costs</w:t>
      </w:r>
    </w:p>
    <w:p>
      <w:pPr>
        <w:spacing w:after="0" w:line="36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reported $0.4 million of capitalized commission costs from instrument service contracts on our December 31, 2017 and September 30, 2018, condensed consolidated balance sheets. Additional costs capitalized during the three and nine months ended September 30, 2018, net of amortization, was not material.</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Applying the revenue recognition practices discussed above often requires significant judgment. Assessing collectability requires us to determine if the customer has the ability and intent to make payments. This requires a comprehensive review of all relevant facts, including the customer’s historical practices and current financial condition. Estimating the amount of our future warranty obligations requires judgment. If warranty claims or the cost of servicing our products under warranty exceed our estimates, our cost of revenues could be adversely affected in future periods. Judgment is required when identifying performance obligations, estimating SSP and allocating purchasing consideration in multi-element arrangements.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 disaggregates our revenue for the three and nine months ended September 30, 2018, and 2017, respectively, by geographic area and by products and services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Year Over Year</w:t>
            </w:r>
          </w:p>
        </w:tc>
        <w:tc>
          <w:tcPr>
            <w:tcW w:w="16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6"/>
                <w:szCs w:val="16"/>
                <w:color w:val="auto"/>
              </w:rPr>
            </w:pPr>
          </w:p>
        </w:tc>
        <w:tc>
          <w:tcPr>
            <w:tcW w:w="11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Year Over Year</w:t>
            </w:r>
          </w:p>
        </w:tc>
        <w:tc>
          <w:tcPr>
            <w:tcW w:w="0" w:type="dxa"/>
            <w:vAlign w:val="bottom"/>
          </w:tcPr>
          <w:p>
            <w:pPr>
              <w:spacing w:after="0"/>
              <w:rPr>
                <w:sz w:val="1"/>
                <w:szCs w:val="1"/>
                <w:color w:val="auto"/>
              </w:rPr>
            </w:pPr>
          </w:p>
        </w:tc>
      </w:tr>
      <w:tr>
        <w:trPr>
          <w:trHeight w:val="71"/>
        </w:trPr>
        <w:tc>
          <w:tcPr>
            <w:tcW w:w="36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Markets: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13,233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11,154</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35,391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34,659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6,526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28,963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24,747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80,639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74,193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Products and Services: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Consumables</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34,665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28,963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24,747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80,639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74,193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Notes and Credit Facility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Senior Convertible Notes (2014 Notes)</w:t>
      </w:r>
    </w:p>
    <w:p>
      <w:pPr>
        <w:spacing w:after="0" w:line="225"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(2014 Notes), pursuant to an underwriting agreement dated January 29, 2014. The 2014 Notes accrue interest at a rate of 2.75% per year, payable semi-annually in arrears on February 1 and August 1 of each year. Interest on the 2014 Notes accrued from February 4, 2014. The 2014 Notes will mature on February 1, 2034, unless earlier converted, redeemed, or repurchased in accordance with the terms of the 2014 Notes.</w:t>
      </w:r>
    </w:p>
    <w:p>
      <w:pPr>
        <w:spacing w:after="0" w:line="17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initial conversion rate of the 2014 Notes is 17.8750 shares of our common stock, par value $0.001 per share, per $1,000 principal amount of 2014 Notes (which is equivalent to an initial conversion price of approximately $55.94 per share). The conversion rate will be subject to adjustment upon the occurrence of certain specified events, including upon a conversion in connection with a fundamental change, as defined in the indenture governing the 2014 Notes or, subject to certain conditions, redemption of the 2014 Notes by the Company.</w:t>
      </w:r>
    </w:p>
    <w:p>
      <w:pPr>
        <w:spacing w:after="0" w:line="18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Holders may surrender their 2014 Notes for conversion at any time prior to the stated maturity date. On or after February 6, 2018, and prior to February 6, 2021, we may redeem any or all of the 2014 Notes in cash if the closing price of our common stock exceeds 130% of the conversion price for a specified number of days, and on or after February 6, 2021, we may redeem any or all of the 2014 Notes in cash without any such condition. The redemption price of the 2014 Notes will equal 100% of the principal amount of the 2014 Notes plus accrued and unpaid interest. Holders may require us to repurchase all or a portion of their 2014 Notes on each of February 6, 2021, February 6, 2024, and February 6, 2029, at a repurchase price in cash equal to 100% of the principal amount of the 2014 Notes plus accrued and unpaid interest. If we undergo a fundamental change, as defined in the indenture governing the 2014 Notes, holders may require us to repurchase the 2014 Notes in whole or in part for cash at a repurchase price equal to 100% of the principal amount of the 2014 Notes plus accrued and unpaid interest.</w:t>
      </w:r>
    </w:p>
    <w:p>
      <w:pPr>
        <w:spacing w:after="0" w:line="192"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In February 2014, we received $195.2 million, net of underwriting discounts, from the issuance of the 2014 Notes and incurred approximately $1.1 million in offering-related expenses. The underwriting discount of $6.0 million and the debt issuance costs of $1.1 million were recorded as offsets to the proceeds.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Senior Convertible Notes (2018 Notes)</w:t>
      </w:r>
    </w:p>
    <w:p>
      <w:pPr>
        <w:spacing w:after="0" w:line="225" w:lineRule="exact"/>
        <w:rPr>
          <w:sz w:val="20"/>
          <w:szCs w:val="20"/>
          <w:color w:val="auto"/>
        </w:rPr>
      </w:pPr>
    </w:p>
    <w:p>
      <w:pPr>
        <w:ind w:right="140" w:firstLine="392"/>
        <w:spacing w:after="0" w:line="279" w:lineRule="auto"/>
        <w:rPr>
          <w:sz w:val="20"/>
          <w:szCs w:val="20"/>
          <w:color w:val="auto"/>
        </w:rPr>
      </w:pPr>
      <w:r>
        <w:rPr>
          <w:rFonts w:ascii="Arial" w:cs="Arial" w:eastAsia="Arial" w:hAnsi="Arial"/>
          <w:sz w:val="17"/>
          <w:szCs w:val="17"/>
          <w:color w:val="auto"/>
        </w:rPr>
        <w:t>In March 2018, we entered into separate privately negotiated transactions with certain holders of our 2014 Notes to exchange $150.0 million in aggregate principal amount of the 2014 Notes for new convertible notes (2018 Notes). As of the closing of the 2018 Notes on March 12, 2018, the estimated fair value was $145.5 million. The difference between the $150.0 million aggregate principal amount of the 2018 Notes and its fair value will be amortized over the expected term of the 2018 Notes using the effective interest method through the first note holder put date of February 6, 2023.</w:t>
      </w:r>
    </w:p>
    <w:p>
      <w:pPr>
        <w:spacing w:after="0" w:line="171"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We accounted for the exchange transaction as an extinguishment of debt due to the significance of the change in value of the embedded conversion option, resulting in a $0.1 million gain. The gain on extinguishment of debt was calculated as the difference between the reacquisition price (i.e., the fair value of the principal amount of 2018 Notes) and the net carrying value of the 2014 Notes exchanged net of unamortized debt discount and debt issuance cost write-offs.</w:t>
      </w:r>
    </w:p>
    <w:p>
      <w:pPr>
        <w:spacing w:after="0" w:line="187" w:lineRule="exact"/>
        <w:rPr>
          <w:sz w:val="20"/>
          <w:szCs w:val="20"/>
          <w:color w:val="auto"/>
        </w:rPr>
      </w:pPr>
    </w:p>
    <w:p>
      <w:pPr>
        <w:ind w:firstLine="392"/>
        <w:spacing w:after="0" w:line="269" w:lineRule="auto"/>
        <w:rPr>
          <w:sz w:val="20"/>
          <w:szCs w:val="20"/>
          <w:color w:val="auto"/>
        </w:rPr>
      </w:pPr>
      <w:r>
        <w:rPr>
          <w:rFonts w:ascii="Arial" w:cs="Arial" w:eastAsia="Arial" w:hAnsi="Arial"/>
          <w:sz w:val="17"/>
          <w:szCs w:val="17"/>
          <w:color w:val="auto"/>
        </w:rPr>
        <w:t>The 2018 Notes accrue interest at a rate of 2.75%, payable semi-annually in arrears on February 1 and August 1 of each year. Interest on the 2018 Notes will accrue from February 1, 2018. The 2018 Notes will mature on February 1, 2034, unless earlier converted, redeemed, or repurchased in accordance with the terms of the indenture governing the 2018 Notes. The initial conversion rate of the 2018 Notes is 126.9438 shares of our common stock, par value $0.001 per share, per $1,000 principal amount of the 2018 Notes (which is equivalent to an initial conversion price of approximately $7.88 per share). The conversion rate will be subject to adjustment upon the occurrence of certain specified events. Those certain specified events include Holders who convert their 2018 Notes voluntarily prior to our exercise of the Issuer's Conversion Option or in connection with a make-whole fundamental change prior to February 6, 2023, are entitled, under certain circumstances, to a make-whole premium in the form of an increase in the conversion rate determined by reference to a make-whole table set forth in the indenture governing the 2018 Notes. Any time prior to the maturity of the 2018 Notes, we may convert the 2018 Notes, in whole but not in part, into cash, shares of our common stock, or combination thereof, if the closing price of our common stock equals or exceeds 110% of the conversion price then in effect for a specified number of days (Issuer’s Conversion Option). On or after February 6, 2022, we may elect to redeem all or any portion of the 2018 Notes at a redemption price equal to 100% of the accreted principal amount of the 2018 Notes on the redemption date of the 2018 Notes, plus accrued and unpaid interest.</w:t>
      </w:r>
    </w:p>
    <w:p>
      <w:pPr>
        <w:spacing w:after="0" w:line="180"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Holders of the 2018 Notes have the right, at their option, to require us to purchase all or a portion of the 2018 Notes (i) on February 6, 2023, February 6, 2026, and February 6, 2029, or (ii) in the event of a fundamental change, as defined in the indenture governing the 2018 Notes, in each case, at a repurchase price equal to 100% of the accreted principal amount (i.e., up to 120% of the outstanding principal amount) of the 2018 Notes on the fundamental change repurchase date, plus accrued and unpaid interest.</w:t>
      </w:r>
    </w:p>
    <w:p>
      <w:pPr>
        <w:spacing w:after="0" w:line="187"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color w:val="auto"/>
        </w:rPr>
        <w:t>As the 2018 Notes are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will be amortized over the expected term of the 2018 Notes, using the effective interest method through the first note holder put date, of February 6, 2023.</w:t>
      </w:r>
    </w:p>
    <w:p>
      <w:pPr>
        <w:spacing w:after="0" w:line="165" w:lineRule="exact"/>
        <w:rPr>
          <w:sz w:val="20"/>
          <w:szCs w:val="20"/>
          <w:color w:val="auto"/>
        </w:rPr>
      </w:pPr>
    </w:p>
    <w:p>
      <w:pPr>
        <w:ind w:right="40" w:firstLine="392"/>
        <w:spacing w:after="0" w:line="276" w:lineRule="auto"/>
        <w:rPr>
          <w:sz w:val="20"/>
          <w:szCs w:val="20"/>
          <w:color w:val="auto"/>
        </w:rPr>
      </w:pPr>
      <w:r>
        <w:rPr>
          <w:rFonts w:ascii="Arial" w:cs="Arial" w:eastAsia="Arial" w:hAnsi="Arial"/>
          <w:sz w:val="17"/>
          <w:szCs w:val="17"/>
          <w:color w:val="auto"/>
        </w:rPr>
        <w:t>Offering-related costs for the 2018 Notes were approximately $2.8 million and were paid in the first and second quarters of 2018. Offering-related costs of $2.2 million were capitalized as debt issuance costs, recorded as an offset to the carrying value of the 2018 Notes, and will be amortized over the expected term of the 2018 Notes using the effective interest method through the first note holder put date of February 6, 2023. Offering-related costs of $0.6 million were accounted for as equity issuance costs, recorded as an offset to additional paid-in capital, and are not subject to amortization. Offering-related costs were allocated between debt and equity in the same proportion as the allocation of the 2018 Notes between debt and equity.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values of the components of the 2014 Notes and the 2018 Notes are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2.75% 2014 Notes due 2034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Principal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51,250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201,250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195,238</w:t>
            </w:r>
          </w:p>
        </w:tc>
      </w:tr>
      <w:tr>
        <w:trPr>
          <w:trHeight w:val="237"/>
        </w:trPr>
        <w:tc>
          <w:tcPr>
            <w:tcW w:w="8120" w:type="dxa"/>
            <w:vAlign w:val="bottom"/>
          </w:tcPr>
          <w:p>
            <w:pPr>
              <w:ind w:left="260"/>
              <w:spacing w:after="0"/>
              <w:rPr>
                <w:sz w:val="20"/>
                <w:szCs w:val="20"/>
                <w:color w:val="auto"/>
              </w:rPr>
            </w:pPr>
            <w:r>
              <w:rPr>
                <w:rFonts w:ascii="Arial" w:cs="Arial" w:eastAsia="Arial" w:hAnsi="Arial"/>
                <w:sz w:val="18"/>
                <w:szCs w:val="18"/>
                <w:b w:val="1"/>
                <w:bCs w:val="1"/>
                <w:color w:val="auto"/>
              </w:rPr>
              <w:t>2.75% 2018 Notes due 2034</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Premium accretion of 2018 Notes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169,345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195,238</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Revolving Credit Facility</w:t>
      </w:r>
    </w:p>
    <w:p>
      <w:pPr>
        <w:spacing w:after="0" w:line="225"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On August 2, 2018, the Company entered into a revolving credit facility with Silicon Valley Bank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the Company may make and repay borrowings from time to time until the maturity of the revolving credit facility. As of September 30, 2018, availability under the revolving credit facility was $12.8 million. There were no borrowings outstanding under the Revolving Credit Facility at September 30, 2018.</w:t>
      </w:r>
    </w:p>
    <w:p>
      <w:pPr>
        <w:spacing w:after="0" w:line="178" w:lineRule="exact"/>
        <w:rPr>
          <w:sz w:val="20"/>
          <w:szCs w:val="20"/>
          <w:color w:val="auto"/>
        </w:rPr>
      </w:pPr>
    </w:p>
    <w:p>
      <w:pPr>
        <w:ind w:right="360" w:firstLine="392"/>
        <w:spacing w:after="0" w:line="279" w:lineRule="auto"/>
        <w:rPr>
          <w:sz w:val="20"/>
          <w:szCs w:val="20"/>
          <w:color w:val="auto"/>
        </w:rPr>
      </w:pPr>
      <w:r>
        <w:rPr>
          <w:rFonts w:ascii="Arial" w:cs="Arial" w:eastAsia="Arial" w:hAnsi="Arial"/>
          <w:sz w:val="17"/>
          <w:szCs w:val="17"/>
          <w:color w:val="auto"/>
        </w:rPr>
        <w:t>The Revolving Credit Facility matures on August 2, 2020 and is collateralized by substantially all the Company’s property, other than intellectual property. Outstanding loans under the Revolving Credit Facility will bear interest, at the greater of (i) prime rate plus 0.50% or (ii) 5.50%. Interest on any outstanding loans is due and payable monthly and the principal balance is due at maturity though loans can be prepaid at any time without penalty. In addition, the Company pays a quarterly unused revolving line facility fee of .75% per annum on the average unused facility.</w:t>
      </w:r>
    </w:p>
    <w:p>
      <w:pPr>
        <w:spacing w:after="0" w:line="171"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Subject to certain exceptions, the Company must pay a prepayment fee equal to (i) 2.00% of the Maximum Amount if it prepays all advances and terminates the Loan Agreement prior to August 2, 2019, or (ii) 1.00% of the Maximum Amount if it prepays all advances and terminates the Loan Agreement on or after August 2, 2019, and prior to the maturity date.</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incurred approximately $318,000 of debt issuance costs in connection wtih the facility, including $225,000 in commitment fees. Half of the commitment fee was paid at the inception of the facility with the remainder due on the earliest of (i) August 2, 2019, (ii) the date on which the Company terminates this Agreement or (iii) the occurrence and continuance of an event of default. Debt issuance costs were capitalized and are being amortized to interest expense over the life of the Revolving Credit Facility.</w:t>
      </w:r>
    </w:p>
    <w:p>
      <w:pPr>
        <w:spacing w:after="0" w:line="187" w:lineRule="exact"/>
        <w:rPr>
          <w:sz w:val="20"/>
          <w:szCs w:val="20"/>
          <w:color w:val="auto"/>
        </w:rPr>
      </w:pPr>
    </w:p>
    <w:p>
      <w:pPr>
        <w:ind w:right="80" w:firstLine="392"/>
        <w:spacing w:after="0" w:line="270" w:lineRule="auto"/>
        <w:rPr>
          <w:sz w:val="20"/>
          <w:szCs w:val="20"/>
          <w:color w:val="auto"/>
        </w:rPr>
      </w:pPr>
      <w:r>
        <w:rPr>
          <w:rFonts w:ascii="Arial" w:cs="Arial" w:eastAsia="Arial" w:hAnsi="Arial"/>
          <w:sz w:val="17"/>
          <w:szCs w:val="17"/>
          <w:color w:val="auto"/>
        </w:rPr>
        <w:t>The Revolving Credit Facility contains customary affirmative and negative covenants which, unless waived by the bank, limit the Company’s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the Company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was in compliance with all the terms and conditions of the Revolving Credit Facility at September 30, 2018.</w:t>
      </w:r>
    </w:p>
    <w:p>
      <w:pPr>
        <w:spacing w:after="0" w:line="262" w:lineRule="exact"/>
        <w:rPr>
          <w:sz w:val="20"/>
          <w:szCs w:val="20"/>
          <w:color w:val="auto"/>
        </w:rPr>
      </w:pPr>
    </w:p>
    <w:p>
      <w:pPr>
        <w:ind w:left="260" w:right="9260" w:hanging="252"/>
        <w:spacing w:after="0" w:line="566" w:lineRule="auto"/>
        <w:tabs>
          <w:tab w:leader="none" w:pos="19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i w:val="1"/>
          <w:iCs w:val="1"/>
          <w:color w:val="auto"/>
        </w:rPr>
        <w:t>Financial Instruments</w:t>
      </w:r>
    </w:p>
    <w:p>
      <w:pPr>
        <w:ind w:left="420"/>
        <w:spacing w:after="0"/>
        <w:rPr>
          <w:rFonts w:ascii="Arial" w:cs="Arial" w:eastAsia="Arial" w:hAnsi="Arial"/>
          <w:sz w:val="16"/>
          <w:szCs w:val="16"/>
          <w:b w:val="1"/>
          <w:bCs w:val="1"/>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13,756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13,756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13,756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35,829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35,829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35,829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Level II:</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63,137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63,136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58,056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nine months ended September 30, 2018, and 2017, and there were no changes in the valuation techniques used.</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estimated fair value of the 2014 Notes is based on a market approach. The estimated fair value was approximately $44.5 million and $166.2 million (par value $51.3 million and $201.3 million) as of September 30, 2018, and December 31, 2017, respectively, and represents a Level II valuation.</w:t>
      </w:r>
    </w:p>
    <w:p>
      <w:pPr>
        <w:spacing w:after="0" w:line="124"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color w:val="auto"/>
        </w:rPr>
        <w:t>The estimated fair value of the 2018 Notes is based on a market approach. The estimated fair value was approximately $158.6 million (par value $150.0 million) as of September 30, 2018 and represents a Level II valuation.</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When determining the estimated fair value of our long-term debt, we used a commonly accepted valuation methodology and market-based risk measurements that are indirectly observable, such as credit risk.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Intangible assets include developed technology related to the DVS acquisition and other intangible assets included in Other non-current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1"/>
              </w:rPr>
              <w:t>September 30, 2018</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4,679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64,879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3"/>
              </w:rPr>
              <w:t>December 31, 2017</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74,153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Amortization of intangibles was $3.1 million for both the three months ended September 30, 2018, and 2017, respectively. Amortization of intangibles was $9.3 million for both the nine months ended September 30, 2018, and 2017. Amortization expense includes the amortization of developed technology. In connection with the acquisition of DVS in February 2014, we acquired developed technology with a gross fair value of $112.0 million. These acquired intangible assets are being amortized to cost of product revenue over their useful life of ten years. Related amortization for developed technology for both the three months ended September 30, 2018, and 2017 was $2.8 million. Amortization for developed technology for both the nine months ended September 30, 2018, and 2017 was $8.4 million.</w:t>
      </w:r>
    </w:p>
    <w:p>
      <w:pPr>
        <w:spacing w:after="0" w:line="19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Based on the carrying value of intangible assets, net as of September 30, 2018, the annual amortization expense for intangible assets is expected to be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Amortization Expense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12,243</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12,242</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12,088</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12,004</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13,242</w:t>
            </w:r>
          </w:p>
        </w:tc>
      </w:tr>
      <w:tr>
        <w:trPr>
          <w:trHeight w:val="27"/>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64,879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9580" w:firstLine="8"/>
        <w:spacing w:after="0" w:line="50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Details Inventories</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consisted of the following (in thousands):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Laboratory and manufacturing equipment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20,069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fixtures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33,939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(21,646)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9,760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We accrue for estimated warranty obligations once revenue is recognized. Management periodically reviews the estimated fair value of its warranty liability and records adjustments based on the terms of warranties provided to customers, as well as historical and anticipated warranty claim experience. Activity for our warranty accrual for the three and nine months ended September 30, 2018, and 2017, which is included in other accrued liabilities, is summarized below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474</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693</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680" w:firstLine="8"/>
        <w:spacing w:after="0" w:line="533" w:lineRule="auto"/>
        <w:tabs>
          <w:tab w:leader="none" w:pos="1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right="60" w:firstLine="405"/>
        <w:spacing w:after="0" w:line="273" w:lineRule="auto"/>
        <w:rPr>
          <w:sz w:val="20"/>
          <w:szCs w:val="20"/>
          <w:color w:val="auto"/>
        </w:rPr>
      </w:pPr>
      <w:r>
        <w:rPr>
          <w:rFonts w:ascii="Arial" w:cs="Arial" w:eastAsia="Arial" w:hAnsi="Arial"/>
          <w:sz w:val="17"/>
          <w:szCs w:val="17"/>
          <w:color w:val="auto"/>
        </w:rPr>
        <w:t>We have entered into various long-term non-cancelable operating lease agreements for equipment and facilities expiring at various times through March 2026. We lease office space under non-cancelable leases in the United States, Canada, Singapore, Japan, China, France and the United Kingdom. Certain facility leases also contain rent escalation clauses. Our lease payments are expensed on a straight-line basis over the life of the leases. Rental expense under operating leases, net of amortization of lease incentives and sublease income for the three and nine months ended September 30, 2018 was $1.2 million and $3.6 million, respectively. Rental expense under operating leases, net of amortization of lease incentives and sublease income for the three and nine months ended September 30, 2017 was $1.2 million and $3.8 million, respectively.</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Future minimum lease payments and minimum sublease income under non-cancelable operating leases as of September 30,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Minimum Lease</w:t>
            </w:r>
          </w:p>
        </w:tc>
        <w:tc>
          <w:tcPr>
            <w:tcW w:w="160" w:type="dxa"/>
            <w:vAlign w:val="bottom"/>
          </w:tcPr>
          <w:p>
            <w:pPr>
              <w:spacing w:after="0"/>
              <w:rPr>
                <w:sz w:val="14"/>
                <w:szCs w:val="14"/>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Minimum Sublease</w:t>
            </w:r>
          </w:p>
        </w:tc>
        <w:tc>
          <w:tcPr>
            <w:tcW w:w="200" w:type="dxa"/>
            <w:vAlign w:val="bottom"/>
          </w:tcPr>
          <w:p>
            <w:pPr>
              <w:spacing w:after="0"/>
              <w:rPr>
                <w:sz w:val="14"/>
                <w:szCs w:val="14"/>
                <w:color w:val="auto"/>
              </w:rPr>
            </w:pPr>
          </w:p>
        </w:tc>
        <w:tc>
          <w:tcPr>
            <w:tcW w:w="1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0"/>
              </w:rPr>
              <w:t>Net Operating Leases</w:t>
            </w: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480" w:type="dxa"/>
            <w:vAlign w:val="bottom"/>
          </w:tcPr>
          <w:p>
            <w:pPr>
              <w:jc w:val="right"/>
              <w:ind w:right="534"/>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(remainder of the year)</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incurred indemnification expenses between October 2015 and the third quarter of 2017 to defend claims by Thermo Fisher Scientific, Inc., (Thermo) against one of our employees. In December 2015, Thermo filed a complaint in the Circuit Court for the County of Kalamazoo, Michigan against one of its former employees who had recently been hired by us alleging, among other claims, misappropriation of proprietary information and breach of contractual and fiduciary obligations to Thermo while such individual was still an employee of Thermo. In November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In August 2017, we paid the settlement amount of $3.0 million and received a related insurance recovery payment of $1.0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we may revise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recognized stock-based compensation expense of $2.3 million and $6.1 million during the three and nine months ended September 30, 2018, respectively. We recognized stock-based compensation expense of $2.3 million and $7.1 million during the three and nine months ended September 30, 2017, respectively. As of September 30, 2018, we had $4.4 million, $10.3 million, and $1.3 million of unrecognized stock-based compensation expense related to stock options, restricted stock units, and</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performance stock units, respectively, which are expected to be recognized over a weighted average period of 2.8 years, 2.9 years, and 2.5 years, respectively.</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Equity Incentive Plans (Excluding Stock Option Exchange Program)</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three and nine months ended September 30, 2018, we granted certain employees options to purchase 22,282 and 683,821 shares of common stock, respectively. The options granted during the three months ended September 30, 2018, had exercise prices of $6.40 per share and a total grant date fair value of $0.1 million. The options granted during the nine months ended September 30, 2018, had exercise prices ranging from $5.09 to $6.40 per share and a total grant date fair value of $2.2 million.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and nine months ended September 30, 2018, we granted certain employees 73,826 and 1,305,563 restricted stock units, respectively. The restricted stock unit awards granted during the three months ended September 30, 2018, had fair market values of $6.40 per unit and a total grant date fair value of $0.5 million. The restricted stock unit awards granted during the nine months ended September 30, 2018, had fair market values ranging from $5.09 to $7.81 per unit and a total grant date fair value of $6.8 million.</w:t>
      </w:r>
    </w:p>
    <w:p>
      <w:pPr>
        <w:spacing w:after="0" w:line="18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During the nine months ended September 30, 2018, we granted certain executive officers 167,000 performance stock units. The performance stock unit awards had a grant date fair value of $10.09 per unit and a total grant date fair value of $1.7 million.</w:t>
      </w:r>
    </w:p>
    <w:p>
      <w:pPr>
        <w:spacing w:after="0" w:line="17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 The expenses relating to these performance stock units will be recognized over their three-year vesting periods.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Performance Stock Units</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During the three months ended March 31, 2018, we granted 167,000 performance stock units to certain executive officers and senior level employees. The number of performance stock units ultimately earned is calculated based on the Total Shareholder Return ("TSR") of our common stock as compared to the TSR of a defined group of peer companies during the performance period from January 1, 2018, to December 31, 2020. The percentage of performance stock units that vest will depend on our relative position at the end of the performance period and can range from 0% to 200% of the number of units granted.</w:t>
      </w:r>
    </w:p>
    <w:p>
      <w:pPr>
        <w:spacing w:after="0" w:line="15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Under FASB ASC Topic 718, the provisions of the performance stock unit awards related to TSR are considered a market condition, and the effects of that market condition should be reflected in the grant date fair value of the awards. We used a Monte Carlo simulation pricing model to incorporate the market condition effects at our grant date with a fair value of $10.09 per unit.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Exchange Program</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August 23, 2017, we launched a one-time stock option exchange program (Program) pursuant to which eligible employees were able to exchange certain outstanding stock options (Eligible Options), whether vested or unvested, with an exercise price greater than $4.37 per share and greater than the closing price of a share of our common stock on the NASDAQ Global Select Market on the expiration date of the exchange offer (Offer), for restricted stock units or stock options (New Awards) covering a lesser number of shares than were subject to the Eligible Options exchanged immediately before being canceled in the Offer. Non-employee members of our Board of Directors were not eligible to participate in the Program. The Program expired on September 20, 2017, with a closing price of $5.13 per share.</w:t>
      </w:r>
    </w:p>
    <w:p>
      <w:pPr>
        <w:spacing w:after="0" w:line="19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115 employees elected to surrender Eligible Options to purchase a total of 1,204,198 shares of our common stock, representing approximately 50.02% of the total shares of common stock underlying the Eligible Options. All surrendered options were canceled effective as of the expiration date, and immediately thereafter, in exchange for such surrendered options, we issued (i) new options to purchase an aggregate of 399,117 shares of our common stock with an exercise price of $5.13; and (ii) restricted stock units representing 54,944 shares of our common stock, each, pursuant to the terms of the Offer and our 2011 Equity Incentive Plan. The new awards granted under the Program generally vest over three years.</w:t>
      </w:r>
    </w:p>
    <w:p>
      <w:pPr>
        <w:spacing w:after="0" w:line="173"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The Program did not result in a material incremental stock-based compensation expense because the fair value of the new awards was approximately equal to the fair value of the surrendered options immediately prior to the exchange date. The original fair value of the surrendered options plus the incremental stock-based compensation expense will be recognized over the vesting periods of the New Awards.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2017 Employee Stock Purchase Plan</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August 2017, our stockholders approved our 2017 Employee Stock Purchase Plan (ESPP). Our ESPP offers U.S. and some non-U.S. employees the right to purchase shares of our common stock. Our ESPP has a six-month offering period, with a new period commencing on the first trading day on or after May 31 and November 30 of each year. Employees are eligible to participate through payroll deductions of up to 10% of their compensation and may not purchase more than $25,000 of stock for any calendar year. The purchase price at which shares are sold under the ESPP is 85% of the lower of the fair market value of a share of our common stock on the first day of the offering period or the last day of the offering period. Our first ESPP offering period began on October 1, 2017, with a shorter offering period ending on November 30, 2017.</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Performance-based Stock Options and Restricted Stock Units</w:t>
      </w:r>
    </w:p>
    <w:p>
      <w:pPr>
        <w:spacing w:after="0" w:line="225" w:lineRule="exact"/>
        <w:rPr>
          <w:sz w:val="20"/>
          <w:szCs w:val="20"/>
          <w:color w:val="auto"/>
        </w:rPr>
      </w:pPr>
    </w:p>
    <w:p>
      <w:pPr>
        <w:ind w:right="240" w:firstLine="405"/>
        <w:spacing w:after="0" w:line="297" w:lineRule="auto"/>
        <w:rPr>
          <w:sz w:val="20"/>
          <w:szCs w:val="20"/>
          <w:color w:val="auto"/>
        </w:rPr>
      </w:pPr>
      <w:r>
        <w:rPr>
          <w:rFonts w:ascii="Arial" w:cs="Arial" w:eastAsia="Arial" w:hAnsi="Arial"/>
          <w:sz w:val="16"/>
          <w:szCs w:val="16"/>
          <w:color w:val="auto"/>
        </w:rPr>
        <w:t>In 2016, we granted 184,050 and 87,620 performance-based stock options and performance-based restricted stock units (each, a performance award), respectively,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We recognize stock-based compensation expense over the vesting period of the performance awards when achievement of the performance criteria becomes probable. The performance criteria were not met and the awards did not vest.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benefit for income taxes for the periods presented differs from the 21% and the 35% U.S. Federal statutory rate, for the three and nine months ended September 30, 2018, and 2017, respectively, primarily due to maintaining a valuation allowance for deferred tax assets, which primarily consist of net operating loss carryforwards.</w:t>
      </w:r>
    </w:p>
    <w:p>
      <w:pPr>
        <w:spacing w:after="0" w:line="18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We recorded a tax benefit of $0.8 million and $2.2 million for the three and nine months ended September 30, 2018, respectively, which was primarily attributable to the amortization of our acquisition-related deferred tax liability and net operating loss from Canadian operations, partially offset by a tax provision and discrete tax items from our other foreign operations. We recorded a tax benefit of $0.7 million and $3.3 million for the three and nine months ended September 30, 2017, respectively, which was primarily attributable to the amortization of our acquisition-related deferred tax liability and losses from Canadian operations, partially offset by a tax provision and discrete tax items from our other foreign operations.</w:t>
      </w:r>
    </w:p>
    <w:p>
      <w:pPr>
        <w:spacing w:after="0" w:line="17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offset by valuation allowances.</w:t>
      </w:r>
    </w:p>
    <w:p>
      <w:pPr>
        <w:spacing w:after="0" w:line="14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December 2017, the Tax Cuts and Jobs Act (the Tax Act) was enacted. The Tax Act introduced a broad range of tax reform measures that significantly change the federal income tax laws. The provisions of the Tax Act that may have significant impact on us include the permanent reduction of the corporate income tax rate from 35% to 21% (effective for tax years including or commencing on January 1, 2018), one-time transition tax on post-1986 foreign unremitted earnings, provision for Global Intangible Low-Taxed Income (GILTI), deduction for Foreign-Derived Intangible Income (FDII), repeal of corporate alternative minimum tax, limitation of various business deductions, modification of the maximum deduction of net operating loss with no carryback but indefinite carryforward provision and the limitation on the deductibility of executive compensation.</w:t>
      </w:r>
    </w:p>
    <w:p>
      <w:pPr>
        <w:spacing w:after="0" w:line="178"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At September 30, 2018, we continued to analyze the applicable provisions (as described above) of the Tax Act to determine if there would be any material impact to the Company. Based upon the 2018 forecast domestic loss, the exclusion of U.S. ordinary loss from the overall computation of the estimated annual effective tax rate, and the full valuation allowance against U.S. federal and state deferred tax assets, there is no significant impact from the Tax Act provisions as of September 30, 2018. We continue to analyze additional information and new guidance issued by relevant authorities related to the Tax Act which could impact the determination of the net deferred taxes subject to the re-measurement and the related impact to the assessment of valuation allowance. The prospects of supplemental legislation or regulatory processes to address questions that arise because of the Tax Act, or evolving technical interpretations of the tax law, as well as changes to the forecast or other additional analysis may cause the final impact from the Tax Act to differ materially from the provisional amounts recorded. We will continue to appropriately refine such amounts within the measurement period allowed by Staff Accounting Bulletin (SAB) No.118, no later than the fourth quarter of 2018.</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11. Information about Geographic Areas</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one reporting segment that develops, manufactures,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total revenue by geographic area of our customers for each period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8,783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26,365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23,095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2,729</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80,639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74,193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 individual customer represented more than 10% of our total revenues for the three and nine months ended September 30, 2018, and 2017.</w:t>
      </w:r>
    </w:p>
    <w:p>
      <w:pPr>
        <w:spacing w:after="0" w:line="237"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Sales to customers in China represented 12% or $3.4 million and 11% or $2.8 million of our total revenue for the three months ended September 30, 2018, and 2017, respectively, and 11% for both the nine months ended September 30, 2018 and 2017. Except for China, no other foreign country or jurisdiction had sales in excess of 10% of our total revenue during the three and nine months ended September 30, 2018, and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At-The-Market Offering</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August 2017, we entered into a Sales Agreement with Cowen and Company, LLC (Cowen) to sell shares of our common stock having aggregate sales proceeds of up to $30 million, from time to time, through an “at-the-market” equity offering program under which Cowen would act as sales agent. Under the Sales Agreement, we set the parameters for the sale of shares, including the number of shares to be issued, the time period during which sales are requested to be made, limitation on the number of shares that may be sold in any one trading day and any minimum price below which sales may not be made.</w:t>
      </w:r>
    </w:p>
    <w:p>
      <w:pPr>
        <w:spacing w:after="0" w:line="15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the Sales Agreement, in August 2017, we sold 9,090,909 shares of our common stock, $0.001 par value per share, through Cowen acting as our agent, for aggregate gross proceeds of $30.0 million. Our aggregate net proceeds from such sales were approximately $28.8 million, after deducting related expenses, including commissions to Cowen of approximately $0.7 million and issuance costs of approximately $0.5 million. These sales exhausted the shares that were available for sale under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9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58"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6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“Fluidigm,” the Fluidigm logo, “Access Array,” “Advanta,” “Biomark,” “C1,” “Callisto,” “CyTOF,” “Delta Gene,” “EP1,” “Flex Six,” “Helios,” "Hyperion," "Imaging Mass Cytometry," “Juno,” “Polaris,” and “SNP Type” are trademarks or registered trademarks of Fluidigm Corporation. Other service marks, trademarks and trade names referred to in this Form 10-Q are the property of their respective owners.</w:t>
      </w:r>
    </w:p>
    <w:p>
      <w:pPr>
        <w:spacing w:after="0" w:line="3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ind w:right="2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California. Our facility in Singapore manufactures our genomics instruments, several of which are assembled at facilities of our contract manufacturers in Singapore, with testing and calibration of the assembled products performed at our Singapore facility. All our IFCs for commercial sale and some IFCs for our research and development purposes also are fabricated at our Singapore facility. Our mass cytometry instruments for commercial sale, as well as for internal research and development purposes, are manufactured at our facility in Canada. We also manufacture assays and reagents at our facilities in the United States.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total revenue for the nine months ended September 30, 2018, was $80.6 million, compared to $74.2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Our total revenue for the twelve months ended December 31, was $101.9 million in 2017, $104.4 million in 2016, and $114.7 million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We have incurred significant net losses since our inception in 1999 and, as of September 30, 2018, our accumulated deficit was $544.1 million.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and nine months ended September 30, 2018, compared to those disclosed in our Annual Report on Form 10-K for the year ended December 31, 2017, as filed with the SEC on March 8,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nine months ended September 30, 2018, and 2017, and as a percentage of total revenue for the respective periods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Borders>
              <w:bottom w:val="single" w:sz="8" w:color="auto"/>
            </w:tcBorders>
          </w:tcPr>
          <w:p>
            <w:pPr>
              <w:spacing w:after="0"/>
              <w:rPr>
                <w:sz w:val="16"/>
                <w:szCs w:val="16"/>
                <w:color w:val="auto"/>
              </w:rPr>
            </w:pPr>
          </w:p>
        </w:tc>
      </w:tr>
      <w:tr>
        <w:trPr>
          <w:trHeight w:val="263"/>
        </w:trPr>
        <w:tc>
          <w:tcPr>
            <w:tcW w:w="2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80,639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11,635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33,017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r>
      <w:tr>
        <w:trPr>
          <w:trHeight w:val="243"/>
        </w:trPr>
        <w:tc>
          <w:tcPr>
            <w:tcW w:w="2360" w:type="dxa"/>
            <w:vAlign w:val="bottom"/>
          </w:tcPr>
          <w:p>
            <w:pPr>
              <w:ind w:left="180"/>
              <w:spacing w:after="0"/>
              <w:rPr>
                <w:sz w:val="20"/>
                <w:szCs w:val="20"/>
                <w:color w:val="auto"/>
              </w:rPr>
            </w:pPr>
            <w:r>
              <w:rPr>
                <w:rFonts w:ascii="Arial" w:cs="Arial" w:eastAsia="Arial" w:hAnsi="Arial"/>
                <w:sz w:val="18"/>
                <w:szCs w:val="18"/>
                <w:color w:val="auto"/>
              </w:rPr>
              <w:t>Cost of service revenue</w:t>
            </w:r>
          </w:p>
        </w:tc>
        <w:tc>
          <w:tcPr>
            <w:tcW w:w="3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r>
      <w:tr>
        <w:trPr>
          <w:trHeight w:val="229"/>
        </w:trPr>
        <w:tc>
          <w:tcPr>
            <w:tcW w:w="2360" w:type="dxa"/>
            <w:vAlign w:val="bottom"/>
          </w:tcPr>
          <w:p>
            <w:pPr>
              <w:ind w:left="180"/>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3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20,020</w:t>
            </w:r>
          </w:p>
        </w:tc>
        <w:tc>
          <w:tcPr>
            <w:tcW w:w="1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20,102</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57,812</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63,653</w:t>
            </w:r>
          </w:p>
        </w:tc>
        <w:tc>
          <w:tcPr>
            <w:tcW w:w="1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86</w:t>
            </w:r>
          </w:p>
        </w:tc>
      </w:tr>
      <w:tr>
        <w:trPr>
          <w:trHeight w:val="27"/>
        </w:trPr>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40,591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40,349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117,685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123,818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r>
      <w:tr>
        <w:trPr>
          <w:trHeight w:val="237"/>
        </w:trPr>
        <w:tc>
          <w:tcPr>
            <w:tcW w:w="236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(37,046)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r>
      <w:tr>
        <w:trPr>
          <w:trHeight w:val="27"/>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23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7"/>
        </w:trPr>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r>
      <w:tr>
        <w:trPr>
          <w:trHeight w:val="243"/>
        </w:trPr>
        <w:tc>
          <w:tcPr>
            <w:tcW w:w="236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3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generate revenue primarily from sales of our products and services. Our product revenue consists of sales of our high-throughput genomics, single-cell genomics and mass cytometry instruments and consumables, including IFCs, assays, and other reagents. Our service revenue consists of post-warranty service contracts, preventive maintenance plans, instrument parts, installation, and training. We also may receive revenue from our license agreements with third parties. The following table presents our revenue by source for the three and nine months ended September 30, 2018, and 2017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6"/>
                <w:szCs w:val="16"/>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Year-Over-Year</w:t>
            </w:r>
          </w:p>
        </w:tc>
        <w:tc>
          <w:tcPr>
            <w:tcW w:w="22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2"/>
              </w:rPr>
              <w:t>Nine Months Ended September 30,</w:t>
            </w:r>
          </w:p>
        </w:tc>
        <w:tc>
          <w:tcPr>
            <w:tcW w:w="32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72"/>
        </w:trPr>
        <w:tc>
          <w:tcPr>
            <w:tcW w:w="3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13,890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10,518</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31,831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31,183</w:t>
            </w:r>
          </w:p>
        </w:tc>
        <w:tc>
          <w:tcPr>
            <w:tcW w:w="3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10,058</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30,200</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24,242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20,576</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66,496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61,383</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4,133</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1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24,747</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80,639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74,193</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ind w:right="20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the three and nine months ended September 30, 2018, and 2017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Year-Over-</w:t>
            </w: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72"/>
        </w:trPr>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 Change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 Change</w:t>
            </w: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13,233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11,154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35,391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7,711</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jc w:val="right"/>
              <w:ind w:right="14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26,365</w:t>
            </w:r>
          </w:p>
        </w:tc>
        <w:tc>
          <w:tcPr>
            <w:tcW w:w="12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23,095</w:t>
            </w:r>
          </w:p>
        </w:tc>
        <w:tc>
          <w:tcPr>
            <w:tcW w:w="10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jc w:val="right"/>
              <w:ind w:right="14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17,266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1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88"/>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8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24,747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80,639</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74,193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sell our instruments to leading academic research institutions, clinical research laboratories, and biopharmaceutical, biotechnology and Ag-Bio companies. Total revenue from our five largest customers comprised 20% and 17% of our total revenue for the three months ended September 30, 2018, and 2017, respectively. Total revenue from our five largest customers comprised 17% and 14% of our total revenue for the nine months ended September 30, 2018, and 2017,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Total revenue increased by $4.2 million, or 17%, to $29.0 million for the three months ended September 30, 2018, compared to $24.7 million for the three months ended September 30, 2017. The increase was attributable to a $3.7 million, or 18%, increase in product revenue and a $0.6 million, or 14%, increase in service revenue. The increase in revenue was driven by increased unit sales of mass cytometry products and related services.</w:t>
      </w:r>
    </w:p>
    <w:p>
      <w:pPr>
        <w:spacing w:after="0" w:line="147"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Revenue in the United States increased by $2.1 million, or 19%, for the three months ended September 30, 2018, compared to the three months ended September 30, 2017. Revenues in Europe and Asia-Pacific increased by $1.1 million and $1.7 million, or 14% and 34%, respectively, for the three months ended September 30, 2018, compared to the three months ended September 30, 2017. In the United States, growth in mass cytometry revenues were partially offset by lower genomics revenues. The growth in Europe for the third quarter was primarily attributable to increased unit sales of mass cytometry products. The growth in Asia was driven by increased unit sales of mass cytometry products, partially offset by reduced genomics revenue. Revenue in the Other area decreased by $0.6 million, primarily due to lower mass cytometry revenues. Foreign currency had a minimal impact on revenue for the quarter.</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Total revenue increased by $6.4 million, or 9%, to $80.6 million for the nine months ended September 30, 2018, compared to $74.2 million for</w:t>
      </w:r>
    </w:p>
    <w:p>
      <w:pPr>
        <w:spacing w:after="0" w:line="3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nine months ended September 30, 2017. The increase was primarily due to an increase of $5.1 million in product revenue and a $1.5 million increase in service revenue, partially offset by a $0.2 million decrease in license revenue. Europe and the Asia-Pacific regions increased by $3.3 million and $3.6 million, or 14% and 26%, respectively, for the nine months ended September 30, 2018, compared to the nine months ended September 30, 2017. In the United States, growth in mass cytometry revenue was partially offset by lower genomics revenue. The growth in Europe was primarily attributable to increased unit sales of genomics products, partially offset by a reduction in mass cytometry products. The growth in Asia was driven by increased unit sales of mass cytometry products. Revenue in the Other geographic region decreased by $1.1 million, or 41%, for the nine months ended September 30, 2018, compared to the nine months ended September 30, 2017. The decline was attributable to a reduction in mass cytometry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Product revenue increased by $3.7 million, or 18%, to $24.2 million for the three months ended September 30, 2018, compared to $20.6 million for the three months ended September 30, 2017. Consumables revenue increased by $0.3 million, or 3%, to $10.4 million, for the three months ended September 30, 2018, compared to $10.1 million for the three months ended September 30, 2017, driven by higher mass cytometry sales, partially offset by lower genomics. Instrument revenue increased by $3.4 million, or 32%, to $13.9 million for the three months ended September 30, 2018, compared to $10.5 million for the three months ended September 30, 2017. The increase was primarily attributable to higher unit sales of mass cytometry instruments, partially offset by lower unit sales of our genomics instruments.</w:t>
      </w:r>
    </w:p>
    <w:p>
      <w:pPr>
        <w:spacing w:after="0" w:line="19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Product revenue increased by $5.1 million, or 8%, to $66.5 million for the nine months ended September 30, 2018, compared to $61.4 million for the nine months ended September 30, 2017. Consumables revenue increased by $4.5 million, or 15%, to $34.7 million, for the nine months ended September 30, 2018 compared to $30.2 million for the nine months ended September 30, 2017, primarily driven by higher mass cytometry and, to a lesser extent, higher genomics sales. Instrument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ind w:right="380"/>
        <w:spacing w:after="0" w:line="277" w:lineRule="auto"/>
        <w:rPr>
          <w:sz w:val="20"/>
          <w:szCs w:val="20"/>
          <w:color w:val="auto"/>
        </w:rPr>
      </w:pPr>
      <w:r>
        <w:rPr>
          <w:rFonts w:ascii="Arial" w:cs="Arial" w:eastAsia="Arial" w:hAnsi="Arial"/>
          <w:sz w:val="18"/>
          <w:szCs w:val="18"/>
          <w:color w:val="auto"/>
        </w:rPr>
        <w:t>revenue increased by $0.6 million, or 2%, to $31.8 million for the nine months ended September 30, 2018 compared to $31.2 million for the nine months ended September 30, 2017, with the impact of higher average selling prices partially offset by lower unit sales.</w:t>
      </w:r>
    </w:p>
    <w:p>
      <w:pPr>
        <w:spacing w:after="0" w:line="170"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We expect the average selling prices and volumes of our products to fluctuate over time based on market conditions, product mix, and currency fluctuations. We cannot provide assurance concerning future revenue growth, if any.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Service revenue increased by $0.6 million, or 14%, to $4.7 million for the three months ended September 30, 2018, compared to $4.1 million for the three months ended September 30, 2017. For the three months ended September 30, 2018, the increase in service revenue was largely due to post warranty sales contracts. Service revenue increased by $1.5 million, or 12%, to $14.1 million for the nine months ended September 30, 2018, compared to $12.6 million for the nine months ended September 30, 2017. The year-over-year growth for the nine-month periods was primarily attributable to an increase in post-warranty service contracts and other fee-for-service offerings, including training, installation, parts and labor, for mass cytometry instruments, partially offset by a decline in genomics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-5080</wp:posOffset>
            </wp:positionV>
            <wp:extent cx="2603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had no license revenue for the three and nine months ended September 30, 2018. License revenue for the three and nine months ended September 30, 2017 was $38,000 and $190,000,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Costs of Product and Service 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costs of product and service revenue and product and service margins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33,060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3,437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2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Costs related to license revenue are included in research and development expense.</w:t>
      </w:r>
    </w:p>
    <w:p>
      <w:pPr>
        <w:spacing w:after="0" w:line="15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Cost of product revenue increased by $0.2 million, or 2%, to $11.6 million for the three months ended September 30, 2018, compared to the three months ended September 30, 2017. Overall cost of product revenue as a percentage of related revenue was 48% and 55% for the three months ended September 30, 2018, and 2017, respectively. Product margin increased by seven percentage points compared to the same period in 2017, primarily due to lower consumables production costs, driven by higher capacity utilization, favorable product mix and the impact of allocating fixed amortization of developed technology over a higher revenue base.</w:t>
      </w:r>
    </w:p>
    <w:p>
      <w:pPr>
        <w:spacing w:after="0" w:line="188"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Cost of product revenue was essentially unchanged at $33.0 million for the nine months ended September 30, 2018, compared to the nine months ended September 30, 2017. Overall cost of product revenue as a percentage of related revenue was 50% and 54% for the nine months ended September 30, 2018 and 2017, respectively. Product margin increased by four percentage points compared to the same period in 2017, largely attributable to fixed amortization of developed technology over higher revenues and favorable product mix.</w:t>
      </w:r>
    </w:p>
    <w:p>
      <w:pPr>
        <w:spacing w:after="0" w:line="18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Our cost of product revenue and related product margin may fluctuate depending on the capacity utilization of our manufacturing facilities in response to market conditions and the demand for our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ind w:firstLine="432"/>
        <w:spacing w:after="0" w:line="276" w:lineRule="auto"/>
        <w:rPr>
          <w:sz w:val="20"/>
          <w:szCs w:val="20"/>
          <w:color w:val="auto"/>
        </w:rPr>
      </w:pPr>
      <w:r>
        <w:rPr>
          <w:rFonts w:ascii="Arial" w:cs="Arial" w:eastAsia="Arial" w:hAnsi="Arial"/>
          <w:sz w:val="17"/>
          <w:szCs w:val="17"/>
          <w:color w:val="auto"/>
        </w:rPr>
        <w:t>Cost of service revenue increased by $0.4 million, or 31%, to $1.5 million for the three months ended September 30, 2018, compared to the three months ended September 30, 2017. Overall cost of service revenue as a percentage of related revenue was 32% and 28% for the three months ended September 30, 2018, and 2017, respectively. Service margins decreased four percentage points during the three months ended September 30, 2018, compared to the same period in 2017, primarily due to product mix, with a greater percentage of service revenue coming from servicing mass cytometry products than genomics products. Service costs tend to be higher for mass cytometry instruments compared to genomics instruments.</w:t>
      </w:r>
    </w:p>
    <w:p>
      <w:pPr>
        <w:spacing w:after="0" w:line="17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Cost of service revenue increased by $1.3 million, or 39%, to $4.8 million for the nine months ended September 30, 2018 compared to the nine months ended September 30, 2017. Overall cost of service revenue as a percentage of related revenue was 34% and 27% for the nine months ended September 30, 2018 and 2017, respectively. The service margin decreased seven percentage points during the nine months ended September 30, 2018 compared to the same period in 2017, due to a greater proportion of higher cost mass cytometry service revenue.</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cost of service revenue and related service margin may fluctuate depending on the variability in material and labor costs of servicing instruments between mass cytometry and genomics.</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the three and nine months ended September 30, 2018, and 2017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6"/>
                <w:szCs w:val="16"/>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Year-Over-Year</w:t>
            </w: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2"/>
              </w:rPr>
              <w:t>Nine Months Ended September 30,</w:t>
            </w:r>
          </w:p>
        </w:tc>
        <w:tc>
          <w:tcPr>
            <w:tcW w:w="12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72"/>
        </w:trPr>
        <w:tc>
          <w:tcPr>
            <w:tcW w:w="3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7,683</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23,668</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20,020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20,102</w:t>
            </w:r>
          </w:p>
        </w:tc>
        <w:tc>
          <w:tcPr>
            <w:tcW w:w="1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57,812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63,653</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27,450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27,785</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79,884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87,321</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Research and development expense decreased by $0.3 million, or 3%, to $7.4 million for the three months ended September 30, 2018, compared to the three months ended September 30, 2017 primarily due to reduced costs for outside services.</w:t>
      </w:r>
    </w:p>
    <w:p>
      <w:pPr>
        <w:spacing w:after="0" w:line="1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Research and development expense decreased by $1.6 million, or 7%, to $22.1 million for the nine months ended September 30, 2018, compared to the nine months ended September 30, 2017. The decrease was primarily attributable to the implementation of our cost-savings initiatives in the first quarter of 2017, including headcount and compensation savings of $1.4 million.</w:t>
      </w:r>
    </w:p>
    <w:p>
      <w:pPr>
        <w:spacing w:after="0" w:line="200" w:lineRule="exact"/>
        <w:rPr>
          <w:sz w:val="20"/>
          <w:szCs w:val="20"/>
          <w:color w:val="auto"/>
        </w:rPr>
      </w:pP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Selling, general and administrative expense decreased $0.1 million to $20.0 million for the three months ended September 30, 2018, compared to the three months ended September 30, 2017. This decrease was primarily due to lower legal expenses of $0.5 million, lower consulting costs of $0.4 million, and lower depreciation of $0.3 million. These decreases were partially offset by the impact of higher compensation costs, including the impact of annual merit increases.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584" w:right="319" w:bottom="1440" w:gutter="0" w:footer="0" w:header="0"/>
        </w:sectPr>
      </w:pPr>
    </w:p>
    <w:bookmarkStart w:id="28" w:name="page29"/>
    <w:bookmarkEnd w:id="28"/>
    <w:p>
      <w:pPr>
        <w:ind w:right="60" w:firstLine="405"/>
        <w:spacing w:after="0" w:line="259" w:lineRule="auto"/>
        <w:rPr>
          <w:sz w:val="20"/>
          <w:szCs w:val="20"/>
          <w:color w:val="auto"/>
        </w:rPr>
      </w:pPr>
      <w:r>
        <w:rPr>
          <w:rFonts w:ascii="Arial" w:cs="Arial" w:eastAsia="Arial" w:hAnsi="Arial"/>
          <w:sz w:val="18"/>
          <w:szCs w:val="18"/>
          <w:color w:val="auto"/>
        </w:rPr>
        <w:t>Selling, general and administrative expense decreased $5.8 million, or 9%, to $57.8 million for the nine months ended September 30, 2018 compared to the nine months ended September 30, 2017. This decrease was primarily due to the implementation of our cost-savings initiatives in the first quarter of 2017, including headcount and compensation savings of $2.4 million. In addition, we had lower legal expenses of $2.5 million and a decrease in depreciation expense of $1.3 million.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the three and nine months ended September 30, 2018, and 2017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Year-Over-Year</w:t>
            </w: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c>
          <w:tcPr>
            <w:tcW w:w="12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Year-Over-Year</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1,456</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4,367</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3,902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1,077</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9,359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3,796</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147%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firstLine="392"/>
        <w:spacing w:after="0" w:line="286" w:lineRule="auto"/>
        <w:rPr>
          <w:sz w:val="20"/>
          <w:szCs w:val="20"/>
          <w:color w:val="auto"/>
        </w:rPr>
      </w:pPr>
      <w:r>
        <w:rPr>
          <w:rFonts w:ascii="Arial" w:cs="Arial" w:eastAsia="Arial" w:hAnsi="Arial"/>
          <w:sz w:val="17"/>
          <w:szCs w:val="17"/>
          <w:color w:val="auto"/>
        </w:rPr>
        <w:t>In February 2014, we issued $201.3 million aggregate principal amount of our 2.75% 2014 Notes due 2034, which we refer to as our “2014 Notes.” The 2014 Notes accrue interest at a rate of 2.75% per year, payable semi-annually in arrears on February 1 and August 1 of each year. The 2014 Notes will mature on February 1, 2034, unless earlier converted, redeemed, or repurchased in accordance with the terms of the 2014 Notes.</w:t>
      </w:r>
    </w:p>
    <w:p>
      <w:pPr>
        <w:spacing w:after="0" w:line="166"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In March 2018, we entered into privately negotiated transactions with certain holders of our 2014 Notes to exchange $150.0 million in aggregate principal amount of the 2014 Notes for $150.0 million in aggregate principal amount of our new 2.75% Exchange Convertible Senior Notes due 2034, which we refer to as our "2018 Notes," and collectively with the 2014 Notes, the "Notes." The 2018 Notes accrue interest at a rate of 2.75%, payable semi-annually in arrears on February 1 and August 1 of each year. Interest on the 2018 Notes will accrue from February 1, 2018. The 2018 Notes will mature on February 1, 2034, unless earlier converted, redeemed, or repurchased in accordance with the terms of the 2018 Notes.</w:t>
      </w:r>
    </w:p>
    <w:p>
      <w:pPr>
        <w:spacing w:after="0" w:line="173"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Interest expense was $4.0 million and $1.5 million for the three months ended September 30, 2018, and 2017, respectively. The increase in interest expense during the three months ended September 30, 2018 was due to amortization of debt discount, debt issuance costs, and premium accretion associated with the 2018 Notes.</w:t>
      </w:r>
    </w:p>
    <w:p>
      <w:pPr>
        <w:spacing w:after="0" w:line="18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Interest expense was $9.8 million and $4.4 million for the nine months ended September 30, 2018 and 2017, respectively. The increase in interest expense during the nine months ended September 30, 2018 was due to amortization of debt discount, debt issuance costs, and premium accretion associated with the 2018 Notes.</w:t>
      </w:r>
    </w:p>
    <w:p>
      <w:pPr>
        <w:spacing w:after="0" w:line="18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Other income decreased by $0.3 million for the three months ended September 30, 2018, compared to the three months ended September 30, 2017, mainly due to the net effects of foreign exchange rate changes.</w:t>
      </w:r>
    </w:p>
    <w:p>
      <w:pPr>
        <w:spacing w:after="0" w:line="17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Other income decreased by $0.1 million for the nine months ended September 30, 2018, compared to the nine months ended September 30, 2017, mainly due to the net effects of foreign exchange rate changes.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95" w:right="239" w:bottom="1440" w:gutter="0" w:footer="0" w:header="0"/>
        </w:sectPr>
      </w:pPr>
    </w:p>
    <w:bookmarkStart w:id="29" w:name="page30"/>
    <w:bookmarkEnd w:id="29"/>
    <w:p>
      <w:pPr>
        <w:ind w:left="2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recorded a tax benefit of $0.8 million and $0.7 million for the three months ended September 30, 2018 and 2017, respectively, which was primarily attributable to the amortization of our acquisition-related deferred tax liability, net operating loss from our Canadian operations and discrete tax items, partially offset by a tax provisions related to our other foreign operations. We recorded a tax benefit of $2.2 million and $3.3 million for the nine months ended September 30, 2018 and 2017, respectively. The reduction in the tax benefit for the nine months ended September 30, 2018, as compared to the same period in the prior year, is primarily related to a higher tax provision related to our foreign operations in the nine months ended September 30, 2018.</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As of September 30, 2018, our principal sources of liquidity consisted of $35.8 million of cash and cash equivalents as well as availability under our Revolving Credit Facility. As of September 30, 2018, our working capital excluding deferred revenue was $44.5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4,738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21,537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28,816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25,899</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We derive cash flows from operations primarily from cash collected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w:t>
      </w:r>
    </w:p>
    <w:p>
      <w:pPr>
        <w:spacing w:after="0" w:line="14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Net cash used in operating activities for the nine months ended September 30, 2018, was $24.6 million and consisted of a net loss of $44.2 million, adjusted for non-cash items of $24.3 million and net change in assets and liabilities of $4.7 million. Non-cash items included amortization of developed technology of $8.4 million, stock-based compensation expense of $6.1 million, amortization of debt discounts, premium and issuance cost of $5.7 million and depreciation and amortization of $4.1 million. The net change in assets and liabilities included a decrease in other liabilities of $4.7 million, an increase in accounts receivable of $3.3 million, an increase in inventory of $0.8 million, and an increase in other assets of $0.1 million, partially offset by an increase in accounts payable of $2.1 million, and an increase in deferred revenue of $2.1 million.</w:t>
      </w:r>
    </w:p>
    <w:p>
      <w:pPr>
        <w:spacing w:after="0" w:line="17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2017, was $24.8 million, and consisted of a net loss of $50.1 million, adjusted for non-cash items of $20.8 million, and a net change in assets and liabilities of $4.5 million. Non-cash items included stock-based compensation expense of $7.1 million, amortization of developed technology of $8.4 million, depreciation and amortization of $5.6 million, offset by non-cash items of $0.5 million. The net change in assets and liabilities included a decrease in inventory of $2.1 million, and a decrease in other assets of $1.6 million, an increase in accounts payable of $1.1 million, an increase in deferred revenue of $0.9 million, and a decrease in accounts receivable of $0.8 million, partially offset by a decrease in other liabilities of $1.9 million.</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25"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however, as part of our efficiency and cost-savings initiatives, we may decrease or defer certain capital expenditures while further optimizing our organization.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ind w:right="100" w:firstLine="432"/>
        <w:spacing w:after="0" w:line="264" w:lineRule="auto"/>
        <w:rPr>
          <w:sz w:val="20"/>
          <w:szCs w:val="20"/>
          <w:color w:val="auto"/>
        </w:rPr>
      </w:pPr>
      <w:r>
        <w:rPr>
          <w:rFonts w:ascii="Arial" w:cs="Arial" w:eastAsia="Arial" w:hAnsi="Arial"/>
          <w:sz w:val="18"/>
          <w:szCs w:val="18"/>
          <w:color w:val="auto"/>
        </w:rPr>
        <w:t>Net cash provided by investing activities was $4.7 million during the nine months ended September 30, 2018. Net cash provided by investing activities primarily consisted of $6.5 million of proceeds from sales and maturities of investments, partially offset by purchases of investments of $1.5 million and capital expenditures of $0.4 million.</w:t>
      </w:r>
    </w:p>
    <w:p>
      <w:pPr>
        <w:spacing w:after="0" w:line="181"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Net cash provided by investing activities was $21.5 million during the nine months ended September 30, 2017. Net cash provided by investing activities primarily consisted of $24.4 million of proceeds from sales and maturities of investments, partially offset by purchases of investments of $1.5 million and capital expenditures of $1.4 million.</w:t>
      </w:r>
    </w:p>
    <w:p>
      <w:pPr>
        <w:spacing w:after="0" w:line="3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or Used in Financing Activities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cash used in financing activities was $2.3 million during the nine months ended September 30, 2018. Net cash used in financing activities primarily consisted of issuance costs of $2.8 million for the 2018 Notes and Revolving Credit Facility, $0.1 million for income taxes related to net share settlement of equity awards, partially offset by $0.6 million of proceeds from issuance of common stock.</w:t>
      </w:r>
    </w:p>
    <w:p>
      <w:pPr>
        <w:spacing w:after="0" w:line="12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Net cash provided by financing activities was $28.8 million for the nine months ended September 30, 2017 and consisted of net proceeds of $28.8 million from our "at-the market" equity offering in August 2017, and proceeds from exercise of stock options, partially offset by payments for taxes related to net share settlement for vested restricted stock units.</w:t>
      </w:r>
    </w:p>
    <w:p>
      <w:pPr>
        <w:spacing w:after="0" w:line="3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2018, our working capital excluding deferred revenue was $44.5 million, which includes cash and cash equivalents of $35.8 million.</w:t>
      </w:r>
    </w:p>
    <w:p>
      <w:pPr>
        <w:spacing w:after="0" w:line="248" w:lineRule="exact"/>
        <w:rPr>
          <w:sz w:val="20"/>
          <w:szCs w:val="20"/>
          <w:color w:val="auto"/>
        </w:rPr>
      </w:pPr>
    </w:p>
    <w:p>
      <w:pPr>
        <w:ind w:right="60" w:firstLine="392"/>
        <w:spacing w:after="0" w:line="308" w:lineRule="auto"/>
        <w:rPr>
          <w:sz w:val="20"/>
          <w:szCs w:val="20"/>
          <w:color w:val="auto"/>
        </w:rPr>
      </w:pPr>
      <w:r>
        <w:rPr>
          <w:rFonts w:ascii="Arial" w:cs="Arial" w:eastAsia="Arial" w:hAnsi="Arial"/>
          <w:sz w:val="17"/>
          <w:szCs w:val="17"/>
          <w:color w:val="auto"/>
        </w:rPr>
        <w:t>On August 10, 2017, we sold 9.1 million shares of our common stock through an “at-the-market” equity offering program, for aggregate net proceeds of approximately $28.8 million. We plan to use the net proceeds from this offering for general corporate purposes and working capital.</w:t>
      </w:r>
    </w:p>
    <w:p>
      <w:pPr>
        <w:spacing w:after="0" w:line="147"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As of September 30, 2018, we have an effective shelf registration statement on file with the Securities and Exchange Commission (SEC) that allows us to issue certain securities from time to time in one or more offerings up to an aggregate offering price of $95.0 million, after subtracting our $30.0 million “at-the-market” equity offering program completed in 2017.</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Each issuance under the shelf registration will require us to file a prospectus supplement identifying the amount and terms of the securities to be issued.</w:t>
      </w:r>
    </w:p>
    <w:p>
      <w:pPr>
        <w:spacing w:after="0" w:line="248"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In February 2014, we closed an underwritten public offering of $201.3 million in aggregate principal amount of our 2.75% Senior Convertible Notes due 2034, which we refer to as our “2014 Notes.” In March 2018, we entered into privately negotiated transactions with certain holders of our 2014 Notes to exchange $150.0 million in aggregate principal amount of the 2014 Notes for $150.0 million in aggregate principal amount of our new 2.75% Exchange Convertible Senior Notes due 2034, which we refer to as our "2018 Notes," and collectively with the 2014 Notes, the "Notes". Following the exchange transactions, approximately $51.3 million in aggregate principal amount of 2014 Notes remained outstanding. Our board of directors determined that the private exchange transactions were in the best interest of the company and our stockholders following substantial review with management and our financial advisors concerning the amount of our outstanding indebtedness relative to the market capitalization of our common stock and, in particular, obligations under the indenture for the 2014 Notes that could require us to repurchase the 2014 Notes beginning in 2021 at a repurchase price equal to the aggregate principal amount of the 2014 Notes (approximately $201.3 million prior to the exchange). The principal differences between the 2014 Notes and the 2018 Notes are the following:</w:t>
      </w:r>
    </w:p>
    <w:p>
      <w:pPr>
        <w:spacing w:after="0" w:line="178" w:lineRule="exact"/>
        <w:rPr>
          <w:sz w:val="20"/>
          <w:szCs w:val="20"/>
          <w:color w:val="auto"/>
        </w:rPr>
      </w:pPr>
    </w:p>
    <w:p>
      <w:pPr>
        <w:ind w:left="760" w:right="180" w:hanging="320"/>
        <w:spacing w:after="0" w:line="279"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date on which we may be first required to repurchase the 2018 Notes has been extended to February 2023, compared to February 2021 under the 2014 Notes. In addition, while the applicable cash repurchase price for the 2014 Notes is 100% of the outstanding principal amount, the cash repurchase price for the 2018 Notes is based on a formula that would result in the 2018 Notes being redeemed for up to an amount equal to 120% of the original principal amount, plus, in each case, accrued and unpaid interest.</w:t>
      </w:r>
    </w:p>
    <w:p>
      <w:pPr>
        <w:spacing w:after="0" w:line="171" w:lineRule="exact"/>
        <w:rPr>
          <w:rFonts w:ascii="Arial" w:cs="Arial" w:eastAsia="Arial" w:hAnsi="Arial"/>
          <w:sz w:val="17"/>
          <w:szCs w:val="17"/>
          <w:color w:val="auto"/>
        </w:rPr>
      </w:pPr>
    </w:p>
    <w:p>
      <w:pPr>
        <w:ind w:left="760" w:right="8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conversion price under the 2018 Notes is approximately $7.88, as compared to approximately $55.94 under the 2014 Notes. As a result, each of the outstanding 2018 Notes is initially convertible into 126.9438 shares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1" w:name="page32"/>
    <w:bookmarkEnd w:id="31"/>
    <w:p>
      <w:pPr>
        <w:ind w:left="760" w:right="320"/>
        <w:spacing w:after="0" w:line="324" w:lineRule="auto"/>
        <w:rPr>
          <w:sz w:val="20"/>
          <w:szCs w:val="20"/>
          <w:color w:val="auto"/>
        </w:rPr>
      </w:pPr>
      <w:r>
        <w:rPr>
          <w:rFonts w:ascii="Arial" w:cs="Arial" w:eastAsia="Arial" w:hAnsi="Arial"/>
          <w:sz w:val="18"/>
          <w:szCs w:val="18"/>
          <w:color w:val="auto"/>
        </w:rPr>
        <w:t>common stock per $1,000 principal amount, while the 2014 Notes are initially convertible into 17.8750 shares of our common stock per $1,000 principal amount.</w:t>
      </w:r>
    </w:p>
    <w:p>
      <w:pPr>
        <w:spacing w:after="0" w:line="143" w:lineRule="exact"/>
        <w:rPr>
          <w:sz w:val="20"/>
          <w:szCs w:val="20"/>
          <w:color w:val="auto"/>
        </w:rPr>
      </w:pPr>
    </w:p>
    <w:p>
      <w:pPr>
        <w:ind w:left="760" w:right="40" w:hanging="320"/>
        <w:spacing w:after="0" w:line="25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supplemental indenture for the 2018 Notes, we may at any time cause the then-outstanding 2018 Notes to be converted into shares of our common stock at the then-applicable 2018 Exchange Note conversion price if the volume weighted average price of our common stock is at least 110% of the applicable 2018 Exchange Note conversion price on each applicable trading day over a period specified in the supplement indenture for the 2018 Notes. Under the indenture for the 2014 Notes, we may only redeem the 2014 Notes for cash under certain circumstances during the period from February 6, 2018, through February 6, 2021.</w:t>
      </w:r>
    </w:p>
    <w:p>
      <w:pPr>
        <w:spacing w:after="0" w:line="188" w:lineRule="exact"/>
        <w:rPr>
          <w:rFonts w:ascii="Arial" w:cs="Arial" w:eastAsia="Arial" w:hAnsi="Arial"/>
          <w:sz w:val="18"/>
          <w:szCs w:val="18"/>
          <w:color w:val="auto"/>
        </w:rPr>
      </w:pPr>
    </w:p>
    <w:p>
      <w:pPr>
        <w:ind w:left="760" w:right="60" w:hanging="320"/>
        <w:spacing w:after="0" w:line="297"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 certain circumstances such as a “fundamental change” (as defined in the applicable indenture) that occurs prior to (i) February 6, 2021, in the case of the 2014 Notes and (ii) February 6, 2023, in the case of the 2018 Notes, holders of the Notes are entitled to a “make-whole” premium that will result in an increase in the applicable conversion rate. Under the terms of the 2018 Notes (but not the 2014 Notes), holders will be entitled to receive additional shares reflecting the economic equivalent of approximately two years of additional coupon payments, subject to certain limitations, in connection with a voluntary conversion by the noteholder prior to our exercise of our early conversion option.</w:t>
      </w:r>
    </w:p>
    <w:p>
      <w:pPr>
        <w:spacing w:after="0" w:line="15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foregoing summaries of the 2014 Notes, the 2018 Notes, and the exchange transactions completed in March 2018 are not complete and are qualified in their entirety by the applicable indentures, forms of global notes, and other agreements and documents filed with the Securities and Exchange Commission with respect to the 2018 Notes and the exchange, and investors should refer to the text of the Second Supplemental Indenture, dated March 6, 2018, between the Company and U.S. Bank National Association and the Form of Global Note included in the Second Supplemental Indenture, which are incorporated by reference as Exhibits 4.6 and 4.7, respectively, in our Annual Report on Form 10-K for the year ended December 31, 2017. With respect to the 2014 Notes, of which approximately $51.3 million in aggregate principal amount remains outstanding, investors should refer to the text of the Indenture, dated as of February 4, 2014, by and between Fluidigm Corporation and U.S. Bank National Association, the First Supplemental Indenture, dated as of February 4, 2014, by and between Fluidigm Corporation and U.S. Bank National Association, and the Form of Global Note included in the First Supplemental Indenture which are incorporated by reference as Exhibits 4.2, 4.3 and 4.4, respectively, in our Annual Report on Form 10-K for the year ended December 31, 2017.</w:t>
      </w:r>
    </w:p>
    <w:p>
      <w:pPr>
        <w:spacing w:after="0" w:line="16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Interest expense related to the 2014 Notes and 2018 Notes, collectively, the ("Convertible Notes") was approximately $4.0 million and $1.5 million during the three months ended September 30, 2018, and 2017, respectively. Interest expense related to the Convertible Notes was approximately $9.8 million and $4.4 million during the nine months ended September 30, 2018, and 2017, respectively. The effective interest rate on the 2014 Notes and the 2018 Notes is approximately 3.0% and 12.3%, respectively.</w:t>
      </w:r>
    </w:p>
    <w:p>
      <w:pPr>
        <w:spacing w:after="0" w:line="2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August 2, 2018, we entered into a Revolving Credit Facility with Silicon Valley Bank, which matures on August 2, 2020. Amounts drawn under the Revolving Credit Facility will be used for working capital and general corporate purposes. As of September 30, 2017, total availability under the Revolving Credit Facility was $12.8 million. We currently have no outstanding debt under the Revolving Credit Facility, and we are in compliance with all the terms and conditions of the loan agreement governing the Revolving Credit Facility. See Note 4 to the Condensed Consolidated Financial Statements included in this Form 10-Q for more information about the Revolving Credit Facility.</w:t>
      </w:r>
    </w:p>
    <w:p>
      <w:pPr>
        <w:spacing w:after="0" w:line="188" w:lineRule="exact"/>
        <w:rPr>
          <w:sz w:val="20"/>
          <w:szCs w:val="20"/>
          <w:color w:val="auto"/>
        </w:rPr>
      </w:pPr>
    </w:p>
    <w:p>
      <w:pPr>
        <w:ind w:right="260" w:firstLine="405"/>
        <w:spacing w:after="0" w:line="291" w:lineRule="auto"/>
        <w:rPr>
          <w:sz w:val="20"/>
          <w:szCs w:val="20"/>
          <w:color w:val="auto"/>
        </w:rPr>
      </w:pPr>
      <w:r>
        <w:rPr>
          <w:rFonts w:ascii="Arial" w:cs="Arial" w:eastAsia="Arial" w:hAnsi="Arial"/>
          <w:sz w:val="16"/>
          <w:szCs w:val="16"/>
          <w:color w:val="auto"/>
        </w:rPr>
        <w:t>In early 2017, we implemented a retention incentive plan that provided for payment of cash bonuses in January 2019 to plan participants who were employees at the time the plan was implemented and who remained with Fluidigm through January 1, 2019. In September 2018, certain plan participants were permitted to elect to surrender their right to receive all or a portion of the cash bonus in exchange for fully vested restricted stock units (RSUs) issued under our 2011 Equity Incentive Plan (the exchange program). Among other reasons, our Compensation Committee adopted the exchange program to encourage employee stock ownership and to effectively manage cash resources. Participants opted to exchange approximately $2.4 million of cash bonus payments for approximately 380,000 fully vested RSUs issued in November 2018. The anticipated cash bonus payments payable in January 2019 for plan participants that remain employed with Fluidigm through January 1, 2019 is approximately $3.4 million.</w:t>
      </w:r>
    </w:p>
    <w:p>
      <w:pPr>
        <w:spacing w:after="0" w:line="167"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We believe our existing cash, cash equivalents, and investments will be sufficient to meet our working capital and capital expenditure needs for at least the next 18 months. However, we may experience lower than expected cash generated from sales of our products and services or greater than expected capital expenditures, cost of revenue, or operating expenses, and we may need to raise additional capital to fund our operations, further our research and development activities, or acquire or invest in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11" w:right="239" w:bottom="1440" w:gutter="0" w:footer="0" w:header="0"/>
        </w:sectPr>
      </w:pPr>
    </w:p>
    <w:bookmarkStart w:id="32" w:name="page33"/>
    <w:bookmarkEnd w:id="32"/>
    <w:p>
      <w:pPr>
        <w:ind w:right="280"/>
        <w:spacing w:after="0" w:line="273" w:lineRule="auto"/>
        <w:rPr>
          <w:sz w:val="20"/>
          <w:szCs w:val="20"/>
          <w:color w:val="auto"/>
        </w:rPr>
      </w:pPr>
      <w:r>
        <w:rPr>
          <w:rFonts w:ascii="Arial" w:cs="Arial" w:eastAsia="Arial" w:hAnsi="Arial"/>
          <w:sz w:val="17"/>
          <w:szCs w:val="17"/>
          <w:color w:val="auto"/>
        </w:rPr>
        <w:t>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27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As of September 30, 2018, we did not have any off-balance sheet arrangements as defined in Item 303(a)(4) of the Securities and Exchange Commission's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operating lease obligations include a lease for our current headquarters and leases for manufacturing, laboratory, warehousing and office space for our foreign subsidiaries. Please see Note 8 to the financial statements for our lease obligations.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Other than as disclosed above, there have been no material changes during the nine months ended September 30, 2018 to our contractual obligations disclosed in our “Management’s Discussion and Analysis of Financial Condition and Results of Operations” included in our Annual Report on Form 10-K for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nine months ended September 30, 2018 and 2017, our gain related to changes in foreign exchange rates was $0.1 million and $0.3 million, respectively.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84" w:right="279" w:bottom="144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had cash and cash equivalents of $35.8 million at September 30, 2018. These amounts were held primarily in cash on deposit with banks, treasury bills and money market funds which are short-term. Cash and cash equivalents and investments are held for working capital purposes. Due to the short-term nature of these investments, we believe that we do not have any material exposure to changes in the fair value of our investment portfolio due to changes in interest rates. Declines in interest rates, however, will reduce future investment income. If overall interest rates had decreased by 10% during the periods presented, our interest income would not have been materially affected.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2018, our Chief Executive Officer and Chief Financial Officer concluded that, as of such date, our disclosure controls and procedures were effective at the reasonable assurance level.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2018 that have materially affected, or are reasonably likely to materially affect, our internal control over financial reporting.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4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total revenue was $101.9 million in 2017, $104.4 million in 2016, and $114.7 million in 2015. The decrease in overall revenue over this period was due in significant part to decreasing sales of single-cell genomics instruments, driven by a combination of factors including changes in customer demand, increased competition, and performance issues in certain IFCs used in our C1 systems.</w:t>
      </w:r>
    </w:p>
    <w:p>
      <w:pPr>
        <w:spacing w:after="0" w:line="181"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However, sales increased slightly in the first quarter of 2017 compared to the fourth quarter of 2016. Additionally, for the quarters ended March 31, 2015 and September 30, 2015, we experienced year-over-year revenue growth rates that were substantially lower than revenue growth rates experienced in other periods since our initial public offering, and we experienced a year-over-year decline in revenue for the quarters ended September 30, 2017, June 30, 2017, March 31, 2017, September 30, 2016, June 30, 2016 and September 30, 2015, and for the years ended December 31, 2017,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ind w:right="20"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return to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have incurred significant losses in each fiscal year since our inception, including net losses of $14.8 million and $44.2 million during the three and nine months ended September 30, 2018, and net losses of $60.5 million and $76.0 million for the years ended December 31, 2017 and 2016, respectively. As of September 30, 2018, we had an accumulated deficit of $544.1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revenue growth.</w:t>
      </w:r>
    </w:p>
    <w:p>
      <w:pPr>
        <w:spacing w:after="0" w:line="173"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Such measures may impair our ability to invest in developing, marketing and selling new and existing products. Furthermore, if such efficiency and cost reduction efforts are unsuccessful, our cash position could be negatively impacted and we may, among other things, be required to seek additional sources of financing.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6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 have to reduce marketing, customer support, research and development or other resources devoted to our products.</w:t>
      </w:r>
    </w:p>
    <w:p>
      <w:pPr>
        <w:spacing w:after="0" w:line="193" w:lineRule="exact"/>
        <w:rPr>
          <w:sz w:val="20"/>
          <w:szCs w:val="20"/>
          <w:color w:val="auto"/>
        </w:rPr>
      </w:pPr>
    </w:p>
    <w:p>
      <w:pPr>
        <w:ind w:firstLine="392"/>
        <w:spacing w:after="0" w:line="268" w:lineRule="auto"/>
        <w:rPr>
          <w:sz w:val="20"/>
          <w:szCs w:val="20"/>
          <w:color w:val="auto"/>
        </w:rPr>
      </w:pPr>
      <w:r>
        <w:rPr>
          <w:rFonts w:ascii="Arial" w:cs="Arial" w:eastAsia="Arial" w:hAnsi="Arial"/>
          <w:sz w:val="17"/>
          <w:szCs w:val="17"/>
          <w:color w:val="auto"/>
        </w:rPr>
        <w:t>We have significant outstanding convertible debt, and may be required to repay, refinance or restructure a portion of such debt before 2021. In February 2014, we issued $201.3 million aggregate principal amount of our 2.75% Senior Convertible Notes due 2034 (2014 Notes), pursuant to an underwriting agreement, dated January 29, 2014. In March 2018, we entered into separate privately negotiated transactions with certain holders of our 2014 Notes to exchange $150.0 million in aggregate principal amount of the 2014 Notes for new convertible notes (the 2018 Notes). Following the exchange, approximately $51.3 million aggregate principal amount of the 2014 Notes remain outstanding in addition to $150.0 million in aggregate principal amount of the 2018 Notes (collectively, the Convertible Notes). The Convertible Notes accrue interest at a rate of 2.75% per year, payable semi-annually in arrears on February 1 and August 1 of each year. The Convertible Notes will mature on February 1, 2034, unless earlier converted, redeemed, or repurchased in accordance with the terms of the respective Notes. Holders of the 2014 Notes may require us to repurchase all or a portion of their 2014 Notes on each of February 6, 2021, February 6, 2024, and February 6, 2029 at a repurchase price in cash equal to 100% of the principal amount of the Notes plus accrued and unpaid interest. Holders of the 2018 Notes may require us to repurchase all or a portion of their 2018 Notes on each of February 6, 2023, February 6, 2026, and February 6, 2029 at a repurchase price in cash equal to 100% of the accreted principal amount (i.e., up to 120% of the outstanding principal amount) of the 2018 Notes plus accrued and unpaid interest. If we undergo a fundamental change, as defined in the terms of each of the applicable series of Notes, (i) holders of the 2014 Notes may require us to repurchase the 2014 Notes in whole or in part for cash at a repurchase price equal to 100% of the principal amount of the 2014 Notes plus accrued and unpaid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6" w:name="page37"/>
    <w:bookmarkEnd w:id="36"/>
    <w:p>
      <w:pPr>
        <w:jc w:val="both"/>
        <w:ind w:right="40"/>
        <w:spacing w:after="0" w:line="259" w:lineRule="auto"/>
        <w:rPr>
          <w:sz w:val="20"/>
          <w:szCs w:val="20"/>
          <w:color w:val="auto"/>
        </w:rPr>
      </w:pPr>
      <w:r>
        <w:rPr>
          <w:rFonts w:ascii="Arial" w:cs="Arial" w:eastAsia="Arial" w:hAnsi="Arial"/>
          <w:sz w:val="18"/>
          <w:szCs w:val="18"/>
          <w:color w:val="auto"/>
        </w:rPr>
        <w:t>interest and (ii) holders of the 2018 Notes may require us to repurchase the 2018 Notes in whole or in part for cash at a repurchase price equal to 100% of the accreted principal amount (i.e., up to 120% of the outstanding principal amount) of the 2018 Notes plus accrued and unpaid interest. If we refinance the debt owed under the 2014 Notes and the 2018 Notes, we may issue additional convertible notes or other debt, which could include additional company obligations and represent more dilution to existing stockholders and noteholders.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24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in recent quarters experienced increased competition in the single-cell genomics market, including new product releases from 10X Genomics, Inc. and WaferGen Bio-systems, Inc. (recently acquired by Takara Bio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18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Our commercial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7" w:name="page38"/>
    <w:bookmarkEnd w:id="37"/>
    <w:p>
      <w:pPr>
        <w:ind w:right="80"/>
        <w:spacing w:after="0" w:line="259" w:lineRule="auto"/>
        <w:rPr>
          <w:sz w:val="20"/>
          <w:szCs w:val="20"/>
          <w:color w:val="auto"/>
        </w:rPr>
      </w:pPr>
      <w:r>
        <w:rPr>
          <w:rFonts w:ascii="Arial" w:cs="Arial" w:eastAsia="Arial" w:hAnsi="Arial"/>
          <w:sz w:val="18"/>
          <w:szCs w:val="18"/>
          <w:color w:val="auto"/>
        </w:rPr>
        <w:t>organization has undergone significant changes in 2016 and 2017, and we are in the early stages of establishing sales of our products for many key applications. If we are not able to successfully market and sell our products, or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252"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5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ind w:firstLine="405"/>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7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84" w:right="27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biopharmaceutical, biotechnology, and Ag-Bio companies, and CROs, a reduction in which could limit our ability to sell our products and adversely affect our business.</w:t>
      </w:r>
    </w:p>
    <w:p>
      <w:pPr>
        <w:spacing w:after="0" w:line="18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expect that our revenue in the foreseeable future will be derived primarily from sales of our systems, IFCs, assays, and reagents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183" w:lineRule="exact"/>
        <w:rPr>
          <w:sz w:val="20"/>
          <w:szCs w:val="20"/>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We manufacture our genomics analytical and preparatory instruments and IFCs for commercial sale at our facility in Singapore, our mass cytometry instruments for commercial sale at our facility in Canada, and our assays and reagents for commercial sale at our headquarters in the United States.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800" w:right="25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During the nine months ended September 30, 2018, and 2017, and the years ended December 31, 2017, and 2016, approximately 56%, 53%, 55% and 49%,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71" w:lineRule="exact"/>
        <w:rPr>
          <w:sz w:val="20"/>
          <w:szCs w:val="20"/>
          <w:color w:val="auto"/>
        </w:rPr>
      </w:pPr>
    </w:p>
    <w:p>
      <w:pPr>
        <w:ind w:left="820" w:right="260" w:hanging="326"/>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the United Kingdom submitted its required notice under the applicable treaties that it intended to leave the European Union in March 2017, which initiated a negotiation process between the United Kingdom and the European Union that could last up to two years.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189"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t>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we experienced foreign currency gain of $0.4 million during the nine months ended September 30, 2018, and losses of $0.1 million and $1.5 million during the years ended December 31, 2017 and 2016, respectively. Fluctuations in currency exchange rates could have an adverse impact on our financial results in the future.</w:t>
      </w:r>
    </w:p>
    <w:p>
      <w:pPr>
        <w:spacing w:after="0" w:line="19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20" w:hanging="320"/>
        <w:spacing w:after="0" w:line="264"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0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movement stage included in the Hyperion imaging mass cytometer system is purchased from a sole source supplier.</w:t>
      </w:r>
    </w:p>
    <w:p>
      <w:pPr>
        <w:spacing w:after="0" w:line="225" w:lineRule="exact"/>
        <w:rPr>
          <w:rFonts w:ascii="Arial" w:cs="Arial" w:eastAsia="Arial" w:hAnsi="Arial"/>
          <w:sz w:val="18"/>
          <w:szCs w:val="18"/>
          <w:color w:val="auto"/>
        </w:rPr>
      </w:pPr>
    </w:p>
    <w:p>
      <w:pPr>
        <w:ind w:left="760" w:right="14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nickel sampler cone used with the Hyperion/Helios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2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84" w:right="279" w:bottom="1440" w:gutter="0" w:footer="0" w:header="0"/>
        </w:sectPr>
      </w:pPr>
    </w:p>
    <w:bookmarkStart w:id="42" w:name="page43"/>
    <w:bookmarkEnd w:id="42"/>
    <w:p>
      <w:pPr>
        <w:ind w:right="60"/>
        <w:spacing w:after="0" w:line="312" w:lineRule="auto"/>
        <w:rPr>
          <w:sz w:val="20"/>
          <w:szCs w:val="20"/>
          <w:color w:val="auto"/>
        </w:rPr>
      </w:pPr>
      <w:r>
        <w:rPr>
          <w:rFonts w:ascii="Arial" w:cs="Arial" w:eastAsia="Arial" w:hAnsi="Arial"/>
          <w:sz w:val="16"/>
          <w:szCs w:val="16"/>
          <w:color w:val="auto"/>
        </w:rPr>
        <w:t>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jc w:val="both"/>
        <w:ind w:right="420" w:firstLine="432"/>
        <w:spacing w:after="0" w:line="302" w:lineRule="auto"/>
        <w:rPr>
          <w:sz w:val="20"/>
          <w:szCs w:val="20"/>
          <w:color w:val="auto"/>
        </w:rPr>
      </w:pPr>
      <w:r>
        <w:rPr>
          <w:rFonts w:ascii="Arial" w:cs="Arial" w:eastAsia="Arial" w:hAnsi="Arial"/>
          <w:sz w:val="16"/>
          <w:szCs w:val="16"/>
          <w:color w:val="auto"/>
        </w:rPr>
        <w:t>As of September 30, 2018, we had approximately $169.0 million of goodwill and net intangible assets, including approximately $104.1 million of goodwill and approximately $64.9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5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ind w:right="400"/>
        <w:spacing w:after="0" w:line="342" w:lineRule="auto"/>
        <w:rPr>
          <w:sz w:val="20"/>
          <w:szCs w:val="20"/>
          <w:color w:val="auto"/>
        </w:rPr>
      </w:pPr>
      <w:r>
        <w:rPr>
          <w:rFonts w:ascii="Arial" w:cs="Arial" w:eastAsia="Arial" w:hAnsi="Arial"/>
          <w:sz w:val="16"/>
          <w:szCs w:val="16"/>
          <w:color w:val="auto"/>
        </w:rPr>
        <w:t>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are dependent upon our new senior management team and the ability of our other new employees to learn their new roles.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22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performance is substantially dependent on the performance of our senior management, which has substantially changed over the last few years, including, for example, a change in our chief executive officer in October 2016. In addition to our chief executive officer, several other members of our senior management team have started at Fluidigm since mid-2016.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7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74"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4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16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jc w:val="both"/>
        <w:ind w:right="260"/>
        <w:spacing w:after="0" w:line="264" w:lineRule="auto"/>
        <w:rPr>
          <w:sz w:val="20"/>
          <w:szCs w:val="20"/>
          <w:color w:val="auto"/>
        </w:rPr>
      </w:pPr>
      <w:r>
        <w:rPr>
          <w:rFonts w:ascii="Arial" w:cs="Arial" w:eastAsia="Arial" w:hAnsi="Arial"/>
          <w:sz w:val="18"/>
          <w:szCs w:val="18"/>
          <w:color w:val="auto"/>
        </w:rPr>
        <w:t>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If we seek to be regulated as a medical device manufacturer by the U.S. Food and Drug Administration, or FDA,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19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We are currently assessing whether and when to make an initial registration.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7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584" w:right="319" w:bottom="1440" w:gutter="0" w:footer="0" w:header="0"/>
        </w:sectPr>
      </w:pPr>
    </w:p>
    <w:bookmarkStart w:id="45" w:name="page46"/>
    <w:bookmarkEnd w:id="45"/>
    <w:p>
      <w:pPr>
        <w:jc w:val="both"/>
        <w:ind w:right="320"/>
        <w:spacing w:after="0" w:line="312" w:lineRule="auto"/>
        <w:rPr>
          <w:sz w:val="20"/>
          <w:szCs w:val="20"/>
          <w:color w:val="auto"/>
        </w:rPr>
      </w:pPr>
      <w:r>
        <w:rPr>
          <w:rFonts w:ascii="Arial" w:cs="Arial" w:eastAsia="Arial" w:hAnsi="Arial"/>
          <w:sz w:val="16"/>
          <w:szCs w:val="16"/>
          <w:color w:val="auto"/>
        </w:rPr>
        <w:t>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These directives have been replaced by Medical Device Regulation 2017/745 and In Vitro Diagnostic Regulation 2017/746, with official entry into force in May 26, 2017 and date of applications of May 26,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79"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8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ind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61"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8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47" w:name="page48"/>
    <w:bookmarkEnd w:id="47"/>
    <w:p>
      <w:pPr>
        <w:ind w:right="12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believe that our existing cash and cash equivalents and availability under the Revolving Credit Facility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60" w:firstLine="40"/>
        <w:spacing w:after="0" w:line="563" w:lineRule="auto"/>
        <w:tabs>
          <w:tab w:leader="none" w:pos="76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cash demands (e.g., due to interest payments or payouts under existing cash compensation plans);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variability through the year and timing of related cash collections;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60" w:hanging="320"/>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the extent we draw on our $15.0 million revolving senior credit facility (the “2018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If we raise additional funds by issuing equity securities, our stockholders may experience dilution. Debt financing in addition to the 2018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p>
      <w:pPr>
        <w:ind w:right="60"/>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16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August 2018, we entered into the Revolving Credit Facility. The Revolving Credit Facility provides for secured revolving loans in an aggregate amount of up to $15.0 million. The Revolving Credit Facility is secured by substantially all of the Company’s assets, other than intellectual property. The Revolving Credit Facility contains customary affirmative and negative covenants which, unless waived by the bank, limit the Company’s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2018 Facility, the lenders would be able to accelerate the required repayment of amounts due under the 2018 Credit Agreement and, if they are not repaid, could foreclose upon the assets securing our obligations under the 2018 Facility.</w:t>
      </w:r>
    </w:p>
    <w:p>
      <w:pPr>
        <w:spacing w:after="0" w:line="200" w:lineRule="exact"/>
        <w:rPr>
          <w:sz w:val="20"/>
          <w:szCs w:val="20"/>
          <w:color w:val="auto"/>
        </w:rPr>
      </w:pPr>
    </w:p>
    <w:p>
      <w:pPr>
        <w:spacing w:after="0" w:line="39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restructured our European intercompany transactions, which increased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the consequences to us of which have not yet been fully determined and which could have material impact on the value of our deferred tax assets, could result in significant one-time charges in the current or future taxable years, and could increase our future U.S. tax expense. Payment of additional amounts as a result of changes in applicable tax law or upon final adjudication of any disputes could have a material impact on our results of operations and financial position.</w:t>
      </w:r>
    </w:p>
    <w:p>
      <w:pPr>
        <w:spacing w:after="0" w:line="17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9" w:name="page50"/>
    <w:bookmarkEnd w:id="49"/>
    <w:p>
      <w:pPr>
        <w:ind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9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166"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4" w:right="259" w:bottom="1440" w:gutter="0" w:footer="0" w:header="0"/>
        </w:sectPr>
      </w:pPr>
    </w:p>
    <w:bookmarkStart w:id="50" w:name="page51"/>
    <w:bookmarkEnd w:id="50"/>
    <w:p>
      <w:pPr>
        <w:ind w:right="220"/>
        <w:spacing w:after="0" w:line="257" w:lineRule="auto"/>
        <w:rPr>
          <w:sz w:val="20"/>
          <w:szCs w:val="20"/>
          <w:color w:val="auto"/>
        </w:rPr>
      </w:pPr>
      <w:r>
        <w:rPr>
          <w:rFonts w:ascii="Arial" w:cs="Arial" w:eastAsia="Arial" w:hAnsi="Arial"/>
          <w:sz w:val="18"/>
          <w:szCs w:val="18"/>
          <w:color w:val="auto"/>
        </w:rPr>
        <w:t>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88"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relating to Revenue from Contracts with Customers which supersedes nearly all existing U.S. GAAP revenue recognition guidance. The new guidance is effective for our fiscal year 2018. We adopted ASU 2014-09 in the first quarter of 2018 using the modified retrospective method. The adoption is not expected to have a material impact on our consolidated financial statements. Under the modified retrospective method, periods prior to the adoption of ASU 2014-09 are not restated and the cumulative effect of initially applying the new standard is reflected in the opening balance of retained earnings as of January 1, 2018. Additional disclosures are required for significant differences between the reported results under the new standard and those that would have been reported under the legacy standard. While we continue to evaluate the effect of the new standard on our ongoing financial reporting, we currently do not expect the cumulative effect of the new standard to be material. We continue to identify the appropriate changes to our business processes, systems, and controls to support revenue recognition and disclosure under the new standard.</w:t>
      </w:r>
    </w:p>
    <w:p>
      <w:pPr>
        <w:spacing w:after="0" w:line="183"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66"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212121"/>
        </w:rPr>
        <w:t>382 of the Internal Revenue Code of 1986, as amended, referred to as the “Code,” imposes an annual limitation on the amount of taxable</w:t>
      </w:r>
      <w:r>
        <w:rPr>
          <w:rFonts w:ascii="Arial" w:cs="Arial" w:eastAsia="Arial" w:hAnsi="Arial"/>
          <w:sz w:val="18"/>
          <w:szCs w:val="18"/>
          <w:color w:val="auto"/>
        </w:rPr>
        <w:t xml:space="preserve"> </w:t>
      </w:r>
      <w:r>
        <w:rPr>
          <w:rFonts w:ascii="Arial" w:cs="Arial" w:eastAsia="Arial" w:hAnsi="Arial"/>
          <w:sz w:val="18"/>
          <w:szCs w:val="18"/>
          <w:color w:val="212121"/>
        </w:rPr>
        <w:t>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r>
        <w:rPr>
          <w:rFonts w:ascii="Arial" w:cs="Arial" w:eastAsia="Arial" w:hAnsi="Arial"/>
          <w:sz w:val="18"/>
          <w:szCs w:val="18"/>
          <w:color w:val="000000"/>
        </w:rPr>
        <w:t>.</w:t>
      </w:r>
    </w:p>
    <w:p>
      <w:pPr>
        <w:spacing w:after="0" w:line="18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color w:val="212121"/>
        </w:rPr>
        <w:t>we experience an ownership change, our ability to use our NOLs, any loss or deduction attributable to a “net unrealized built-in loss” and other tax</w:t>
      </w:r>
      <w:r>
        <w:rPr>
          <w:rFonts w:ascii="Arial" w:cs="Arial" w:eastAsia="Arial" w:hAnsi="Arial"/>
          <w:sz w:val="18"/>
          <w:szCs w:val="18"/>
          <w:color w:val="auto"/>
        </w:rPr>
        <w:t xml:space="preserve"> </w:t>
      </w:r>
      <w:r>
        <w:rPr>
          <w:rFonts w:ascii="Arial" w:cs="Arial" w:eastAsia="Arial" w:hAnsi="Arial"/>
          <w:sz w:val="18"/>
          <w:szCs w:val="18"/>
          <w:color w:val="212121"/>
        </w:rPr>
        <w:t>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8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121"/>
        </w:rPr>
        <w:t>believe that these tax benefits are a valuable asset for us. However, legislation commonly known as the 2017 Tax Cuts and Jobs Act includes a</w:t>
      </w:r>
      <w:r>
        <w:rPr>
          <w:rFonts w:ascii="Arial" w:cs="Arial" w:eastAsia="Arial" w:hAnsi="Arial"/>
          <w:sz w:val="18"/>
          <w:szCs w:val="18"/>
          <w:color w:val="auto"/>
        </w:rPr>
        <w:t xml:space="preserve"> </w:t>
      </w:r>
      <w:r>
        <w:rPr>
          <w:rFonts w:ascii="Arial" w:cs="Arial" w:eastAsia="Arial" w:hAnsi="Arial"/>
          <w:sz w:val="18"/>
          <w:szCs w:val="18"/>
          <w:color w:val="212121"/>
        </w:rPr>
        <w:t>decrease in the U.S. federal corporate income tax rate from 35% to 21%, and our tax benefits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51" w:name="page52"/>
    <w:bookmarkEnd w:id="51"/>
    <w:p>
      <w:pPr>
        <w:spacing w:after="0" w:line="290" w:lineRule="auto"/>
        <w:rPr>
          <w:sz w:val="20"/>
          <w:szCs w:val="20"/>
          <w:color w:val="auto"/>
        </w:rPr>
      </w:pPr>
      <w:r>
        <w:rPr>
          <w:rFonts w:ascii="Arial" w:cs="Arial" w:eastAsia="Arial" w:hAnsi="Arial"/>
          <w:sz w:val="16"/>
          <w:szCs w:val="16"/>
          <w:color w:val="212121"/>
        </w:rPr>
        <w:t xml:space="preserve">revalued at the newly enacted rate. We do not expect this to have a material impact on our financial statements because we currently maintain a full valuation allowance on our U.S. deferred tax assets; however, this reduction in the U.S. federal corporate income tax rate results in a corresponding reduction in the value of our tax benefits. On November 21, 2016, our board of directors approved a tax benefit preservation plan, or 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 382. Our board of directors will continue to monitor our NOLs, however, and could elect to adopt a similar plan if it believes a potential risk exists that our NOLs could be limited. </w:t>
      </w:r>
      <w:r>
        <w:rPr>
          <w:rFonts w:ascii="Arial" w:cs="Arial" w:eastAsia="Arial" w:hAnsi="Arial"/>
          <w:sz w:val="16"/>
          <w:szCs w:val="16"/>
          <w:color w:val="000000"/>
        </w:rPr>
        <w:t>Any future</w:t>
      </w:r>
      <w:r>
        <w:rPr>
          <w:rFonts w:ascii="Arial" w:cs="Arial" w:eastAsia="Arial" w:hAnsi="Arial"/>
          <w:sz w:val="16"/>
          <w:szCs w:val="16"/>
          <w:color w:val="212121"/>
        </w:rPr>
        <w:t xml:space="preserve"> tax benefit preservation plan could make it more difficult for a third party to acquire, or could discourage a third party from acquiring, us or a large block of our common stock.</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58" w:lineRule="exact"/>
        <w:rPr>
          <w:sz w:val="20"/>
          <w:szCs w:val="20"/>
          <w:color w:val="auto"/>
        </w:rPr>
      </w:pPr>
    </w:p>
    <w:p>
      <w:pPr>
        <w:ind w:right="20" w:firstLine="716"/>
        <w:spacing w:after="0" w:line="277" w:lineRule="auto"/>
        <w:rPr>
          <w:sz w:val="20"/>
          <w:szCs w:val="20"/>
          <w:color w:val="auto"/>
        </w:rPr>
      </w:pPr>
      <w:r>
        <w:rPr>
          <w:rFonts w:ascii="Arial" w:cs="Arial" w:eastAsia="Arial" w:hAnsi="Arial"/>
          <w:sz w:val="18"/>
          <w:szCs w:val="18"/>
          <w:color w:val="auto"/>
        </w:rPr>
        <w:t>As of September 30, 2018, we had outstanding $150.0 million aggregate principal amount of our 2018 Notes and $51.3 million aggregate principal amount of our 2014 Notes. This significant amount of debt has important risks to us and our investors, including:</w:t>
      </w:r>
    </w:p>
    <w:p>
      <w:pPr>
        <w:spacing w:after="0" w:line="170" w:lineRule="exact"/>
        <w:rPr>
          <w:sz w:val="20"/>
          <w:szCs w:val="20"/>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225" w:lineRule="exact"/>
        <w:rPr>
          <w:rFonts w:ascii="Arial" w:cs="Arial" w:eastAsia="Arial" w:hAnsi="Arial"/>
          <w:sz w:val="18"/>
          <w:szCs w:val="18"/>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225" w:lineRule="exact"/>
        <w:rPr>
          <w:rFonts w:ascii="Arial" w:cs="Arial" w:eastAsia="Arial" w:hAnsi="Arial"/>
          <w:sz w:val="18"/>
          <w:szCs w:val="18"/>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225" w:lineRule="exact"/>
        <w:rPr>
          <w:rFonts w:ascii="Arial" w:cs="Arial" w:eastAsia="Arial" w:hAnsi="Arial"/>
          <w:sz w:val="18"/>
          <w:szCs w:val="18"/>
          <w:color w:val="auto"/>
        </w:rPr>
      </w:pPr>
    </w:p>
    <w:p>
      <w:pPr>
        <w:ind w:left="1040" w:hanging="31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584" w:right="3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0" w:right="259" w:bottom="1440" w:gutter="0" w:footer="0" w:header="0"/>
        </w:sectPr>
      </w:pPr>
    </w:p>
    <w:bookmarkStart w:id="53" w:name="page54"/>
    <w:bookmarkEnd w:id="53"/>
    <w:p>
      <w:pPr>
        <w:ind w:right="140"/>
        <w:spacing w:after="0" w:line="259" w:lineRule="auto"/>
        <w:rPr>
          <w:sz w:val="20"/>
          <w:szCs w:val="20"/>
          <w:color w:val="auto"/>
        </w:rPr>
      </w:pPr>
      <w:r>
        <w:rPr>
          <w:rFonts w:ascii="Arial" w:cs="Arial" w:eastAsia="Arial" w:hAnsi="Arial"/>
          <w:sz w:val="18"/>
          <w:szCs w:val="18"/>
          <w:color w:val="auto"/>
        </w:rPr>
        <w:t>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8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97"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4" w:name="page55"/>
    <w:bookmarkEnd w:id="54"/>
    <w:p>
      <w:pPr>
        <w:spacing w:after="0" w:line="287" w:lineRule="auto"/>
        <w:rPr>
          <w:sz w:val="20"/>
          <w:szCs w:val="20"/>
          <w:color w:val="auto"/>
        </w:rPr>
      </w:pPr>
      <w:r>
        <w:rPr>
          <w:rFonts w:ascii="Arial" w:cs="Arial" w:eastAsia="Arial" w:hAnsi="Arial"/>
          <w:sz w:val="16"/>
          <w:szCs w:val="16"/>
          <w:color w:val="auto"/>
        </w:rPr>
        <w:t>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5" w:name="page56"/>
    <w:bookmarkEnd w:id="55"/>
    <w:p>
      <w:pPr>
        <w:ind w:right="460"/>
        <w:spacing w:after="0" w:line="282" w:lineRule="auto"/>
        <w:rPr>
          <w:sz w:val="20"/>
          <w:szCs w:val="20"/>
          <w:color w:val="auto"/>
        </w:rPr>
      </w:pPr>
      <w:r>
        <w:rPr>
          <w:rFonts w:ascii="Arial" w:cs="Arial" w:eastAsia="Arial" w:hAnsi="Arial"/>
          <w:sz w:val="18"/>
          <w:szCs w:val="18"/>
          <w:b w:val="1"/>
          <w:bCs w:val="1"/>
          <w:color w:val="auto"/>
        </w:rPr>
        <w:t>We may be subject to information technology failures, including data protection breaches and cyber-attacks, that could disrupt our operations, damage our reputation and adversely affect our business, operations, and financial results.</w:t>
      </w:r>
    </w:p>
    <w:p>
      <w:pPr>
        <w:spacing w:after="0" w:line="16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rely on our information technology systems for the effective operation of our business and for the secure maintenance and storage of confidential data relating to our business and third-party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78"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September 30, 2018, we had 39,315,785 shares of common stock outstanding, and stockholders holding at least 5% of our stock, individually or with affiliated persons or entities, collectively beneficially owned or controlled approximately 70.4% of such shares and one stockholder beneficially owned 32.4%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70.4% held by our top five stockholders as of September 30, 2018) means that a relatively small number of stockholders have significant control over the outcomes of stockholder voting.</w:t>
      </w:r>
    </w:p>
    <w:p>
      <w:pPr>
        <w:spacing w:after="0" w:line="19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conditions in the life science, Ag-Bio, and CRO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7" w:name="page58"/>
    <w:bookmarkEnd w:id="57"/>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2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2018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0"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Risks Related to Our Outstanding Convertible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outstanding convertible notes are effectively subordinated to our secured debt and any liabilities of our subsidiaries.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2014 Notes and 2018 Notes, which, collectively, we refer to as our “Notes”, rank:</w:t>
      </w:r>
    </w:p>
    <w:p>
      <w:pPr>
        <w:spacing w:after="0" w:line="225"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right="12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junior in right of payment to any of our secured indebtedness, including, but not limited to, any indebtedness under the Revolving Credit Facility, to the extent of the value of the assets securing such indebtedness;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February 2014, we completed the offering of our 2014 Notes with an aggregate outstanding principal amount of $201.3 million. In March 2018, we completed an exchange of $150.0 million in aggregate principal amount of our 2014 Notes for $150.0 million in aggregate principal amount of our 2018 Notes, leaving approximately $51.3 million in aggregate principal amount of 2014 Notes outstanding. In the event of our bankruptcy, liquidation, reorganization, or other winding up, our assets that secure debt ranks senior in right of payment to Notes will be available to pay obligations on the Notes only after the secured debt, including, but not limited to, any indebtedness under the Revolving Credit Facility,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indentures governing the Notes do not prohibit us from incurring additional senior debt or secured debt, nor do they prohibit our subsidiaries from incurring additional liabilities.</w:t>
      </w:r>
    </w:p>
    <w:p>
      <w:pPr>
        <w:spacing w:after="0" w:line="17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9" w:name="page60"/>
    <w:bookmarkEnd w:id="59"/>
    <w:p>
      <w:pPr>
        <w:ind w:right="40"/>
        <w:spacing w:after="0" w:line="257" w:lineRule="auto"/>
        <w:rPr>
          <w:sz w:val="20"/>
          <w:szCs w:val="20"/>
          <w:color w:val="auto"/>
        </w:rPr>
      </w:pPr>
      <w:r>
        <w:rPr>
          <w:rFonts w:ascii="Arial" w:cs="Arial" w:eastAsia="Arial" w:hAnsi="Arial"/>
          <w:sz w:val="18"/>
          <w:szCs w:val="18"/>
          <w:color w:val="auto"/>
        </w:rPr>
        <w:t>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incurred additional debt and may still incur substantially more debt or take other actions which would intensify the risks discussed above.</w:t>
      </w:r>
    </w:p>
    <w:p>
      <w:pPr>
        <w:spacing w:after="0" w:line="25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indentures governing the Notes from incurring additional debt, securing existing or future debt, recapitalizing our debt, or taking a number of other actions that are not limited by the terms of the indentures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applicable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August 2018, we entered into the Revolving Credit Facility with Silicon Valley Bank, which matures on August 2, 2020. Amounts drawn under the Revolving Credit Facility will be used for working capital and general corporate purposes. While we currently have no outstanding debt under the Revolving Credit Facility, we may incur up to $15.0 million of secured debt pursuant to the Revolving Credit Facility . See Note 4 to the Condensed Consolidated Financial Statements included in this Form 10-Q for more information about the Revolving Credit Facility.</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Holders of the Notes have the right to require us to repurchase all or a portion of their Notes on certain dates or upon the occurrence of a fundamental change at a repurchase price equal to, for the 2014 Notes, 100% of the principal amount of the 2014 Notes to be repurchased or, for 2018 Notes, 100% of the accreted principal amount (i.e., up to 120% of the outstanding principal amount) of the 2018 Notes to be repurchased, plus, in each case, accrued and unpaid interest, if any. We may not have enough available cash or be able to obtain financing at the time we are required to make repurchases of Notes surrendered therefor.</w:t>
      </w:r>
    </w:p>
    <w:p>
      <w:pPr>
        <w:spacing w:after="0" w:line="18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applicable indenture would constitute a default under the applicable indenture. A default under the applicable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0" w:name="page61"/>
    <w:bookmarkEnd w:id="60"/>
    <w:p>
      <w:pPr>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indentures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indentures governing the Notes do not:</w:t>
      </w:r>
    </w:p>
    <w:p>
      <w:pPr>
        <w:spacing w:after="0" w:line="320" w:lineRule="exact"/>
        <w:rPr>
          <w:sz w:val="20"/>
          <w:szCs w:val="20"/>
          <w:color w:val="auto"/>
        </w:rPr>
      </w:pPr>
    </w:p>
    <w:p>
      <w:pPr>
        <w:ind w:left="760" w:right="420" w:hanging="320"/>
        <w:spacing w:after="0" w:line="342"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23" w:lineRule="exact"/>
        <w:rPr>
          <w:rFonts w:ascii="Arial" w:cs="Arial" w:eastAsia="Arial" w:hAnsi="Arial"/>
          <w:sz w:val="16"/>
          <w:szCs w:val="16"/>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Furthermore, the indentures governing the Notes contain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indentures governing the Notes may not protect a noteholder's investment in the Notes.</w:t>
      </w:r>
    </w:p>
    <w:p>
      <w:pPr>
        <w:spacing w:after="0" w:line="184"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In the case of the 2014 Notes, if (i) a make-whole fundamental change occurs prior to February 6, 2021, or (ii) upon our issuance of a notice of provisional redemption, under certain circumstances, we will increase the conversion rate by a number of additional shares of our common stock for the 2014 Notes converted in connection with such events. In the case of the 2018 Notes, if (i) a make-whole fundamental change occurs prior to February 6, 2023, or</w:t>
      </w:r>
    </w:p>
    <w:p>
      <w:pPr>
        <w:ind w:firstLine="8"/>
        <w:spacing w:after="0" w:line="288"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upon voluntary conversion of the 2018 Notes prior to the issuance of a notice of provisional redemption, under certain circumstances, we will increase the conversion rate by a number of additional shares of our common stock for the 2018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(i) $180.00 per share (in the case of the 2014 Notes) or (ii) $100 per share (in the case of the 2018 Notes) or (i) less than $39.96 per share (in the case of the 2014 Notes) or (ii) less than $2.00 per share (in the case of the 2018 Notes) (in each case, subject to adjustment), no additional shares will be added to the conversion rate for the applicable series of notes. Moreover, in no event will the conversion rate per $1,000 principal amount of Notes as a result of this adjustment exceed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0" w:right="259" w:bottom="1440" w:gutter="0" w:footer="0" w:header="0"/>
        </w:sectPr>
      </w:pPr>
    </w:p>
    <w:bookmarkStart w:id="61" w:name="page62"/>
    <w:bookmarkEnd w:id="61"/>
    <w:p>
      <w:pPr>
        <w:ind w:right="200" w:firstLine="8"/>
        <w:spacing w:after="0" w:line="277"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25.0250 shares of common stock (in the case of the 2014 Notes) and (ii) 134.9730 shares of common stock (in the case of the 2018 Notes), in each case, subject to adjustment.</w:t>
      </w:r>
    </w:p>
    <w:p>
      <w:pPr>
        <w:spacing w:after="0" w:line="17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do not intend to apply to list our outstanding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2" w:name="page63"/>
    <w:bookmarkEnd w:id="62"/>
    <w:p>
      <w:pPr>
        <w:ind w:right="28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(i) a make-whole fundamental change occurs prior to February 6, 2021 (in the case of the 2014 Notes) or (ii) prior to February 6, 2023 (in the case of the 2018 Notes) or (x) upon our issuance of a notice of provisional redemption (in the case of the 2014 Notes) or (y) upon voluntary conversion of the 2018 Exchange Notes prior to the issuance of a notice of provisional redemption (in the case of the 2018 Notes),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38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Any conversion of some or all of the notes will dilute the ownership interests of our existing stockholders. The initial conversion price under the 2018 Notes is approximately $7.8775 as compared to approximately $55.94 under the 2014 Notes. As a result, each of the outstanding 2018 Notes is initially convertible into 126.9438 shares of our common stock per $1,000 principal amount while our outstanding 2014 Notes are initially convertible into 17.8750 shares of our common stock per $1,000 principal amount. Issuances of shares of common stock upon conversion of our Notes could depress the market price of our common stock and impair our ability to raise capital through the sale of additional equity securities. In addition, the existence of the Notes may encourage short selling by market participants because the conversion of the Notes could depress the price of our common stock.</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0"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240" w:top="580" w:right="51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240" w:type="dxa"/>
            <w:vAlign w:val="bottom"/>
            <w:gridSpan w:val="2"/>
            <w:vMerge w:val="continue"/>
          </w:tcPr>
          <w:p>
            <w:pPr>
              <w:spacing w:after="0"/>
              <w:rPr>
                <w:sz w:val="12"/>
                <w:szCs w:val="12"/>
                <w:color w:val="auto"/>
              </w:rPr>
            </w:pPr>
          </w:p>
        </w:tc>
        <w:tc>
          <w:tcPr>
            <w:tcW w:w="592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9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5860" w:type="dxa"/>
            <w:vAlign w:val="bottom"/>
            <w:tcBorders>
              <w:bottom w:val="single" w:sz="8" w:color="0000FF"/>
            </w:tcBorders>
            <w:gridSpan w:val="6"/>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Loan and Security Agreement, dated and effective as of August 2, 2018, between</w:t>
              </w:r>
            </w:hyperlink>
          </w:p>
        </w:tc>
        <w:tc>
          <w:tcPr>
            <w:tcW w:w="100" w:type="dxa"/>
            <w:vAlign w:val="bottom"/>
          </w:tcPr>
          <w:p>
            <w:pPr>
              <w:spacing w:after="0"/>
              <w:rPr>
                <w:sz w:val="17"/>
                <w:szCs w:val="17"/>
                <w:color w:val="auto"/>
              </w:rPr>
            </w:pPr>
          </w:p>
        </w:tc>
        <w:tc>
          <w:tcPr>
            <w:tcW w:w="1840" w:type="dxa"/>
            <w:vAlign w:val="bottom"/>
            <w:vMerge w:val="restart"/>
          </w:tcPr>
          <w:p>
            <w:pPr>
              <w:jc w:val="center"/>
              <w:ind w:right="110"/>
              <w:spacing w:after="0"/>
              <w:rPr>
                <w:sz w:val="20"/>
                <w:szCs w:val="20"/>
                <w:color w:val="auto"/>
              </w:rPr>
            </w:pPr>
            <w:r>
              <w:rPr>
                <w:rFonts w:ascii="Arial" w:cs="Arial" w:eastAsia="Arial" w:hAnsi="Arial"/>
                <w:sz w:val="18"/>
                <w:szCs w:val="18"/>
                <w:color w:val="auto"/>
                <w:w w:val="99"/>
              </w:rPr>
              <w:t>8-K</w:t>
            </w: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color w:val="auto"/>
              </w:rPr>
              <w:t>10.1</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8/2/2018</w:t>
            </w:r>
          </w:p>
        </w:tc>
        <w:tc>
          <w:tcPr>
            <w:tcW w:w="0" w:type="dxa"/>
            <w:vAlign w:val="bottom"/>
          </w:tcPr>
          <w:p>
            <w:pPr>
              <w:spacing w:after="0"/>
              <w:rPr>
                <w:sz w:val="1"/>
                <w:szCs w:val="1"/>
                <w:color w:val="auto"/>
              </w:rPr>
            </w:pPr>
          </w:p>
        </w:tc>
      </w:tr>
      <w:tr>
        <w:trPr>
          <w:trHeight w:val="129"/>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auto"/>
              </w:rPr>
              <w:t>10.1</w:t>
            </w:r>
          </w:p>
        </w:tc>
        <w:tc>
          <w:tcPr>
            <w:tcW w:w="3420" w:type="dxa"/>
            <w:vAlign w:val="bottom"/>
            <w:gridSpan w:val="2"/>
            <w:vMerge w:val="restart"/>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Silicon Valley Bank and Fluidigm Corporation.</w:t>
              </w:r>
            </w:hyperlink>
          </w:p>
        </w:tc>
        <w:tc>
          <w:tcPr>
            <w:tcW w:w="2540" w:type="dxa"/>
            <w:vAlign w:val="bottom"/>
            <w:gridSpan w:val="5"/>
            <w:vMerge w:val="restart"/>
          </w:tcPr>
          <w:p>
            <w:pPr>
              <w:spacing w:after="0"/>
              <w:rPr>
                <w:sz w:val="11"/>
                <w:szCs w:val="11"/>
                <w:color w:val="auto"/>
              </w:rPr>
            </w:pPr>
          </w:p>
        </w:tc>
        <w:tc>
          <w:tcPr>
            <w:tcW w:w="1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220" w:type="dxa"/>
            <w:vAlign w:val="bottom"/>
            <w:vMerge w:val="continue"/>
          </w:tcPr>
          <w:p>
            <w:pPr>
              <w:spacing w:after="0"/>
              <w:rPr>
                <w:sz w:val="5"/>
                <w:szCs w:val="5"/>
                <w:color w:val="auto"/>
              </w:rPr>
            </w:pPr>
          </w:p>
        </w:tc>
        <w:tc>
          <w:tcPr>
            <w:tcW w:w="3420" w:type="dxa"/>
            <w:vAlign w:val="bottom"/>
            <w:tcBorders>
              <w:bottom w:val="single" w:sz="8" w:color="0000FF"/>
            </w:tcBorders>
            <w:gridSpan w:val="2"/>
            <w:vMerge w:val="continue"/>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5960" w:type="dxa"/>
            <w:vAlign w:val="bottom"/>
            <w:gridSpan w:val="7"/>
          </w:tcPr>
          <w:p>
            <w:pPr>
              <w:spacing w:after="0"/>
              <w:rPr>
                <w:rFonts w:ascii="Arial" w:cs="Arial" w:eastAsia="Arial" w:hAnsi="Arial"/>
                <w:sz w:val="18"/>
                <w:szCs w:val="18"/>
                <w:color w:val="0000FF"/>
              </w:rPr>
            </w:pPr>
            <w:hyperlink r:id="rId14">
              <w:r>
                <w:rPr>
                  <w:rFonts w:ascii="Arial" w:cs="Arial" w:eastAsia="Arial" w:hAnsi="Arial"/>
                  <w:sz w:val="18"/>
                  <w:szCs w:val="18"/>
                  <w:color w:val="0000FF"/>
                </w:rPr>
                <w:t>Form of Retention Bonus Exchange Letter.</w:t>
              </w:r>
            </w:hyperlink>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140" w:type="dxa"/>
            <w:vAlign w:val="bottom"/>
          </w:tcPr>
          <w:p>
            <w:pPr>
              <w:jc w:val="right"/>
              <w:spacing w:after="0"/>
              <w:rPr>
                <w:sz w:val="20"/>
                <w:szCs w:val="20"/>
                <w:color w:val="auto"/>
              </w:rPr>
            </w:pPr>
            <w:r>
              <w:rPr>
                <w:rFonts w:ascii="Arial" w:cs="Arial" w:eastAsia="Arial" w:hAnsi="Arial"/>
                <w:sz w:val="18"/>
                <w:szCs w:val="18"/>
                <w:color w:val="auto"/>
              </w:rPr>
              <w:t>9/20/2018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5960" w:type="dxa"/>
            <w:vAlign w:val="bottom"/>
            <w:gridSpan w:val="7"/>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 Pursuant to 18 U.S.C. Section 1350, as Adopted Pursuant to</w:t>
              </w:r>
            </w:hyperlink>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2"/>
              </w:rPr>
              <w:t>Filed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960" w:type="dxa"/>
            <w:vAlign w:val="bottom"/>
            <w:gridSpan w:val="7"/>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Section 302 of the Sarbanes-Oxley Act of 2002 of Chief Executive Officer</w:t>
              </w:r>
            </w:hyperlink>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5380" w:type="dxa"/>
            <w:vAlign w:val="bottom"/>
            <w:tcBorders>
              <w:top w:val="single" w:sz="8" w:color="0000FF"/>
            </w:tcBorders>
            <w:gridSpan w:val="5"/>
          </w:tcPr>
          <w:p>
            <w:pP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Certification Pursuant to 18 U.S.C. Section 1350, as Adopted Pursuant to</w:t>
              </w:r>
            </w:hyperlink>
          </w:p>
        </w:tc>
        <w:tc>
          <w:tcPr>
            <w:tcW w:w="580" w:type="dxa"/>
            <w:vAlign w:val="bottom"/>
            <w:gridSpan w:val="2"/>
          </w:tcPr>
          <w:p>
            <w:pPr>
              <w:spacing w:after="0"/>
              <w:rPr>
                <w:sz w:val="24"/>
                <w:szCs w:val="24"/>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2"/>
              </w:rPr>
              <w:t>Filed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3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68">
              <w:r>
                <w:rPr>
                  <w:rFonts w:ascii="Arial" w:cs="Arial" w:eastAsia="Arial" w:hAnsi="Arial"/>
                  <w:sz w:val="18"/>
                  <w:szCs w:val="18"/>
                  <w:color w:val="0000FF"/>
                  <w:w w:val="92"/>
                </w:rPr>
                <w:t>Section 302 of the Sarbanes-Oxley Act of 2002 of Chief Financial Officer</w:t>
              </w:r>
            </w:hyperlink>
          </w:p>
        </w:tc>
        <w:tc>
          <w:tcPr>
            <w:tcW w:w="620" w:type="dxa"/>
            <w:vAlign w:val="bottom"/>
            <w:gridSpan w:val="3"/>
          </w:tcPr>
          <w:p>
            <w:pPr>
              <w:spacing w:after="0"/>
              <w:rPr>
                <w:sz w:val="17"/>
                <w:szCs w:val="17"/>
                <w:color w:val="auto"/>
              </w:rPr>
            </w:pPr>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32.1(1)</w:t>
            </w:r>
          </w:p>
        </w:tc>
        <w:tc>
          <w:tcPr>
            <w:tcW w:w="5960" w:type="dxa"/>
            <w:vAlign w:val="bottom"/>
            <w:gridSpan w:val="7"/>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Pursuant to 18 U.S.C. Section 1350, as Adopted Pursuant to</w:t>
              </w:r>
            </w:hyperlink>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1"/>
              </w:rPr>
              <w:t>Furnished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960" w:type="dxa"/>
            <w:vAlign w:val="bottom"/>
            <w:gridSpan w:val="7"/>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Section 906 of the Sarbanes-Oxley Act of 2002 of Chief Executive Officer</w:t>
              </w:r>
            </w:hyperlink>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32.2(1)</w:t>
            </w:r>
          </w:p>
        </w:tc>
        <w:tc>
          <w:tcPr>
            <w:tcW w:w="5380" w:type="dxa"/>
            <w:vAlign w:val="bottom"/>
            <w:tcBorders>
              <w:top w:val="single" w:sz="8" w:color="0000FF"/>
            </w:tcBorders>
            <w:gridSpan w:val="5"/>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Certification Pursuant to 18 U.S.C. Section 1350, as Adopted Pursuant to</w:t>
              </w:r>
            </w:hyperlink>
          </w:p>
        </w:tc>
        <w:tc>
          <w:tcPr>
            <w:tcW w:w="580" w:type="dxa"/>
            <w:vAlign w:val="bottom"/>
            <w:gridSpan w:val="2"/>
          </w:tcPr>
          <w:p>
            <w:pPr>
              <w:spacing w:after="0"/>
              <w:rPr>
                <w:sz w:val="24"/>
                <w:szCs w:val="24"/>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1"/>
              </w:rPr>
              <w:t>Furnished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53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70">
              <w:r>
                <w:rPr>
                  <w:rFonts w:ascii="Arial" w:cs="Arial" w:eastAsia="Arial" w:hAnsi="Arial"/>
                  <w:sz w:val="18"/>
                  <w:szCs w:val="18"/>
                  <w:color w:val="0000FF"/>
                  <w:w w:val="92"/>
                </w:rPr>
                <w:t>Section 906 of the Sarbanes-Oxley Act of 2002 of Chief Financial Officer</w:t>
              </w:r>
            </w:hyperlink>
          </w:p>
        </w:tc>
        <w:tc>
          <w:tcPr>
            <w:tcW w:w="620" w:type="dxa"/>
            <w:vAlign w:val="bottom"/>
            <w:gridSpan w:val="3"/>
          </w:tcPr>
          <w:p>
            <w:pPr>
              <w:spacing w:after="0"/>
              <w:rPr>
                <w:sz w:val="17"/>
                <w:szCs w:val="17"/>
                <w:color w:val="auto"/>
              </w:rPr>
            </w:pPr>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5960" w:type="dxa"/>
            <w:vAlign w:val="bottom"/>
            <w:gridSpan w:val="7"/>
          </w:tcPr>
          <w:p>
            <w:pPr>
              <w:spacing w:after="0"/>
              <w:rPr>
                <w:sz w:val="20"/>
                <w:szCs w:val="20"/>
                <w:color w:val="auto"/>
              </w:rPr>
            </w:pPr>
            <w:r>
              <w:rPr>
                <w:rFonts w:ascii="Arial" w:cs="Arial" w:eastAsia="Arial" w:hAnsi="Arial"/>
                <w:sz w:val="18"/>
                <w:szCs w:val="18"/>
                <w:color w:val="auto"/>
              </w:rPr>
              <w:t>XBRL Instance Document - the instance document does not appear in the</w:t>
            </w: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2"/>
              </w:rPr>
              <w:t>Filed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960" w:type="dxa"/>
            <w:vAlign w:val="bottom"/>
            <w:gridSpan w:val="7"/>
          </w:tcPr>
          <w:p>
            <w:pPr>
              <w:spacing w:after="0"/>
              <w:rPr>
                <w:sz w:val="20"/>
                <w:szCs w:val="20"/>
                <w:color w:val="auto"/>
              </w:rPr>
            </w:pPr>
            <w:r>
              <w:rPr>
                <w:rFonts w:ascii="Arial" w:cs="Arial" w:eastAsia="Arial" w:hAnsi="Arial"/>
                <w:sz w:val="18"/>
                <w:szCs w:val="18"/>
                <w:color w:val="auto"/>
                <w:w w:val="99"/>
              </w:rPr>
              <w:t>Interactive Data File because its XBRL tags are embedded within the Inline</w:t>
            </w:r>
          </w:p>
        </w:tc>
        <w:tc>
          <w:tcPr>
            <w:tcW w:w="1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5960" w:type="dxa"/>
            <w:vAlign w:val="bottom"/>
            <w:gridSpan w:val="7"/>
          </w:tcPr>
          <w:p>
            <w:pPr>
              <w:spacing w:after="0"/>
              <w:rPr>
                <w:sz w:val="20"/>
                <w:szCs w:val="20"/>
                <w:color w:val="auto"/>
              </w:rPr>
            </w:pPr>
            <w:r>
              <w:rPr>
                <w:rFonts w:ascii="Arial" w:cs="Arial" w:eastAsia="Arial" w:hAnsi="Arial"/>
                <w:sz w:val="18"/>
                <w:szCs w:val="18"/>
                <w:color w:val="auto"/>
              </w:rPr>
              <w:t>XBRL document.</w:t>
            </w:r>
          </w:p>
        </w:tc>
        <w:tc>
          <w:tcPr>
            <w:tcW w:w="1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59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2"/>
              </w:rPr>
              <w:t>Filed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59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2"/>
              </w:rPr>
              <w:t>Filed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59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2"/>
              </w:rPr>
              <w:t>Filed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59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2"/>
              </w:rPr>
              <w:t>Filed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59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2"/>
              </w:rPr>
              <w:t>Filed herewith</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20" w:right="40" w:hanging="1385"/>
        <w:spacing w:after="0" w:line="271" w:lineRule="auto"/>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5" w:name="page66"/>
    <w:bookmarkEnd w:id="65"/>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4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6, 2018</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40"/>
        <w:spacing w:after="0"/>
        <w:tabs>
          <w:tab w:leader="none" w:pos="4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6, 2018</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20"/>
          </w:cols>
          <w:pgMar w:left="240" w:top="580" w:right="9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November 6, 2018</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Dated: November 6, 2018</w:t>
      </w:r>
    </w:p>
    <w:p>
      <w:pPr>
        <w:spacing w:after="0" w:line="6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2573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PRESIDENT AND CHIEF EXECUTIVE OFFICER PURSUANT TO 18 U.S.C. § 1350, AS ADOPTED PURSUANT TO SECTION 906 OF THE SARBANES-OXLEY ACT OF 2002</w:t>
      </w:r>
    </w:p>
    <w:p>
      <w:pPr>
        <w:spacing w:after="0" w:line="126"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11" w:lineRule="exact"/>
        <w:rPr>
          <w:sz w:val="20"/>
          <w:szCs w:val="20"/>
          <w:color w:val="auto"/>
        </w:rPr>
      </w:pPr>
    </w:p>
    <w:p>
      <w:pPr>
        <w:ind w:right="680" w:firstLine="886"/>
        <w:spacing w:after="0" w:line="277" w:lineRule="auto"/>
        <w:tabs>
          <w:tab w:leader="none" w:pos="10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2018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6, 2018</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680" w:firstLine="886"/>
        <w:spacing w:after="0" w:line="277" w:lineRule="auto"/>
        <w:tabs>
          <w:tab w:leader="none" w:pos="10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September 30, 2018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6,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5"/>
    </w:lvl>
  </w:abstractNum>
  <w:abstractNum w:abstractNumId="5">
    <w:nsid w:val="519B500D"/>
    <w:multiLevelType w:val="hybridMultilevel"/>
    <w:lvl w:ilvl="0">
      <w:lvlJc w:val="left"/>
      <w:lvlText w:val="%1."/>
      <w:numFmt w:val="decimal"/>
      <w:start w:val="7"/>
    </w:lvl>
  </w:abstractNum>
  <w:abstractNum w:abstractNumId="6">
    <w:nsid w:val="431BD7B7"/>
    <w:multiLevelType w:val="hybridMultilevel"/>
    <w:lvl w:ilvl="0">
      <w:lvlJc w:val="left"/>
      <w:lvlText w:val="%1."/>
      <w:numFmt w:val="decimal"/>
      <w:start w:val="8"/>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lvl w:ilvl="1">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Roman"/>
      <w:start w:val="2"/>
    </w:lvl>
  </w:abstractNum>
  <w:abstractNum w:abstractNumId="23">
    <w:nsid w:val="189A769B"/>
    <w:multiLevelType w:val="hybridMultilevel"/>
    <w:lvl w:ilvl="0">
      <w:lvlJc w:val="left"/>
      <w:lvlText w:val="(%1)"/>
      <w:numFmt w:val="lowerRoman"/>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Archives/edgar/data/1162194/000117184318005695/exh_101.htm" TargetMode="External"/><Relationship Id="rId14" Type="http://schemas.openxmlformats.org/officeDocument/2006/relationships/hyperlink" Target="http://www.sec.gov/Archives/edgar/data/1162194/000117184318006650/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2019-12-28T18:08:13Z</dcterms:created>
  <dcterms:modified xsi:type="dcterms:W3CDTF">2019-12-28T18:08:13Z</dcterms:modified>
</cp:coreProperties>
</file>