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00" w:right="1840" w:hanging="3865"/>
        <w:spacing w:after="0" w:line="454" w:lineRule="auto"/>
        <w:tabs>
          <w:tab w:leader="none" w:pos="38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2"/>
          </w:tcPr>
          <w:p>
            <w:pPr>
              <w:jc w:val="center"/>
              <w:ind w:left="3819"/>
              <w:spacing w:after="0"/>
              <w:rPr>
                <w:sz w:val="20"/>
                <w:szCs w:val="20"/>
                <w:color w:val="auto"/>
              </w:rPr>
            </w:pPr>
            <w:r>
              <w:rPr>
                <w:rFonts w:ascii="Arial" w:cs="Arial" w:eastAsia="Arial" w:hAnsi="Arial"/>
                <w:sz w:val="18"/>
                <w:szCs w:val="18"/>
                <w:b w:val="1"/>
                <w:bCs w:val="1"/>
                <w:color w:val="auto"/>
                <w:w w:val="89"/>
              </w:rPr>
              <w:t>77-0513190</w:t>
            </w:r>
          </w:p>
        </w:tc>
      </w:tr>
      <w:tr>
        <w:trPr>
          <w:trHeight w:val="180"/>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20" w:type="dxa"/>
            <w:vAlign w:val="bottom"/>
            <w:gridSpan w:val="2"/>
          </w:tcPr>
          <w:p>
            <w:pPr>
              <w:jc w:val="center"/>
              <w:ind w:left="38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20" w:type="dxa"/>
            <w:vAlign w:val="bottom"/>
            <w:gridSpan w:val="2"/>
          </w:tcPr>
          <w:p>
            <w:pPr>
              <w:jc w:val="center"/>
              <w:ind w:left="3819"/>
              <w:spacing w:after="0"/>
              <w:rPr>
                <w:sz w:val="20"/>
                <w:szCs w:val="20"/>
                <w:color w:val="auto"/>
              </w:rPr>
            </w:pPr>
            <w:r>
              <w:rPr>
                <w:rFonts w:ascii="Arial" w:cs="Arial" w:eastAsia="Arial" w:hAnsi="Arial"/>
                <w:sz w:val="14"/>
                <w:szCs w:val="14"/>
                <w:b w:val="1"/>
                <w:bCs w:val="1"/>
                <w:color w:val="auto"/>
                <w:w w:val="95"/>
              </w:rPr>
              <w:t>Identification Number)</w:t>
            </w:r>
          </w:p>
        </w:tc>
      </w:tr>
      <w:tr>
        <w:trPr>
          <w:trHeight w:val="264"/>
        </w:trPr>
        <w:tc>
          <w:tcPr>
            <w:tcW w:w="1900" w:type="dxa"/>
            <w:vAlign w:val="bottom"/>
          </w:tcPr>
          <w:p>
            <w:pPr>
              <w:spacing w:after="0"/>
              <w:rPr>
                <w:sz w:val="22"/>
                <w:szCs w:val="22"/>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2"/>
        </w:trPr>
        <w:tc>
          <w:tcPr>
            <w:tcW w:w="1900" w:type="dxa"/>
            <w:vAlign w:val="bottom"/>
          </w:tcPr>
          <w:p>
            <w:pPr>
              <w:spacing w:after="0"/>
              <w:rPr>
                <w:sz w:val="18"/>
                <w:szCs w:val="18"/>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354"/>
        </w:trPr>
        <w:tc>
          <w:tcPr>
            <w:tcW w:w="19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1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190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bl>
    <w:p>
      <w:pPr>
        <w:spacing w:after="0" w:line="310"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840"/>
              <w:spacing w:after="0"/>
              <w:rPr>
                <w:sz w:val="20"/>
                <w:szCs w:val="20"/>
                <w:color w:val="auto"/>
              </w:rPr>
            </w:pPr>
            <w:r>
              <w:rPr>
                <w:rFonts w:ascii="Arial" w:cs="Arial" w:eastAsia="Arial" w:hAnsi="Arial"/>
                <w:sz w:val="18"/>
                <w:szCs w:val="18"/>
                <w:color w:val="auto"/>
                <w:w w:val="95"/>
              </w:rPr>
              <w:t>(Do not check if a smaller reporting company)</w:t>
            </w:r>
          </w:p>
        </w:tc>
        <w:tc>
          <w:tcPr>
            <w:tcW w:w="26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ind w:right="21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28, 2017, there were 29,295,392 shares of the Registrant’s common stock, $0.001 par value per share, outstanding.</w:t>
      </w:r>
    </w:p>
    <w:p>
      <w:pPr>
        <w:sectPr>
          <w:pgSz w:w="11900" w:h="16838" w:orient="portrait"/>
          <w:cols w:equalWidth="0" w:num="1">
            <w:col w:w="11380"/>
          </w:cols>
          <w:pgMar w:left="240" w:top="233" w:right="279" w:bottom="1440" w:gutter="0" w:footer="0" w:header="0"/>
        </w:sect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000" w:type="dxa"/>
            <w:vAlign w:val="bottom"/>
            <w:gridSpan w:val="13"/>
          </w:tcPr>
          <w:p>
            <w:pPr>
              <w:spacing w:after="0"/>
              <w:rPr>
                <w:sz w:val="20"/>
                <w:szCs w:val="20"/>
                <w:color w:val="auto"/>
              </w:rPr>
            </w:pPr>
            <w:r>
              <w:rPr>
                <w:rFonts w:ascii="Arial" w:cs="Arial" w:eastAsia="Arial" w:hAnsi="Arial"/>
                <w:sz w:val="18"/>
                <w:szCs w:val="18"/>
                <w:color w:val="0000FF"/>
                <w:w w:val="88"/>
              </w:rPr>
              <w:t>Condensed Consolidated Balance Sheets - March 31, 2017 and December 31, 2016</w:t>
            </w:r>
          </w:p>
        </w:tc>
        <w:tc>
          <w:tcPr>
            <w:tcW w:w="25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540" w:type="dxa"/>
            <w:vAlign w:val="bottom"/>
            <w:gridSpan w:val="15"/>
          </w:tcPr>
          <w:p>
            <w:pPr>
              <w:spacing w:after="0"/>
              <w:rPr>
                <w:sz w:val="20"/>
                <w:szCs w:val="20"/>
                <w:color w:val="auto"/>
              </w:rPr>
            </w:pPr>
            <w:r>
              <w:rPr>
                <w:rFonts w:ascii="Arial" w:cs="Arial" w:eastAsia="Arial" w:hAnsi="Arial"/>
                <w:sz w:val="18"/>
                <w:szCs w:val="18"/>
                <w:color w:val="0000FF"/>
                <w:w w:val="89"/>
              </w:rPr>
              <w:t>Condensed Consolidated Statements of Operations for the three months ended March 31, 2017 and 2016</w:t>
            </w:r>
          </w:p>
        </w:tc>
        <w:tc>
          <w:tcPr>
            <w:tcW w:w="104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Comprehensive Loss for the three months ended March 31, 2017 and 2016</w:t>
            </w:r>
          </w:p>
        </w:tc>
        <w:tc>
          <w:tcPr>
            <w:tcW w:w="32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97"/>
              </w:rPr>
              <w:t>Condensed Consolidated Statements of Cash Flows for the three months ended March 31, 2017 and 2016</w:t>
            </w:r>
          </w:p>
        </w:tc>
        <w:tc>
          <w:tcPr>
            <w:tcW w:w="32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3580" w:type="dxa"/>
            <w:vAlign w:val="bottom"/>
            <w:gridSpan w:val="7"/>
          </w:tcPr>
          <w:p>
            <w:pPr>
              <w:spacing w:after="0"/>
              <w:rPr>
                <w:sz w:val="24"/>
                <w:szCs w:val="24"/>
                <w:color w:val="auto"/>
              </w:rPr>
            </w:pPr>
          </w:p>
        </w:tc>
        <w:tc>
          <w:tcPr>
            <w:tcW w:w="100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26">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6">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SIGNATURES</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5">
              <w:r>
                <w:rPr>
                  <w:rFonts w:ascii="Arial" w:cs="Arial" w:eastAsia="Arial" w:hAnsi="Arial"/>
                  <w:sz w:val="18"/>
                  <w:szCs w:val="18"/>
                  <w:color w:val="0000FF"/>
                  <w:w w:val="93"/>
                </w:rPr>
                <w:t>EXHIBIT LIST</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2)</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$391 at March 31, 2017 and $502 at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86,112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253,162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4"/>
              </w:rPr>
              <w:t>Preferred stock, $0.001 par value, 10,000 shares authorized, no shares issued and outstanding at March 31,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2017 and December 31, 2016</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 $0.001 par value, 200,000 shares authorized at March 31, 2017 and December 31, 2016;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29,292 and 29,208 shares issued and outstanding as of March 31, 2017 and December 31, 2016,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493,441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(456,862)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(439,477)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292,468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21,307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22,576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25,475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change in unrealized gain on investments</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(19,625)</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sales and maturities of investments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28,532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 in Verinata</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21,204</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 net of taxes paid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42,854</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64" w:lineRule="exact"/>
        <w:rPr>
          <w:sz w:val="20"/>
          <w:szCs w:val="20"/>
          <w:color w:val="auto"/>
        </w:rPr>
      </w:pPr>
    </w:p>
    <w:p>
      <w:pPr>
        <w:ind w:right="784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2016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months ended March 31, 2017 are not necessarily indicative of the results to be expected for the year ending December 31, 2017 or for any other interim period or for any other future year. All intercompany accounts and transactions have been eliminated upon consolidation.</w:t>
      </w:r>
    </w:p>
    <w:p>
      <w:pPr>
        <w:spacing w:after="0" w:line="18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78"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2016 included in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they would have been anti-dilutive (in thousands):</w:t>
      </w:r>
    </w:p>
    <w:p>
      <w:pPr>
        <w:spacing w:after="0" w:line="176"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4,911</w:t>
            </w:r>
          </w:p>
        </w:tc>
      </w:tr>
      <w:tr>
        <w:trPr>
          <w:trHeight w:val="243"/>
        </w:trPr>
        <w:tc>
          <w:tcPr>
            <w:tcW w:w="928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3,598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8,683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months ended March 31, 2017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46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Accumulated Other</w:t>
            </w:r>
          </w:p>
        </w:tc>
      </w:tr>
      <w:tr>
        <w:trPr>
          <w:trHeight w:val="192"/>
        </w:trPr>
        <w:tc>
          <w:tcPr>
            <w:tcW w:w="628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Translation Adjustment</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(Loss) on Securities</w:t>
            </w:r>
          </w:p>
        </w:tc>
        <w:tc>
          <w:tcPr>
            <w:tcW w:w="140" w:type="dxa"/>
            <w:vAlign w:val="bottom"/>
          </w:tcPr>
          <w:p>
            <w:pPr>
              <w:spacing w:after="0"/>
              <w:rPr>
                <w:sz w:val="16"/>
                <w:szCs w:val="16"/>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Comprehensive Loss</w:t>
            </w: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35</w:t>
            </w: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405"/>
        <w:spacing w:after="0" w:line="342" w:lineRule="auto"/>
        <w:rPr>
          <w:sz w:val="20"/>
          <w:szCs w:val="20"/>
          <w:color w:val="auto"/>
        </w:rPr>
      </w:pPr>
      <w:r>
        <w:rPr>
          <w:rFonts w:ascii="Arial" w:cs="Arial" w:eastAsia="Arial" w:hAnsi="Arial"/>
          <w:sz w:val="16"/>
          <w:szCs w:val="16"/>
          <w:color w:val="auto"/>
        </w:rPr>
        <w:t>De minimus amounts of unrealized gains and losses have been reclassified into the condensed consolidated statement of operations for the three months ended March 31, 2017. The tax effect of each component of other comprehensive income was immaterial for the three month ended March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229"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the third quarter of 2014, we received cash proceeds of $0.3 million from the escrow account related to the acquisition. We recorded these amounts as "Gain from sale of investment in Verinata" in the consolidated statements of operations for the year ended December 31, 2014. The final milestones related to the sale of Verinata to Illumina were met in December 2015 and, accordingly, we recorded our share of these milestone payment obligations in the amount of $2.3 million in Gain from sale of investment in Verinata in the consolidated statement of operations for the year ended December 31, 2015. In January 2016, we received the payment of $2.3 million and it was recorded in net cash provided by investing activities in the condensed consolidated statement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undiscounted future operating cash flows. If impairment is indicated, we estimate the asset’s fair value using future discounted cash flows associated with the use of the asset, and adjust the carrying value of the asset accordingly.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We adopted this standard in the first quarter of 2017. The adoption of this ASU did not have a material impact on our consolidated financial statements.</w:t>
      </w:r>
    </w:p>
    <w:p>
      <w:pPr>
        <w:spacing w:after="0" w:line="17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This ASU simplifies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of employee taxes paid when an employer withholds shares for tax-withholding purposes. We adopted this standard in the first quarter of 2017 by recording the cumulative impact of applying this guidance to retained earnings. We also elected to account for forfeitures as they occur, as permitted by ASU 2016-09. The adoption of this ASU did not have a material impact on our consolidated financial statements. See Note 9 for the impact on deferred tax assets.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ASU 2016-12 provides narrow scope improvements and practical expedients related to ASU 2014-09. The improvements address completed contracts and contract modifications at transition, non-cash consideration, the presentation of sales taxes and other taxes collected from customers, and assessment of collectability when determining whether a transaction represents a valid contract. On July 7, 2015, the FASB amended ASU 2014-09 to defer the effective date by one year with early adoption permitted as of the original effective date. ASU 2014-09 and ASU 2016-12 will be effective for our fiscal year beginning January 1, 2018, with early adoption permitted. While we have not completed our assessment of the new revenue recognition standard, we currently expect that this new standard will not have a material impact on our consolidated financial statements. We expect to adopt ASU 2014-09 in the first quarter of 2018.</w:t>
      </w:r>
    </w:p>
    <w:p>
      <w:pPr>
        <w:spacing w:after="0" w:line="16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February 2016, the FASB issued ASU 2016-02 Leases (Topic 842). This ASU requires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6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ASU 2016-18 will be effective for our fiscal year beginning January 1, 2018, with early adoption permitted. The adoption of this ASU is not expected to have a material impact on our consolidated financial statements.</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new guidance intends to simplify the subsequent measurement of goodwill. The ASU eliminates the requirement for an entity to calculate the implied fair value of goodwill to measure a goodwill impairment charge. Instead, an entity will perform its annual, or interim, goodwill impairment testing by comparing the fair value of a reporting unit with its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adoption of this ASU and cannot estimate the financial statement impact of adoption.</w:t>
      </w:r>
    </w:p>
    <w:p>
      <w:pPr>
        <w:spacing w:after="0" w:line="1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have been no other changes in accounting standards issued by the FASB during the three months ended March 31, 2017 that are expected to have a material impact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188"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February 2014, we received $195.2 million, net of underwriting discounts, from the issuance of the Notes and incurred approximately $1.1 million in offering-related expenses. The underwriting discount of $6.0 million and the debt issuance costs of $1.1 million were recorded as offsets to the proceeds.</w:t>
      </w:r>
    </w:p>
    <w:p>
      <w:pPr>
        <w:spacing w:after="0" w:line="124"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Sciences, Inc. (now Fluidigm Sciences Inc.). Interest expense related to the Notes was approximately $1.5 million for both the three months ended March 31, 2017 and 2016, respectively. Approximately $2.8 million of interest under the Notes became due and was paid during the three months ended March 31, 2017.</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Principal amount of Notes</w:t>
            </w:r>
          </w:p>
        </w:tc>
        <w:tc>
          <w:tcPr>
            <w:tcW w:w="4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201,250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carrying value of convertible notes</w:t>
            </w:r>
          </w:p>
        </w:tc>
        <w:tc>
          <w:tcPr>
            <w:tcW w:w="4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195,022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Intangible assets include developed technology as a result of the DVS acquisition and other intangible assets included in Other non-current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4"/>
              </w:rPr>
              <w:t>March 31, 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6,395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83,395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3"/>
              </w:rPr>
              <w:t>December 31, 2016</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86,491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connection with the acquisition of DVS in February 2014, we acquired developed technology with a gross fair value of $112.0 million. These acquired intangible assets are being amortized to cost of product revenue over their useful life of ten years. Related amortization expense for each of the three months ended March 31, 2017 and 2016 was $2.8 million, respectively.</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Based on the carrying value of intangible assets as of March 31, 2017, the annual amortization expense for intangible assets is expected to be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Amortization 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12,325</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12,234</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25,230</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83,395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5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 Inventories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45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520" w:type="dxa"/>
            <w:vAlign w:val="bottom"/>
            <w:vMerge w:val="restart"/>
          </w:tcPr>
          <w:p>
            <w:pPr>
              <w:jc w:val="right"/>
              <w:ind w:right="22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5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23,670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2,084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(24,084)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16,525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months ended March 31, 2017 and 2016, which is included in other accrued liabilities, is summarized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1,056</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9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16,712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50,282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44,097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35,045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three months ended March 31, 2017 and 2016, and there were no changes in the valuation techniques used.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maturity periods of $6.2 million of our marketable debt securities are within one year from March 31, 2017.</w:t>
      </w:r>
    </w:p>
    <w:p>
      <w:pPr>
        <w:spacing w:after="0" w:line="22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None of our available-for-sale securities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estimated fair value of the Convertible Notes is based on a market approach (See Note 3). The estimated fair value was approximately $135.4 million and $139.7 million (par value $201.3 million) as of March 31, 2017 and December 31, 2016, and represents a Level II valuation. When determining the estimated fair value of our long-term debt, we used a commonly accepted valuation methodology and market-based risk measurements that are indirectly observable, such as credit risk.</w:t>
      </w:r>
    </w:p>
    <w:p>
      <w:pPr>
        <w:spacing w:after="0" w:line="183" w:lineRule="exact"/>
        <w:rPr>
          <w:sz w:val="20"/>
          <w:szCs w:val="20"/>
          <w:color w:val="auto"/>
        </w:rPr>
      </w:pPr>
    </w:p>
    <w:p>
      <w:pPr>
        <w:ind w:right="868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firstLine="432"/>
        <w:spacing w:after="0" w:line="257" w:lineRule="auto"/>
        <w:rPr>
          <w:sz w:val="20"/>
          <w:szCs w:val="20"/>
          <w:color w:val="auto"/>
        </w:rPr>
      </w:pPr>
      <w:r>
        <w:rPr>
          <w:rFonts w:ascii="Arial" w:cs="Arial" w:eastAsia="Arial" w:hAnsi="Arial"/>
          <w:sz w:val="18"/>
          <w:szCs w:val="18"/>
          <w:color w:val="auto"/>
        </w:rPr>
        <w:t>We have entered into various long-term non-cancelable operating lease agreements for equipment and facilities expiring at various times through 2026. We leased office space under non-cancelable leases in the United States, Canada, Singapore, Japan, China, France and United Kingdom, with various expiration dates through March 2026. Certain facility leases also contain rent escalation clauses. Our lease payments are expensed on a straight-line basis over the life of the leases. Rental expense under operating leases, net of amortization of lease incentive, was $1.6 million and $1.4 million for the three months ended March 31, 2017 and 2016,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payments under non-cancelable operating leases as of March 31, 2017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5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Minimum Lease Payments</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 of the year)</w:t>
            </w:r>
          </w:p>
        </w:tc>
        <w:tc>
          <w:tcPr>
            <w:tcW w:w="5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2018</w:t>
            </w:r>
          </w:p>
        </w:tc>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2020</w:t>
            </w:r>
          </w:p>
        </w:tc>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17,914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jc w:val="right"/>
              <w:ind w:right="327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Since October 2015, we have been incurring legal expenses to defend claims by Thermo Fisher Scientific, Inc., (Thermo) against one of our employees. On December 21, 2015,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18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As of March 31, 2017, we had an aggregate legal contingency accrual based on our estimate of the probable losses before considering insurance proceeds, if any, and it does not include an estimate for legal fees expected to be incurred in connection with the loss contingency. The amount of our legal contingency accrual was not material as of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ind w:right="500" w:firstLine="432"/>
        <w:spacing w:after="0" w:line="342" w:lineRule="auto"/>
        <w:rPr>
          <w:sz w:val="20"/>
          <w:szCs w:val="20"/>
          <w:color w:val="auto"/>
        </w:rPr>
      </w:pPr>
      <w:r>
        <w:rPr>
          <w:rFonts w:ascii="Arial" w:cs="Arial" w:eastAsia="Arial" w:hAnsi="Arial"/>
          <w:sz w:val="16"/>
          <w:szCs w:val="16"/>
          <w:color w:val="auto"/>
        </w:rPr>
        <w:t>During the three months ended March 31, 2017, we granted certain employees options to purchase 719,813 shares of common stock. The options granted during the three months ended March 31, 2017 had exercise prices ranging from $5.52 to $6.78 and a total grant date fair value of $4.5 million.</w:t>
      </w:r>
    </w:p>
    <w:p>
      <w:pPr>
        <w:spacing w:after="0" w:line="12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During the three months ended March 31, 2017, we granted certain employees 531,410 restricted stock units. The restricted stock units granted during the three months ended March 31, 2017 had fair market values ranging from $5.52 to $6.78 and a total grant date fair value of $3.4 million.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225"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We recognized stock-based compensation expense of $2.4 million and $3.7 million during the three months ended March 31, 2017 and 2016, respectively. As of March 31, 2017, we had $5.8 million and $13.5 million of unrecognized stock-based compensation expense related to stock options and restricted stock units, respectively, which are expected to be recognized over a weighted average period of 2.8 years and 2.6 years,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ind w:right="40" w:firstLine="405"/>
        <w:spacing w:after="0" w:line="255" w:lineRule="auto"/>
        <w:rPr>
          <w:sz w:val="20"/>
          <w:szCs w:val="20"/>
          <w:color w:val="auto"/>
        </w:rPr>
      </w:pPr>
      <w:r>
        <w:rPr>
          <w:rFonts w:ascii="Arial" w:cs="Arial" w:eastAsia="Arial" w:hAnsi="Arial"/>
          <w:sz w:val="18"/>
          <w:szCs w:val="18"/>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The Company recognizes stock-based compensation expense over the vesting period of the performance awards when achievement of the performance criteria becomes probable. We did not recognize any expense related to these performance awards in 2017 and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benefit for income taxes for the periods presented differs from the 34% U.S. Federal statutory rate primarily due to maintaining a valuation allowance for deferred tax assets, which primarily consist of net operating loss carryforwards.</w:t>
      </w:r>
    </w:p>
    <w:p>
      <w:pPr>
        <w:spacing w:after="0" w:line="170"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recorded a tax benefit of $1.8 million and $0.8 million for the three months ended March 31, 2017 and 2016, which was primarily attributable to the amortization of our acquisition related deferred tax liability and net operating loss from Canadian operations, partially offset by tax provision.</w:t>
      </w:r>
    </w:p>
    <w:p>
      <w:pPr>
        <w:spacing w:after="0" w:line="14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adoption of ASU 2016-09 (see Note 2), we recorded to the opening balance of retained earnings $9.3 million in deferred tax assets for previously unrecognized excess tax benefits that existed as of January 1, 2017, and a corresponding increase of $9.3 million in valuation allowances against these deferred tax assets as substantially all of our U.S. deferred tax assets, net of deferred tax liabilities, were subject to a full valuation allowance. The net impact to retained earnings was zero as a result of these adjustments.</w:t>
      </w:r>
    </w:p>
    <w:p>
      <w:pPr>
        <w:spacing w:after="0" w:line="187"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substantially offset by a valuation allowance because we have incurred net losses since our inception. We continue to evaluate the realizability of the deferred tax assets and related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which is the development, manufacturing, and commercialization of life science tools.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total revenue by geographic area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7,636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9,325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individual customer represented more than 10% of our revenues for the three months ended March 31, 2017 and 2016.</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Revenue from sales to customers in China represented 10% of our total revenue, or $2.4 million, and 11% of our revenue, or $3.3 million for the three months ended March 31,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69"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5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66"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i w:val="1"/>
          <w:iCs w:val="1"/>
          <w:color w:val="auto"/>
        </w:rPr>
        <w:t>“Fluidigm,” the Fluidigm logo, “Access Array,” “Biomark,” “C1,” “Callisto,” “Cell-ID,” “CyTOF,” “D3,” “Delta Gene,” “Digital Array,” “Dynamic Array,” “EP1,” “FC1,” “Flex Six,” “Helios,” “High-Precision 96.96 Genotyping,” “Hyperion,” “Juno,” “Maxpar,” “MSL,” “Nanoflex” “Open App,” “Polaris,” “qdPCR 37K,” “Script Builder,” “Script Hub,” “Singular,” “SNP Trace” and “SNP Type” are trademarks or registered trademarks of Fluidigm Corporation. Other service marks, trademarks and trade names referred to in this Form 10-Q are the property of their respective owners.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total revenue for the three months ended March 31, 2017 was $25.5 million. Our total revenue was $104.4 million in 2016, $114.7 million in 2015, and $116.5 million in 2014. We have incurred significant net losses since our inception in 1999 and, as of March 31, 2017, our accumulated deficit was $456.9 million.</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decrease in overall revenue was due in significant part to decreasing sales of single-cell genomics instruments, driven by a combination of factors including changes in customer demand and performance issues in certain IFCs used in our C1 systems, partially offset by increased revenue from mass cytometry instruments. 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but if our efficiency and cost reduction efforts are unsuccessful, our cash position could be negatively impacted and we may, among other things, be required to seek other sources of financing.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months ended March 31, 2017 compared to those disclosed in our Annual Report on Form 10-K for the year ended December 31, 2016, as filed with the SEC on March 3,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months ended March 31, 2017 and 2016, and as a percentage of total revenue for the respective periods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37465</wp:posOffset>
            </wp:positionV>
            <wp:extent cx="3790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4"/>
                <w:szCs w:val="14"/>
                <w:b w:val="1"/>
                <w:bCs w:val="1"/>
                <w:color w:val="auto"/>
                <w:w w:val="96"/>
              </w:rPr>
              <w:t>2016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6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Cost of service revenue</w:t>
            </w: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162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6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22,576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25,475</w:t>
            </w:r>
          </w:p>
        </w:tc>
        <w:tc>
          <w:tcPr>
            <w:tcW w:w="1620" w:type="dxa"/>
            <w:vAlign w:val="bottom"/>
            <w:gridSpan w:val="3"/>
          </w:tcPr>
          <w:p>
            <w:pPr>
              <w:jc w:val="right"/>
              <w:ind w:right="150"/>
              <w:spacing w:after="0"/>
              <w:rPr>
                <w:sz w:val="20"/>
                <w:szCs w:val="20"/>
                <w:color w:val="auto"/>
              </w:rPr>
            </w:pPr>
            <w:r>
              <w:rPr>
                <w:rFonts w:ascii="Arial" w:cs="Arial" w:eastAsia="Arial" w:hAnsi="Arial"/>
                <w:sz w:val="18"/>
                <w:szCs w:val="18"/>
                <w:color w:val="auto"/>
              </w:rPr>
              <w:t>88</w:t>
            </w:r>
          </w:p>
        </w:tc>
      </w:tr>
      <w:tr>
        <w:trPr>
          <w:trHeight w:val="27"/>
        </w:trPr>
        <w:tc>
          <w:tcPr>
            <w:tcW w:w="5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47,872</w:t>
            </w:r>
          </w:p>
        </w:tc>
        <w:tc>
          <w:tcPr>
            <w:tcW w:w="16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165</w:t>
            </w:r>
          </w:p>
        </w:tc>
      </w:tr>
      <w:tr>
        <w:trPr>
          <w:trHeight w:val="237"/>
        </w:trPr>
        <w:tc>
          <w:tcPr>
            <w:tcW w:w="546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6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1620" w:type="dxa"/>
            <w:vAlign w:val="bottom"/>
            <w:gridSpan w:val="3"/>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5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16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w:t>
            </w:r>
          </w:p>
        </w:tc>
        <w:tc>
          <w:tcPr>
            <w:tcW w:w="1620" w:type="dxa"/>
            <w:vAlign w:val="bottom"/>
            <w:gridSpan w:val="3"/>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5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generate revenue primarily from sales of our products and services. Our product revenue consists of sales of instruments and consumables, including IFCs, assays, and other reagents. Our service revenue consists of post-warranty service contracts, preventive maintenance plans, instrument parts, installation, and training. We also receive revenue from our license agreements with third parties. The following table presents our revenue by source for the three months ended March 31, 2017 and 2016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1"/>
        </w:trPr>
        <w:tc>
          <w:tcPr>
            <w:tcW w:w="350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11,556</w:t>
            </w:r>
          </w:p>
        </w:tc>
        <w:tc>
          <w:tcPr>
            <w:tcW w:w="16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25,370</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w:t>
            </w:r>
          </w:p>
        </w:tc>
        <w:tc>
          <w:tcPr>
            <w:tcW w:w="16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29,003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total revenue by geographic area of our customers and as a percentage of total revenue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Borders>
              <w:bottom w:val="single" w:sz="8" w:color="auto"/>
            </w:tcBorders>
          </w:tcPr>
          <w:p>
            <w:pPr>
              <w:spacing w:after="0"/>
              <w:rPr>
                <w:sz w:val="16"/>
                <w:szCs w:val="16"/>
                <w:color w:val="auto"/>
              </w:rPr>
            </w:pPr>
          </w:p>
        </w:tc>
        <w:tc>
          <w:tcPr>
            <w:tcW w:w="15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8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7,636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29,003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Total revenue from our five largest customers comprised 18% and 16% of our total revenue for the three months ended March 31, 2017 and 2016,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Total revenue decreased by $3.5 million, or 12%, to $25.5 million for the three months ended March 31, 2017 compared to $29.0 million for the three months ended March 31, 2016. The decrease was primarily due to a decrease of $4.1 million in product revenue, partially offset by a $0.6 million increase in service revenue. Total revenue decreased in all geographic areas except Other for the three months ended March 31, 2017 compared to the three months ended March 31, 2016. Revenues in Europe, United States and Asia-Pacific decreased by $1.7 million, $1.3 million and $1.0 million, or 18%, 10% and 17%, respectively, for the three months ended March 31, 2017 compared to the three months ended March 31, 2016. The decreases were predominantly driven by lower genomics instrument sales and, to a lesser extent, lower average selling prices across most instruments and lower consumable sales. The decreases were partially offset by an increase in sales of our new imaging mass cytometry system.</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Product revenue decreased by $4.1 million, or 16%, to $21.3 million for the three months ended March 31, 2017 compared to the three months ended March 31, 2016.</w:t>
      </w:r>
    </w:p>
    <w:p>
      <w:pPr>
        <w:spacing w:after="0" w:line="17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Instrument revenue decreased by $3.1 million, or 22%, to $10.7 million for the three months ended March 31, 2017 compared to the three months ended March 31, 2016. The decrease was mainly due to lower unit sales for our genomics instruments, particularly single-cell genomics instruments and, to a lesser extent, lower average selling prices across most instruments. The decrease was partially offset by sales of our new imaging mass cytometry system.</w:t>
      </w:r>
    </w:p>
    <w:p>
      <w:pPr>
        <w:spacing w:after="0" w:line="14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Consumables revenue decreased by $1.0 million, or 9%, to $10.6 million, for the three months ended March 31, 2017 compared to the three months ended March 31, 2016. The decrease was primarily attributable to decreased unit sales for genomics consumables, partially offset by increased sales of mass cytometry reagents.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We cannot provide assurance concerning future revenue growth, if any.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Service revenue increased by $0.6 million, or 18%, to $4.2 million for the three months ended March 31, 2017 compared to $3.5 million for the three months ended March 31, 2016. The increase was mainly driven by an increase in instruments under post-warranty service contracts as a result of growth in our installed base, particularly mass cytometry instruments. Changes in service contracts generally lag changes in our instruments revenue by one year. Other fee-for-service offerings, including training, installation, parts, labor and preventive maintenance, were relatively flat during the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revenue was $0.1 million for both, the three months ended March 31, 2017 and 2016, and was generated in the United States.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presents our cost of product and service revenue and product and service margins for the three months ended March 31, 2017 and 2016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10,787</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1,198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revenue are included in research and development expense.</w:t>
      </w:r>
    </w:p>
    <w:p>
      <w:pPr>
        <w:spacing w:after="0" w:line="15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Cost of product revenue increased by $0.1 million, or 1%, to $10.9 million for the three months ended March 31, 2017 compared to the three months ended March 31, 2016. Overall cost of product revenue as a percentage of related revenue was 51% and 43% for the three months ended March 31, 2017 and 2016, respectively. Product margin decreased by eight percentage points compared to the same period in 2016, largely attributable to higher unit product costs from lower production volumes, fixed amortization of developed technology over lower revenues and, to a lesser extent, lower average selling prices for certain instruments and a unfavorable instrument sales mix.</w:t>
      </w:r>
    </w:p>
    <w:p>
      <w:pPr>
        <w:spacing w:after="0" w:line="18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Cost of service revenue decreased by $0.1 million, or 7%, to $1.1 million for the three months ended March 31, 2017 compared to the three months ended March 31, 2016. Overall cost of service revenue as a percentage of related revenue was 27% and 34% for the three months ended March 31, 2017 and 2016, respectively. The service margin increased seven percentage points during the three months ended March 31, 2017 compared to the same period in 2016, primarily driven by increased mass cytometry post-warranty contracts while maintaining relative flat labor and overhead costs due to greater cost efficiency.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the three months ended March 31, 2017 and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71"/>
        </w:trPr>
        <w:tc>
          <w:tcPr>
            <w:tcW w:w="40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10,412</w:t>
            </w:r>
          </w:p>
        </w:tc>
        <w:tc>
          <w:tcPr>
            <w:tcW w:w="160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22,576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25,475</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35,887</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Research and development expense decreased $1.9 million, or 18%, to $8.5 million for the three months ended March 31, 2017 compared to the three months ended March 31, 2016. The decrease was primarily attributable to a decrease in product material and supplies costs of $0.9 million due to higher-cost projects in the prior year period, and a decrease in headcount and compensation related costs of $0.7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research and development expense to decrease in 2017 compared to 2016 as we implement efficiency and cost savings initiatives in 2017.</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Selling, general and administrative expense decreased $2.9 million, or 11%, to $22.6 million for the three months ended March 31, 2017 compared to the three months ended March 31, 2016. This decrease was primarily due to a decrease in legal and outside service expense of $2.3 million and a decrease in infrastructure and facilities related costs of $0.4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selling, general and administrative expense to decrease in 2017 compared to 2016 as we implement efficiency and cost savings initiatives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months ended March 31, 2017 and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71"/>
        </w:trPr>
        <w:tc>
          <w:tcPr>
            <w:tcW w:w="70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1600" w:type="dxa"/>
            <w:vAlign w:val="bottom"/>
            <w:gridSpan w:val="2"/>
          </w:tcPr>
          <w:p>
            <w:pPr>
              <w:jc w:val="right"/>
              <w:ind w:right="10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1,777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$1.5 million for both the three months ended March 31, 2017 and 2016.</w:t>
      </w:r>
    </w:p>
    <w:p>
      <w:pPr>
        <w:spacing w:after="0" w:line="225"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Other expense decreased by $0.3 million for the three months ended March 31, 2017 compared to the three months ended March 31, 2016, mainly due to lower net effects of foreign exchange rate changes during the three months ended March 31, 2017 compared to the three months ended March 31, 2016.</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3" w:lineRule="exact"/>
        <w:rPr>
          <w:sz w:val="20"/>
          <w:szCs w:val="20"/>
          <w:color w:val="auto"/>
        </w:rPr>
      </w:pPr>
    </w:p>
    <w:p>
      <w:pPr>
        <w:jc w:val="both"/>
        <w:ind w:right="120" w:firstLine="432"/>
        <w:spacing w:after="0" w:line="273" w:lineRule="auto"/>
        <w:rPr>
          <w:sz w:val="20"/>
          <w:szCs w:val="20"/>
          <w:color w:val="auto"/>
        </w:rPr>
      </w:pPr>
      <w:r>
        <w:rPr>
          <w:rFonts w:ascii="Arial" w:cs="Arial" w:eastAsia="Arial" w:hAnsi="Arial"/>
          <w:sz w:val="17"/>
          <w:szCs w:val="17"/>
          <w:color w:val="auto"/>
        </w:rPr>
        <w:t>We recorded a tax benefit of $1.8 million and $0.8 million for the three months ended March 31, 2017 and 2016, respectively. The tax benefit for both the three months ended March 31, 2017 and 2016 was primarily attributable to the amortization of our acquisition-related deferred tax liability and Canadian operations, partially offset by tax provisions. The benefit from income taxes increased by $1.0 million for the three months ended March 31, 2017 compared to the three months ended March 31, 2016 mainly driven by increased losses from our Canadian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700" w:firstLine="432"/>
        <w:spacing w:after="0" w:line="258" w:lineRule="auto"/>
        <w:rPr>
          <w:sz w:val="20"/>
          <w:szCs w:val="20"/>
          <w:color w:val="auto"/>
        </w:rPr>
      </w:pPr>
      <w:r>
        <w:rPr>
          <w:rFonts w:ascii="Arial" w:cs="Arial" w:eastAsia="Arial" w:hAnsi="Arial"/>
          <w:sz w:val="18"/>
          <w:szCs w:val="18"/>
          <w:color w:val="auto"/>
        </w:rPr>
        <w:t>As of March 31, 2017, our principal sources of liquidity consisted of $44.1 million of cash and cash equivalents and $6.2 million of short-term investments. As of March 31, 2017, our working capital excluding deferred revenue was $64.7 million.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21,204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9,052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13,737</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In the first quarter of 2017, we implemented efficiency and cost-savings initiatives and we expect these initiatives to reduce our operating expenses in 2017 compared to 2016.</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operating activities for the three months ended March 31, 2017 was $8.5 million, and consisted of a net loss of $17.2 million, adjusted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non-cash adjustments of $7.1 million and net change in assets and liabilities of $1.6 million. Non-cash items primarily included amortization of developed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of $2.8 million, stock-based compensation expense of $2.4 million, depreciation and amortization of $2.0 million, and other non-cash items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The net change in assets and liabilities was primarily driven by an increase in deferred revenue of $0.8 million, an increase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$0.2 million, an increase in other liabilities of $0.2 million, a decrease in inventory of $0.4 million, and a decrease in accounts receivable of $0.2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an increase in other assets of $0.2 million.</w:t>
      </w:r>
    </w:p>
    <w:p>
      <w:pPr>
        <w:spacing w:after="0" w:line="21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Net cash used in operating activities for the three months ended March 31, 2016, was $7.8 million, and consisted of net loss of $19.9 million, adjusted for non-cash adjustments of $8.3 million, and a net change in assets and liabilities of $3.8 million. Non-cash items primarily included stock-based compensation expense of $3.7 million, amortization of developed technology of $2.8 million, depreciation and amortization of $1.6 million, and other non-cash items of $0.2 million. The net change in assets and liabilities was primarily driven by a decrease in accounts receivable of $5.5 million, an increase in liabilities of $1.3 million and an increase in deferred revenues of $0.5 million, partially offset by an increase of inventory of $1.8 million, a decrease of accounts payable of $1.6 million and an increase in other assets of $0.1 million.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as a result of our efficiency and cost-savings initiatives, we may decrease or defer certain capital expenditures and development activities, while further optimizing our organization.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Net cash provided by investing activities was $17.5 million during the three months ended March 31, 2017. Net cash provided by investing activities primarily consisted of $19.4 million of proceeds from sales and maturities of investments, partially offset by purchases of investments of $1.2 million and capital expenditures of $0.7 million.</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Net cash provided by investing activities was $21.2 million during the three months ended March 31, 2016. Net cash provided by investing activities primarily consisted of $28.5 million of proceeds from sales and maturities of investments, partially offset by purchases of investments of $8.5 million and capital expenditures of $1.1 million.</w:t>
      </w:r>
    </w:p>
    <w:p>
      <w:pPr>
        <w:spacing w:after="0" w:line="18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The final milestones related to the sale of Verinata to Illumina were met in December 2015 and, accordingly, we recorded our share of these milestone payment obligations in the amount of $2.3 million from the sale of investment in Verinata in the accompanying consolidated statement of operations for the year ended December 31, 2015. The $2.3 million payment was subsequently received in January 2016.</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significant financing activities for the three months ended March 31, 2017 and March 31,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At March 31, 2017, our working capital excluding deferred revenue was $64.7 million, including cash, cash equivalents, and short-term investments of $50.3 million.</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effectiveness of our efficiency and cost reduction initiatives.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7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more efficiently align our resources in areas providing the greatest benefit. If our efficiency and cost reduction efforts are unsuccessful, our cash position could be negatively impacted and we may, among other things, be required to seek other sources of financing.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March 31, 2017, we did not have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Please see Note 7 to the financial statements for our lease obligations.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three months ended March 31, 2017 to our contractual obligations disclosed in our “Management’s Discussion and Analysis of Financial Condition and Results of Operations” included in our Annual Report on Form 10-K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three months ended March 31, 2017 and 2016, we experienced foreign currency losses of $0.1 million and $0.5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had cash and cash equivalents of $44.1 million at March 31, 2017. These amounts were held primarily in cash on deposit with banks and money market funds which are short-term. We had $6.2 million in investments at March 31, 2017, held primarily in U.S. government and agency securities with contractual maturity dates that are within one year from March 31, 2017.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2017, our Chief Executive Officer and Chief Financial Officer concluded that, as of such date, our disclosure controls and procedures were effective at the reasonable assurance level.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2017 that have materially affected, or are reasonably likely to materially affect, our internal control over financial reporting.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December 21, 2015, Thermo Fisher Scientific, Inc. (“Thermo”) filed a complaint in the Circuit Court for the County of Kalamazoo of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Additionally, 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0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financial results and revenue growth rates have varied significantly from quarter-to-quarter and year-to-year due to a number of factors and have decreased sequentially since 2014, and a significant variance in our operating results or rates of growth, if any, could lead to substantial volatility in our stock price.</w:t>
      </w:r>
    </w:p>
    <w:p>
      <w:pPr>
        <w:spacing w:after="0" w:line="180"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Our total revenue was $104.4 million in 2016, $114.7 million in 2015, and $116.5 million in 2014. The decrease in overall revenue was due in significant part to decreasing sales of single-cell genomics instruments, driven by a combination of factors including changes in customer demand and performance issues in certain IFCs used in our C1 systems, partially offset by increased revenue from mass cytometry instruments. 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but if our efficiency and cost reduction efforts are unsuccessful, our cash position could be negatively impacted and we may, among other things, be required to seek other sources of financing.</w:t>
      </w:r>
    </w:p>
    <w:p>
      <w:pPr>
        <w:spacing w:after="0" w:line="17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Sales, however, remained relatively flat in the first quarter of 2017 compared to the fourth quarter of 2016. Additionally, for the quarters ended March 31, 2015 and June 30, 2015, we experienced year-over-year revenue growth rates that were substantially lower than revenue growth rates experienced in other periods since our initial public offering, and we experienced a year-over-year decline in revenue for the quarters ended September 30, 2016, June 30, 2016, and September 30, 2015, and for the years ended December 31,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6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and WaferGen Bio-systems, Inc. have products that compete in certain segments of the market in which we sell our products. In addition, we have recently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and Neogenomics (Multiomyx).</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application of our technologies to high-throughput genomics, single-cell genomics and mass cytometry applications are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If the market for single-cell genomics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7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biopharmaceutical, biotechnology, Ag-Bio companies and CRO's, a reduction in which could limit our ability to sell our products and adversely affect our business.</w:t>
      </w:r>
    </w:p>
    <w:p>
      <w:pPr>
        <w:spacing w:after="0" w:line="1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mass cytometry instruments for commercial sale at our facility in Canada, and our assays and reagents for commercial sale at our facility in the United States.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During the three months ended March 31, 2017 and 2016, and the years ended December 31, 2016 and 2015, approximately 54%, 55%, 49% and 52%,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71" w:lineRule="exact"/>
        <w:rPr>
          <w:sz w:val="20"/>
          <w:szCs w:val="20"/>
          <w:color w:val="auto"/>
        </w:rPr>
      </w:pPr>
    </w:p>
    <w:p>
      <w:pPr>
        <w:ind w:left="820" w:right="26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discussions with the European Union began in March 2017.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73"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three months ended March 31, 2017 and for the years ended December 31, 2016 and 2015, we experienced foreign currency losses of $0.1 million, $1.5 million, and $1.6 million, respectively. Fluctuations in currency exchange rates could have an adverse impact on our financial results in the future.</w:t>
      </w:r>
    </w:p>
    <w:p>
      <w:pPr>
        <w:spacing w:after="0" w:line="16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movement stage included in the Imaging Mass Cytometer is purchased from a sole source supplier.</w:t>
      </w:r>
    </w:p>
    <w:p>
      <w:pPr>
        <w:spacing w:after="0" w:line="225"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right="5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22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$17.2 million, $76.0 million, and $53.3 million during the three months ended March 31, 2017 and for the years ended December 31, 2016, and 2015, respectively. As of March 31, 2017, we had an accumulated deficit of $456.9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However, we recently implemented efficiency and cost-savings initiatives intended to stabilize our business operations and return to growth. These initiatives have included targeted workforce reductions and optimizing our facilities and excess space. They may also include decreasing or deferring capital expenditures and development activities. To the extent we are unable to invest sufficiently in these activities, it may impair our ability to develop, market and sell new and existing products.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8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March 31, 2017, we had approximately $187.5 million of goodwill and net intangible assets, including approximately $104.1 million of goodwill and $83.4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7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22"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year, including, for example, the recent departures of our Chief Executive Officer, Gajus Worthington, and Executive Vice President, Research and Development and Marketing, Marc Unger. We have a new president and chief executive officer who started in August 2016 and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6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5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6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when to make an initial registration.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intended uses we believe are important or commercially attractive.</w:t>
      </w:r>
    </w:p>
    <w:p>
      <w:pPr>
        <w:spacing w:after="0" w:line="192"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If we receive regulatory clearance or approval for certain of our products, we will be subject to ongoing FDA obligations and continued regulatory oversight and review, including the general controls listed above and the FDA’s QSRs for our development and manufacturing operations. In addition, we may be required to obtain a new 510(k) clearance before we can introduce subsequent modifications or improvements to such products. We may also be subject to additional FDA post-marketing obligations for such products, any or all of which would increase our costs and divert resources away from other projects. If we receive regulatory clearance or approval and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may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will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93"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left="400" w:right="5740" w:firstLine="40"/>
        <w:spacing w:after="0" w:line="563" w:lineRule="auto"/>
        <w:tabs>
          <w:tab w:leader="none" w:pos="7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The rapid growth of our business over time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In August 2015, we entered into a lease for new office, laboratory and warehouse space in Canada and relocated our Canada operations to the new space in April 2016. This Canada lease expires in March 2026. A move of any of our manufacturing facilities may delay or otherwise adversely affect our manufacturing activities and business.</w:t>
      </w:r>
    </w:p>
    <w:p>
      <w:pPr>
        <w:spacing w:after="0" w:line="16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anticipated growth effectively could have an adverse effect on our ability to achieve our development and commercialization goals.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will be effective for our fiscal year 2018. The new revenue guidance may be applied retrospectively to each prior period presented or retrospectively with the cumulative effect recognized as of the date of adoption. While we have not completed our assessment of the new revenue guidance, we currently expect that this new guidance will not have a material impact on our consolidated financial statements. As we complete the evaluation of this new guidance, new information may arise that could change our current understanding of the impact to revenue and expense recognized. Additionally, we will continue to monitor industry activities and any additional guidance provided by regulators, standards setters, or the accounting profession and adjust our assessment and implementation plans accordingly.</w:t>
      </w:r>
    </w:p>
    <w:p>
      <w:pPr>
        <w:spacing w:after="0" w:line="178"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121"/>
        </w:rPr>
        <w:t>believe that these tax benefits are a valuable asset for us. On November 21, 2016, our board of directors approved a Tax Benefit Preservation Plan,</w:t>
      </w:r>
      <w:r>
        <w:rPr>
          <w:rFonts w:ascii="Arial" w:cs="Arial" w:eastAsia="Arial" w:hAnsi="Arial"/>
          <w:sz w:val="18"/>
          <w:szCs w:val="18"/>
          <w:color w:val="auto"/>
        </w:rPr>
        <w:t xml:space="preserve"> </w:t>
      </w:r>
      <w:r>
        <w:rPr>
          <w:rFonts w:ascii="Arial" w:cs="Arial" w:eastAsia="Arial" w:hAnsi="Arial"/>
          <w:sz w:val="18"/>
          <w:szCs w:val="18"/>
          <w:color w:val="212121"/>
        </w:rPr>
        <w:t>or tax benefit preservation plan in an effort to protect our tax benefits during the effective period of the tax benefit preservation plan. The tax benefit preservation plan is expected to be submitted to a stockholder vote at our 2017 annual meeting of stockholders. If our stockholders do not approve the tax benefit preservation plan, it will expire. Although the tax benefit preservation plan is intended to reduce the likelihood of an “ownership change” that could adversely affect us, there is no assurance that the tax benefit preservation plan will prevent acquisitions in our common stock that could result in such an “ownership change.”</w:t>
      </w:r>
    </w:p>
    <w:p>
      <w:pPr>
        <w:spacing w:after="0" w:line="1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121"/>
        </w:rPr>
        <w:t>tax benefit preservation plan could make it more difficult for a third party to acquire, or could discourage a third party from acquiring, us or a large</w:t>
      </w:r>
      <w:r>
        <w:rPr>
          <w:rFonts w:ascii="Arial" w:cs="Arial" w:eastAsia="Arial" w:hAnsi="Arial"/>
          <w:sz w:val="18"/>
          <w:szCs w:val="18"/>
          <w:color w:val="auto"/>
        </w:rPr>
        <w:t xml:space="preserve"> </w:t>
      </w:r>
      <w:r>
        <w:rPr>
          <w:rFonts w:ascii="Arial" w:cs="Arial" w:eastAsia="Arial" w:hAnsi="Arial"/>
          <w:sz w:val="18"/>
          <w:szCs w:val="18"/>
          <w:color w:val="212121"/>
        </w:rPr>
        <w:t>block of our common stock. A third party that acquires 4.99% or more of our common stock could suffer substantial dilution of its ownership interest under the terms of the tax benefit preservation plan through the issuance of common stock or common stock equivalents to all stockholders other than the acquiring person.</w:t>
      </w:r>
    </w:p>
    <w:p>
      <w:pPr>
        <w:spacing w:after="0" w:line="187"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121"/>
        </w:rPr>
        <w:t>foregoing provisions may adversely affect the marketability of our common stock by discouraging potential investors from acquiring our stock. In</w:t>
      </w:r>
      <w:r>
        <w:rPr>
          <w:rFonts w:ascii="Arial" w:cs="Arial" w:eastAsia="Arial" w:hAnsi="Arial"/>
          <w:sz w:val="16"/>
          <w:szCs w:val="16"/>
          <w:color w:val="auto"/>
        </w:rPr>
        <w:t xml:space="preserve"> </w:t>
      </w:r>
      <w:r>
        <w:rPr>
          <w:rFonts w:ascii="Arial" w:cs="Arial" w:eastAsia="Arial" w:hAnsi="Arial"/>
          <w:sz w:val="16"/>
          <w:szCs w:val="16"/>
          <w:color w:val="212121"/>
        </w:rPr>
        <w:t>addition, these provisions could delay or frustrate the removal of incumbent directors and could make a merger, tender offer or proxy contest involving us more difficult, or impede an attempt to acquire a significant or controlling interest in us, even if such events might be beneficial to us and our stockholders.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We are currently and may become in the future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are currently a defendant in litigation brought against us and one of our non-executive employees by Thermo Fisher Scientific Inc. alleging, among other claims, misappropriation of proprietary information and breach of contractual and fiduciary obligations. The case is in its early stages, and we are unable to determine the ultimate outcome or estimate the range of potential losses. We intend to defend the case vigorously. If we fail in defending such claims, in addition to paying monetary damages, we may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these claims, litigation could result in substantial costs and be a distraction to management.</w:t>
      </w:r>
    </w:p>
    <w:p>
      <w:pPr>
        <w:spacing w:after="0" w:line="17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 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March 31, 2017, we had 29,291,677 shares of common stock outstanding, and stockholders holding at least 5% of our stock, individually or with affiliated persons or entities, collectively beneficially owned or controlled approximately 57.3%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Anti-takeover provisions in our charter documents, our tax benefit preservation plan,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12121"/>
        </w:rPr>
        <w:t>the tax benefit preservation plan that we adopted in November 2016 could make an acquisition of us more difficult. The risks associated</w:t>
      </w:r>
      <w:r>
        <w:rPr>
          <w:rFonts w:ascii="Arial" w:cs="Arial" w:eastAsia="Arial" w:hAnsi="Arial"/>
          <w:sz w:val="18"/>
          <w:szCs w:val="18"/>
          <w:color w:val="auto"/>
        </w:rPr>
        <w:t xml:space="preserve"> </w:t>
      </w:r>
      <w:r>
        <w:rPr>
          <w:rFonts w:ascii="Arial" w:cs="Arial" w:eastAsia="Arial" w:hAnsi="Arial"/>
          <w:sz w:val="18"/>
          <w:szCs w:val="18"/>
          <w:color w:val="212121"/>
        </w:rPr>
        <w:t>with the tax benefit preservation plan are described in more detail above under the heading “</w:t>
      </w:r>
      <w:r>
        <w:rPr>
          <w:rFonts w:ascii="Arial" w:cs="Arial" w:eastAsia="Arial" w:hAnsi="Arial"/>
          <w:sz w:val="18"/>
          <w:szCs w:val="18"/>
          <w:color w:val="000000"/>
        </w:rPr>
        <w:t>O</w:t>
      </w:r>
      <w:r>
        <w:rPr>
          <w:rFonts w:ascii="Arial" w:cs="Arial" w:eastAsia="Arial" w:hAnsi="Arial"/>
          <w:sz w:val="18"/>
          <w:szCs w:val="18"/>
          <w:color w:val="212121"/>
        </w:rPr>
        <w:t>ur ability to use net operating loss carryforwards to offset future taxable income for U.S. federal income tax purposes and other tax benefits may be limited.”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notes surrendered for conversion, then the holder surrendering such notes will not be entitled to vote on the amendment, although such holder will nevertheless be subject to any changes affecting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may adversely affect the trading price of the notes or our common stock. An event that adversely affects the value of the notes may occur, and that event may not result in an adjustment to the conversion rate.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460" w:type="dxa"/>
            <w:vAlign w:val="bottom"/>
            <w:gridSpan w:val="2"/>
            <w:vMerge w:val="continue"/>
          </w:tcPr>
          <w:p>
            <w:pPr>
              <w:spacing w:after="0"/>
              <w:rPr>
                <w:sz w:val="12"/>
                <w:szCs w:val="12"/>
                <w:color w:val="auto"/>
              </w:rPr>
            </w:pPr>
          </w:p>
        </w:tc>
        <w:tc>
          <w:tcPr>
            <w:tcW w:w="59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50"/>
        </w:trPr>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w w:val="94"/>
              </w:rPr>
              <w:t>Seventh Amendment to Lease Agreement between ARE-San Francisco No. 17,</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LLC and the registrant, dated March 23, 2017</w:t>
            </w: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60" w:type="dxa"/>
            <w:vAlign w:val="bottom"/>
            <w:gridSpan w:val="2"/>
            <w:vMerge w:val="continue"/>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13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Sarbanes-Oxley Act of 2002 of Chief Executive Officer</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20" w:right="80" w:hanging="585"/>
        <w:spacing w:after="0" w:line="324" w:lineRule="auto"/>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May 9, 2017</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May 9, 2017</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240" w:top="125" w:right="9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460" w:type="dxa"/>
            <w:vAlign w:val="bottom"/>
            <w:gridSpan w:val="2"/>
            <w:vMerge w:val="continue"/>
          </w:tcPr>
          <w:p>
            <w:pPr>
              <w:spacing w:after="0"/>
              <w:rPr>
                <w:sz w:val="12"/>
                <w:szCs w:val="12"/>
                <w:color w:val="auto"/>
              </w:rPr>
            </w:pPr>
          </w:p>
        </w:tc>
        <w:tc>
          <w:tcPr>
            <w:tcW w:w="59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50"/>
        </w:trPr>
        <w:tc>
          <w:tcPr>
            <w:tcW w:w="13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w w:val="94"/>
              </w:rPr>
              <w:t>Seventh Amendment to Lease Agreement between ARE-San Francisco No. 17,</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LLC and the registrant, dated March 23, 2017</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Sarbanes-Oxley Act of 2002 of Chief Executive Officer</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360" w:type="dxa"/>
            <w:vAlign w:val="bottom"/>
          </w:tcPr>
          <w:p>
            <w:pPr>
              <w:ind w:left="40"/>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4"/>
                <w:szCs w:val="24"/>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20" w:right="80" w:hanging="585"/>
        <w:spacing w:after="0" w:line="324" w:lineRule="auto"/>
        <w:tabs>
          <w:tab w:leader="none" w:pos="6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 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SEVENTH AMENDMENT TO LEASE (this “</w:t>
      </w:r>
      <w:r>
        <w:rPr>
          <w:rFonts w:ascii="Arial" w:cs="Arial" w:eastAsia="Arial" w:hAnsi="Arial"/>
          <w:sz w:val="18"/>
          <w:szCs w:val="18"/>
          <w:b w:val="1"/>
          <w:bCs w:val="1"/>
          <w:color w:val="auto"/>
        </w:rPr>
        <w:t>Seventh Amendment</w:t>
      </w:r>
      <w:r>
        <w:rPr>
          <w:rFonts w:ascii="Arial" w:cs="Arial" w:eastAsia="Arial" w:hAnsi="Arial"/>
          <w:sz w:val="18"/>
          <w:szCs w:val="18"/>
          <w:color w:val="auto"/>
        </w:rPr>
        <w:t xml:space="preserve">”) is made as of March 23, 2017, by and between </w:t>
      </w:r>
      <w:r>
        <w:rPr>
          <w:rFonts w:ascii="Arial" w:cs="Arial" w:eastAsia="Arial" w:hAnsi="Arial"/>
          <w:sz w:val="18"/>
          <w:szCs w:val="18"/>
          <w:b w:val="1"/>
          <w:bCs w:val="1"/>
          <w:color w:val="auto"/>
        </w:rPr>
        <w:t>ARE-SAN</w:t>
      </w:r>
      <w:r>
        <w:rPr>
          <w:rFonts w:ascii="Arial" w:cs="Arial" w:eastAsia="Arial" w:hAnsi="Arial"/>
          <w:sz w:val="18"/>
          <w:szCs w:val="18"/>
          <w:color w:val="auto"/>
        </w:rPr>
        <w:t xml:space="preserve"> </w:t>
      </w:r>
      <w:r>
        <w:rPr>
          <w:rFonts w:ascii="Arial" w:cs="Arial" w:eastAsia="Arial" w:hAnsi="Arial"/>
          <w:sz w:val="18"/>
          <w:szCs w:val="18"/>
          <w:b w:val="1"/>
          <w:bCs w:val="1"/>
          <w:color w:val="auto"/>
        </w:rPr>
        <w:t>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jc w:val="both"/>
        <w:ind w:firstLine="656"/>
        <w:spacing w:after="0" w:line="251" w:lineRule="auto"/>
        <w:tabs>
          <w:tab w:leader="none" w:pos="1103"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w:t>
      </w:r>
      <w:r>
        <w:rPr>
          <w:rFonts w:ascii="Arial" w:cs="Arial" w:eastAsia="Arial" w:hAnsi="Arial"/>
          <w:sz w:val="18"/>
          <w:szCs w:val="18"/>
          <w:b w:val="1"/>
          <w:bCs w:val="1"/>
          <w:color w:val="auto"/>
        </w:rPr>
        <w:t>Second Amendment</w:t>
      </w:r>
      <w:r>
        <w:rPr>
          <w:rFonts w:ascii="Arial" w:cs="Arial" w:eastAsia="Arial" w:hAnsi="Arial"/>
          <w:sz w:val="18"/>
          <w:szCs w:val="18"/>
          <w:color w:val="auto"/>
        </w:rPr>
        <w:t>”), as further amended by that certain Third Amendment to Lease dated as of June 25, 2013, as further amended by that certain Fourth Amendment to Lease dated as of June 4, 2014, as further amended by that certain Fifth Amendment to Lease dated as of September 15, 2014 and as further amended by that certain Sixth Amendment to Lease dated as of December 8, 2015 (“</w:t>
      </w:r>
      <w:r>
        <w:rPr>
          <w:rFonts w:ascii="Arial" w:cs="Arial" w:eastAsia="Arial" w:hAnsi="Arial"/>
          <w:sz w:val="18"/>
          <w:szCs w:val="18"/>
          <w:b w:val="1"/>
          <w:bCs w:val="1"/>
          <w:color w:val="auto"/>
        </w:rPr>
        <w:t>Sixth Amendment</w:t>
      </w:r>
      <w:r>
        <w:rPr>
          <w:rFonts w:ascii="Arial" w:cs="Arial" w:eastAsia="Arial" w:hAnsi="Arial"/>
          <w:sz w:val="18"/>
          <w:szCs w:val="18"/>
          <w:color w:val="auto"/>
        </w:rPr>
        <w:t>”)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94,735 rentable square feet (“</w:t>
      </w:r>
      <w:r>
        <w:rPr>
          <w:rFonts w:ascii="Arial" w:cs="Arial" w:eastAsia="Arial" w:hAnsi="Arial"/>
          <w:sz w:val="18"/>
          <w:szCs w:val="18"/>
          <w:b w:val="1"/>
          <w:bCs w:val="1"/>
          <w:color w:val="auto"/>
        </w:rPr>
        <w:t>Premises</w:t>
      </w:r>
      <w:r>
        <w:rPr>
          <w:rFonts w:ascii="Arial" w:cs="Arial" w:eastAsia="Arial" w:hAnsi="Arial"/>
          <w:sz w:val="18"/>
          <w:szCs w:val="18"/>
          <w:color w:val="auto"/>
        </w:rPr>
        <w:t>”) in a building located at 7000 Shoreline Court, South San Francisco, California. The Premises are more particularly described in the Lease. Capitalized terms used herein without definition shall have the meanings defined for such terms in the Lease.</w:t>
      </w:r>
    </w:p>
    <w:p>
      <w:pPr>
        <w:spacing w:after="0" w:line="212" w:lineRule="exact"/>
        <w:rPr>
          <w:rFonts w:ascii="Arial" w:cs="Arial" w:eastAsia="Arial" w:hAnsi="Arial"/>
          <w:sz w:val="18"/>
          <w:szCs w:val="18"/>
          <w:b w:val="1"/>
          <w:bCs w:val="1"/>
          <w:color w:val="auto"/>
        </w:rPr>
      </w:pPr>
    </w:p>
    <w:p>
      <w:pPr>
        <w:ind w:firstLine="656"/>
        <w:spacing w:after="0" w:line="262" w:lineRule="auto"/>
        <w:tabs>
          <w:tab w:leader="none" w:pos="1089"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amend the Lease to, among other things, provide for the location of certain exterior building signage.</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contained herein, and for other good and valuable consideration, the receipt and sufficiency of which are hereby acknowledged, Landlord and Tenant hereby agree as follows:</w:t>
      </w:r>
    </w:p>
    <w:p>
      <w:pPr>
        <w:spacing w:after="0" w:line="168" w:lineRule="exact"/>
        <w:rPr>
          <w:sz w:val="20"/>
          <w:szCs w:val="20"/>
          <w:color w:val="auto"/>
        </w:rPr>
      </w:pPr>
    </w:p>
    <w:p>
      <w:pPr>
        <w:ind w:left="660" w:hanging="652"/>
        <w:spacing w:after="0" w:line="287"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Exterior Building Signage</w:t>
      </w:r>
      <w:r>
        <w:rPr>
          <w:rFonts w:ascii="Arial" w:cs="Arial" w:eastAsia="Arial" w:hAnsi="Arial"/>
          <w:sz w:val="18"/>
          <w:szCs w:val="18"/>
          <w:color w:val="auto"/>
        </w:rPr>
        <w:t>. The first sentence of Section 11 of the Second Amendment is hereby deleted in its entirety and replaced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w:t>
      </w:r>
    </w:p>
    <w:p>
      <w:pPr>
        <w:spacing w:after="0" w:line="175"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“So long as Tenant leases at least 48,000 rentable square feet in the Building, Tenant shall have the right to display, at Tenant’s sole cost and expense, Tenant’s name and logo on the east wing of the Building in the location shown on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hereto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w:t>
      </w:r>
      <w:r>
        <w:rPr>
          <w:rFonts w:ascii="Arial" w:cs="Arial" w:eastAsia="Arial" w:hAnsi="Arial"/>
          <w:sz w:val="18"/>
          <w:szCs w:val="18"/>
          <w:b w:val="1"/>
          <w:bCs w:val="1"/>
          <w:color w:val="auto"/>
        </w:rPr>
        <w:t>Sign</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D </w:t>
      </w:r>
      <w:r>
        <w:rPr>
          <w:rFonts w:ascii="Arial" w:cs="Arial" w:eastAsia="Arial" w:hAnsi="Arial"/>
          <w:sz w:val="18"/>
          <w:szCs w:val="18"/>
          <w:color w:val="auto"/>
        </w:rPr>
        <w:t>attached to the Second Amendment is hereby deleted in its entirety and replaced with</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attached to this Seventh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Notwithstanding anything to the contrary in the Lease (including, without limitation, Section 12 of the Sixth Amendment), other than the Building Sign, Tenant shall not be entitled to any exterior building signage.</w:t>
      </w:r>
    </w:p>
    <w:p>
      <w:pPr>
        <w:spacing w:after="0" w:line="168" w:lineRule="exact"/>
        <w:rPr>
          <w:rFonts w:ascii="Arial" w:cs="Arial" w:eastAsia="Arial" w:hAnsi="Arial"/>
          <w:sz w:val="18"/>
          <w:szCs w:val="18"/>
          <w:b w:val="1"/>
          <w:bCs w:val="1"/>
          <w:color w:val="auto"/>
        </w:rPr>
      </w:pPr>
    </w:p>
    <w:p>
      <w:pPr>
        <w:jc w:val="both"/>
        <w:ind w:left="660" w:hanging="652"/>
        <w:spacing w:after="0" w:line="259"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Seventh Amendment. Landlord and Tenant each hereby agrees to indemnify and hold the other harmless from and against any claims by any Broker, other than the brokers named in this Seventh Amendment, claiming a commission or other form of compensation by virtue of having dealt with Tenant or Landlord, as applicable, with regard to this leasing transaction.</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Seventh Amendment is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and contemporaneous oral and written agreements and discussions. This Seventh Amendment may be amended only by an agreement in writing, signed by the parties hereto.</w:t>
      </w:r>
    </w:p>
    <w:p>
      <w:pPr>
        <w:sectPr>
          <w:pgSz w:w="11900" w:h="16838" w:orient="portrait"/>
          <w:cols w:equalWidth="0" w:num="1">
            <w:col w:w="11420"/>
          </w:cols>
          <w:pgMar w:left="240" w:top="139"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 w:hanging="4"/>
        <w:spacing w:after="0" w:line="262" w:lineRule="auto"/>
        <w:tabs>
          <w:tab w:leader="none" w:pos="42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This Seventh Amendment is binding upon and shall inure to the benefit of the parties hereto, their respective successors and assigns.</w:t>
      </w:r>
    </w:p>
    <w:p>
      <w:pPr>
        <w:spacing w:after="0" w:line="196" w:lineRule="exact"/>
        <w:rPr>
          <w:rFonts w:ascii="Arial" w:cs="Arial" w:eastAsia="Arial" w:hAnsi="Arial"/>
          <w:sz w:val="18"/>
          <w:szCs w:val="18"/>
          <w:b w:val="1"/>
          <w:bCs w:val="1"/>
          <w:color w:val="auto"/>
        </w:rPr>
      </w:pPr>
    </w:p>
    <w:p>
      <w:pPr>
        <w:jc w:val="both"/>
        <w:ind w:left="4" w:hanging="4"/>
        <w:spacing w:after="0" w:line="253" w:lineRule="auto"/>
        <w:tabs>
          <w:tab w:leader="none" w:pos="374"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This Seventh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Seventh Amendment attached thereto.</w:t>
      </w:r>
    </w:p>
    <w:p>
      <w:pPr>
        <w:spacing w:after="0" w:line="205" w:lineRule="exact"/>
        <w:rPr>
          <w:rFonts w:ascii="Arial" w:cs="Arial" w:eastAsia="Arial" w:hAnsi="Arial"/>
          <w:sz w:val="18"/>
          <w:szCs w:val="18"/>
          <w:b w:val="1"/>
          <w:bCs w:val="1"/>
          <w:color w:val="auto"/>
        </w:rPr>
      </w:pPr>
    </w:p>
    <w:p>
      <w:pPr>
        <w:jc w:val="both"/>
        <w:ind w:left="4" w:hanging="4"/>
        <w:spacing w:after="0" w:line="253" w:lineRule="auto"/>
        <w:tabs>
          <w:tab w:leader="none" w:pos="344"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Seventh Amendment, the Lease is hereby ratified and confirmed and all other terms of the Lease shall remain in full force and effect, unaltered and unchanged by this Seventh Amendment. In the event of any conflict between the provisions of this Seventh Amendment and the provisions of the Lease, the provisions of this Seventh Amendment shall prevail. Whether or not specifically amended by this Seventh Amendment, all of the terms and provisions of the Lease are hereby amended to the extent necessary to give effect to the purpose and intent of this Seventh Amendment.</w:t>
      </w:r>
    </w:p>
    <w:p>
      <w:pPr>
        <w:spacing w:after="0" w:line="184" w:lineRule="exact"/>
        <w:rPr>
          <w:sz w:val="20"/>
          <w:szCs w:val="20"/>
          <w:color w:val="auto"/>
        </w:rPr>
      </w:pPr>
    </w:p>
    <w:p>
      <w:pPr>
        <w:ind w:left="3624"/>
        <w:spacing w:after="0"/>
        <w:rPr>
          <w:sz w:val="20"/>
          <w:szCs w:val="20"/>
          <w:color w:val="auto"/>
        </w:rPr>
      </w:pPr>
      <w:r>
        <w:rPr>
          <w:rFonts w:ascii="Arial" w:cs="Arial" w:eastAsia="Arial" w:hAnsi="Arial"/>
          <w:sz w:val="18"/>
          <w:szCs w:val="18"/>
          <w:b w:val="1"/>
          <w:bCs w:val="1"/>
          <w:color w:val="auto"/>
        </w:rPr>
        <w:t>[Signatures are on the next page]</w:t>
      </w:r>
    </w:p>
    <w:p>
      <w:pPr>
        <w:sectPr>
          <w:pgSz w:w="11900" w:h="16838" w:orient="portrait"/>
          <w:cols w:equalWidth="0" w:num="1">
            <w:col w:w="10764"/>
          </w:cols>
          <w:pgMar w:left="896" w:top="139"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Seventh Amendment as of the day and year first above written.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LANDLORD:</w:t>
      </w:r>
      <w:r>
        <w:rPr>
          <w:sz w:val="20"/>
          <w:szCs w:val="20"/>
          <w:color w:val="auto"/>
        </w:rPr>
        <w:tab/>
      </w:r>
      <w:r>
        <w:rPr>
          <w:rFonts w:ascii="Arial" w:cs="Arial" w:eastAsia="Arial" w:hAnsi="Arial"/>
          <w:sz w:val="17"/>
          <w:szCs w:val="17"/>
          <w:b w:val="1"/>
          <w:bCs w:val="1"/>
          <w:color w:val="auto"/>
        </w:rPr>
        <w:t>ARE-SAN FRANCISCO NO. 17 LLC,</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32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8"/>
                <w:szCs w:val="18"/>
                <w:color w:val="auto"/>
              </w:rPr>
            </w:pPr>
          </w:p>
        </w:tc>
        <w:tc>
          <w:tcPr>
            <w:tcW w:w="6580" w:type="dxa"/>
            <w:vAlign w:val="bottom"/>
            <w:gridSpan w:val="7"/>
          </w:tcPr>
          <w:p>
            <w:pPr>
              <w:ind w:left="220"/>
              <w:spacing w:after="0"/>
              <w:rPr>
                <w:sz w:val="20"/>
                <w:szCs w:val="20"/>
                <w:color w:val="auto"/>
              </w:rPr>
            </w:pPr>
            <w:r>
              <w:rPr>
                <w:rFonts w:ascii="Arial" w:cs="Arial" w:eastAsia="Arial" w:hAnsi="Arial"/>
                <w:sz w:val="18"/>
                <w:szCs w:val="18"/>
                <w:color w:val="auto"/>
                <w:w w:val="98"/>
              </w:rPr>
              <w:t>ALEXANDRIA REAL ESTATE EQUITITES, L.P., a Delaware limited partnership,</w:t>
            </w:r>
          </w:p>
        </w:tc>
      </w:tr>
      <w:tr>
        <w:trPr>
          <w:trHeight w:val="217"/>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gridSpan w:val="7"/>
          </w:tcPr>
          <w:p>
            <w:pPr>
              <w:ind w:left="220"/>
              <w:spacing w:after="0"/>
              <w:rPr>
                <w:sz w:val="20"/>
                <w:szCs w:val="20"/>
                <w:color w:val="auto"/>
              </w:rPr>
            </w:pPr>
            <w:r>
              <w:rPr>
                <w:rFonts w:ascii="Arial" w:cs="Arial" w:eastAsia="Arial" w:hAnsi="Arial"/>
                <w:sz w:val="18"/>
                <w:szCs w:val="18"/>
                <w:color w:val="auto"/>
              </w:rPr>
              <w:t>managing member</w:t>
            </w:r>
          </w:p>
        </w:tc>
      </w:tr>
      <w:tr>
        <w:trPr>
          <w:trHeight w:val="432"/>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7"/>
          </w:tcPr>
          <w:p>
            <w:pPr>
              <w:ind w:left="200"/>
              <w:spacing w:after="0"/>
              <w:rPr>
                <w:sz w:val="20"/>
                <w:szCs w:val="20"/>
                <w:color w:val="auto"/>
              </w:rPr>
            </w:pPr>
            <w:r>
              <w:rPr>
                <w:rFonts w:ascii="Arial" w:cs="Arial" w:eastAsia="Arial" w:hAnsi="Arial"/>
                <w:sz w:val="18"/>
                <w:szCs w:val="18"/>
                <w:color w:val="auto"/>
              </w:rPr>
              <w:t>By:  ARE-QRS CORP., a Maryland corporation, general partner</w:t>
            </w:r>
          </w:p>
        </w:tc>
      </w:tr>
      <w:tr>
        <w:trPr>
          <w:trHeight w:val="608"/>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7"/>
          </w:tcPr>
          <w:p>
            <w:pPr>
              <w:ind w:left="600"/>
              <w:spacing w:after="0"/>
              <w:rPr>
                <w:sz w:val="20"/>
                <w:szCs w:val="20"/>
                <w:color w:val="auto"/>
              </w:rPr>
            </w:pPr>
            <w:r>
              <w:rPr>
                <w:rFonts w:ascii="Arial" w:cs="Arial" w:eastAsia="Arial" w:hAnsi="Arial"/>
                <w:sz w:val="18"/>
                <w:szCs w:val="18"/>
                <w:color w:val="auto"/>
              </w:rPr>
              <w:t>By:  /s/ Eric S. Johnson</w:t>
            </w:r>
          </w:p>
        </w:tc>
      </w:tr>
      <w:tr>
        <w:trPr>
          <w:trHeight w:val="196"/>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ind w:left="600"/>
              <w:spacing w:after="0" w:line="196" w:lineRule="exact"/>
              <w:rPr>
                <w:sz w:val="20"/>
                <w:szCs w:val="20"/>
                <w:color w:val="auto"/>
              </w:rPr>
            </w:pPr>
            <w:r>
              <w:rPr>
                <w:rFonts w:ascii="Arial" w:cs="Arial" w:eastAsia="Arial" w:hAnsi="Arial"/>
                <w:sz w:val="18"/>
                <w:szCs w:val="18"/>
                <w:color w:val="auto"/>
              </w:rPr>
              <w:t>Its:</w:t>
            </w:r>
          </w:p>
        </w:tc>
        <w:tc>
          <w:tcPr>
            <w:tcW w:w="140" w:type="dxa"/>
            <w:vAlign w:val="bottom"/>
            <w:tcBorders>
              <w:top w:val="single" w:sz="8" w:color="auto"/>
            </w:tcBorders>
            <w:gridSpan w:val="2"/>
          </w:tcPr>
          <w:p>
            <w:pPr>
              <w:spacing w:after="0"/>
              <w:rPr>
                <w:sz w:val="17"/>
                <w:szCs w:val="17"/>
                <w:color w:val="auto"/>
              </w:rPr>
            </w:pPr>
          </w:p>
        </w:tc>
        <w:tc>
          <w:tcPr>
            <w:tcW w:w="13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Eric S. Johnson</w:t>
            </w:r>
          </w:p>
        </w:tc>
        <w:tc>
          <w:tcPr>
            <w:tcW w:w="402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236"/>
        </w:trPr>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Senior Vice President</w:t>
            </w:r>
          </w:p>
        </w:tc>
      </w:tr>
      <w:tr>
        <w:trPr>
          <w:trHeight w:val="217"/>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RE Legal Affairs</w:t>
            </w:r>
          </w:p>
        </w:tc>
      </w:tr>
      <w:tr>
        <w:trPr>
          <w:trHeight w:val="431"/>
        </w:trPr>
        <w:tc>
          <w:tcPr>
            <w:tcW w:w="3660" w:type="dxa"/>
            <w:vAlign w:val="bottom"/>
          </w:tcPr>
          <w:p>
            <w:pPr>
              <w:spacing w:after="0"/>
              <w:rPr>
                <w:sz w:val="20"/>
                <w:szCs w:val="20"/>
                <w:color w:val="auto"/>
              </w:rPr>
            </w:pPr>
            <w:r>
              <w:rPr>
                <w:rFonts w:ascii="Arial" w:cs="Arial" w:eastAsia="Arial" w:hAnsi="Arial"/>
                <w:sz w:val="18"/>
                <w:szCs w:val="18"/>
                <w:b w:val="1"/>
                <w:bCs w:val="1"/>
                <w:color w:val="auto"/>
              </w:rPr>
              <w:t>TENANT:  FLUIDIGM CORPORATION,</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7"/>
        </w:trPr>
        <w:tc>
          <w:tcPr>
            <w:tcW w:w="3660" w:type="dxa"/>
            <w:vAlign w:val="bottom"/>
          </w:tcPr>
          <w:p>
            <w:pPr>
              <w:ind w:left="1300"/>
              <w:spacing w:after="0"/>
              <w:rPr>
                <w:sz w:val="20"/>
                <w:szCs w:val="20"/>
                <w:color w:val="auto"/>
              </w:rPr>
            </w:pPr>
            <w:r>
              <w:rPr>
                <w:rFonts w:ascii="Arial" w:cs="Arial" w:eastAsia="Arial" w:hAnsi="Arial"/>
                <w:sz w:val="18"/>
                <w:szCs w:val="18"/>
                <w:color w:val="auto"/>
              </w:rPr>
              <w:t>a Delaware corporation</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608"/>
        </w:trPr>
        <w:tc>
          <w:tcPr>
            <w:tcW w:w="3660" w:type="dxa"/>
            <w:vAlign w:val="bottom"/>
          </w:tcPr>
          <w:p>
            <w:pPr>
              <w:ind w:left="32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/s/ Vikram Jog</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196"/>
        </w:trPr>
        <w:tc>
          <w:tcPr>
            <w:tcW w:w="3660" w:type="dxa"/>
            <w:vAlign w:val="bottom"/>
          </w:tcPr>
          <w:p>
            <w:pPr>
              <w:ind w:left="3240"/>
              <w:spacing w:after="0" w:line="196" w:lineRule="exact"/>
              <w:rPr>
                <w:sz w:val="20"/>
                <w:szCs w:val="20"/>
                <w:color w:val="auto"/>
              </w:rPr>
            </w:pPr>
            <w:r>
              <w:rPr>
                <w:rFonts w:ascii="Arial" w:cs="Arial" w:eastAsia="Arial" w:hAnsi="Arial"/>
                <w:sz w:val="18"/>
                <w:szCs w:val="18"/>
                <w:color w:val="auto"/>
              </w:rPr>
              <w:t>Its:</w:t>
            </w:r>
          </w:p>
        </w:tc>
        <w:tc>
          <w:tcPr>
            <w:tcW w:w="17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9"/>
              </w:rPr>
              <w:t>Chief Financial Officer</w:t>
            </w:r>
          </w:p>
        </w:tc>
        <w:tc>
          <w:tcPr>
            <w:tcW w:w="4820" w:type="dxa"/>
            <w:vAlign w:val="bottom"/>
            <w:gridSpan w:val="3"/>
          </w:tcPr>
          <w:p>
            <w:pPr>
              <w:spacing w:after="0"/>
              <w:rPr>
                <w:sz w:val="17"/>
                <w:szCs w:val="17"/>
                <w:color w:val="auto"/>
              </w:rPr>
            </w:pPr>
          </w:p>
        </w:tc>
      </w:tr>
    </w:tbl>
    <w:p>
      <w:pPr>
        <w:sectPr>
          <w:pgSz w:w="11900" w:h="16838" w:orient="portrait"/>
          <w:cols w:equalWidth="0" w:num="1">
            <w:col w:w="11420"/>
          </w:cols>
          <w:pgMar w:left="240" w:top="13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A</w:t>
      </w:r>
    </w:p>
    <w:p>
      <w:pPr>
        <w:spacing w:after="0" w:line="3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LOCATION OF BUILDING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425450</wp:posOffset>
            </wp:positionV>
            <wp:extent cx="5351145" cy="3387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1145" cy="3387725"/>
                    </a:xfrm>
                    <a:prstGeom prst="rect">
                      <a:avLst/>
                    </a:prstGeom>
                    <a:noFill/>
                  </pic:spPr>
                </pic:pic>
              </a:graphicData>
            </a:graphic>
          </wp:anchor>
        </w:drawing>
      </w:r>
    </w:p>
    <w:p>
      <w:pPr>
        <w:sectPr>
          <w:pgSz w:w="11900" w:h="16838" w:orient="portrait"/>
          <w:cols w:equalWidth="0" w:num="1">
            <w:col w:w="10220"/>
          </w:cols>
          <w:pgMar w:left="1440" w:top="13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May 9, 2017</w:t>
      </w:r>
    </w:p>
    <w:p>
      <w:pPr>
        <w:spacing w:after="0" w:line="6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720" w:val="left"/>
          <w:tab w:leader="none" w:pos="6280" w:val="left"/>
        </w:tabs>
        <w:rPr>
          <w:sz w:val="20"/>
          <w:szCs w:val="20"/>
          <w:color w:val="auto"/>
        </w:rPr>
      </w:pPr>
      <w:r>
        <w:rPr>
          <w:rFonts w:ascii="Arial" w:cs="Arial" w:eastAsia="Arial" w:hAnsi="Arial"/>
          <w:sz w:val="18"/>
          <w:szCs w:val="18"/>
          <w:color w:val="auto"/>
        </w:rPr>
        <w:t>Dated: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980" w:firstLine="886"/>
        <w:spacing w:after="0" w:line="277" w:lineRule="auto"/>
        <w:tabs>
          <w:tab w:leader="none" w:pos="10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p>
      <w:pPr>
        <w:spacing w:after="0" w:line="63"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May 9, 2017</w:t>
      </w:r>
    </w:p>
    <w:p>
      <w:pPr>
        <w:sectPr>
          <w:pgSz w:w="11900" w:h="16838" w:orient="portrait"/>
          <w:cols w:equalWidth="0" w:num="2">
            <w:col w:w="5800" w:space="340"/>
            <w:col w:w="5280"/>
          </w:cols>
          <w:pgMar w:left="240" w:top="580"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640" w:type="dxa"/>
            <w:vAlign w:val="bottom"/>
          </w:tcPr>
          <w:p>
            <w:pPr>
              <w:ind w:left="240"/>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Vikram Jog</w:t>
            </w:r>
          </w:p>
        </w:tc>
      </w:tr>
      <w:tr>
        <w:trPr>
          <w:trHeight w:val="27"/>
        </w:trPr>
        <w:tc>
          <w:tcPr>
            <w:tcW w:w="6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Vikram Jog</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tcPr>
          <w:p>
            <w:pPr>
              <w:ind w:left="80"/>
              <w:spacing w:after="0"/>
              <w:rPr>
                <w:sz w:val="20"/>
                <w:szCs w:val="20"/>
                <w:color w:val="auto"/>
              </w:rPr>
            </w:pPr>
            <w:r>
              <w:rPr>
                <w:rFonts w:ascii="Arial" w:cs="Arial" w:eastAsia="Arial" w:hAnsi="Arial"/>
                <w:sz w:val="18"/>
                <w:szCs w:val="18"/>
                <w:color w:val="auto"/>
              </w:rPr>
              <w:t>May 9, 2017</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5"/>
    </w:lvl>
  </w:abstractNum>
  <w:abstractNum w:abstractNumId="4">
    <w:nsid w:val="25E45D32"/>
    <w:multiLevelType w:val="hybridMultilevel"/>
    <w:lvl w:ilvl="0">
      <w:lvlJc w:val="left"/>
      <w:lvlText w:val="%1."/>
      <w:numFmt w:val="decimal"/>
      <w:start w:val="7"/>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upp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2019-12-29T05:59:11Z</dcterms:created>
  <dcterms:modified xsi:type="dcterms:W3CDTF">2019-12-29T05:59:11Z</dcterms:modified>
</cp:coreProperties>
</file>