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right="880" w:hanging="325"/>
        <w:spacing w:after="0" w:line="256"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1260" w:hanging="425"/>
        <w:spacing w:after="0" w:line="256"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7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6800" w:space="720"/>
            <w:col w:w="386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182245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060" w:space="720"/>
            <w:col w:w="4660" w:space="720"/>
            <w:col w:w="2220" w:space="720"/>
            <w:col w:w="280"/>
          </w:cols>
          <w:pgMar w:left="240" w:top="233"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060" w:space="720"/>
            <w:col w:w="160" w:space="80"/>
            <w:col w:w="4420" w:space="720"/>
            <w:col w:w="2220" w:space="720"/>
            <w:col w:w="280"/>
          </w:cols>
          <w:pgMar w:left="240" w:top="233" w:right="279" w:bottom="1440" w:gutter="0" w:footer="0" w:header="0"/>
          <w:type w:val="continuous"/>
        </w:sectPr>
      </w:pPr>
    </w:p>
    <w:p>
      <w:pPr>
        <w:ind w:right="212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30, 2016, there were 28,897,109 shares of the Registrant’s common stock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1"/>
          </w:tcPr>
          <w:p>
            <w:pPr>
              <w:jc w:val="center"/>
              <w:ind w:right="31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6"/>
          </w:tcPr>
          <w:p>
            <w:pPr>
              <w:spacing w:after="0"/>
              <w:rPr>
                <w:sz w:val="20"/>
                <w:szCs w:val="20"/>
                <w:color w:val="auto"/>
              </w:rPr>
            </w:pPr>
            <w:r>
              <w:rPr>
                <w:rFonts w:ascii="Arial" w:cs="Arial" w:eastAsia="Arial" w:hAnsi="Arial"/>
                <w:sz w:val="18"/>
                <w:szCs w:val="18"/>
                <w:color w:val="0000FF"/>
                <w:w w:val="89"/>
              </w:rPr>
              <w:t>Financial Statements (Unaudited)</w:t>
            </w:r>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6"/>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6000" w:type="dxa"/>
            <w:vAlign w:val="bottom"/>
            <w:gridSpan w:val="13"/>
          </w:tcPr>
          <w:p>
            <w:pPr>
              <w:spacing w:after="0"/>
              <w:rPr>
                <w:sz w:val="20"/>
                <w:szCs w:val="20"/>
                <w:color w:val="auto"/>
              </w:rPr>
            </w:pPr>
            <w:r>
              <w:rPr>
                <w:rFonts w:ascii="Arial" w:cs="Arial" w:eastAsia="Arial" w:hAnsi="Arial"/>
                <w:sz w:val="18"/>
                <w:szCs w:val="18"/>
                <w:color w:val="0000FF"/>
                <w:w w:val="88"/>
              </w:rPr>
              <w:t>Condensed Consolidated Balance Sheets - March 31, 2016 and December 31, 2015</w:t>
            </w:r>
          </w:p>
        </w:tc>
        <w:tc>
          <w:tcPr>
            <w:tcW w:w="258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8"/>
          </w:tcPr>
          <w:p>
            <w:pPr>
              <w:spacing w:after="0"/>
              <w:rPr>
                <w:sz w:val="20"/>
                <w:szCs w:val="20"/>
                <w:color w:val="auto"/>
              </w:rPr>
            </w:pPr>
            <w:r>
              <w:rPr>
                <w:rFonts w:ascii="Arial" w:cs="Arial" w:eastAsia="Arial" w:hAnsi="Arial"/>
                <w:sz w:val="18"/>
                <w:szCs w:val="18"/>
                <w:color w:val="0000FF"/>
              </w:rPr>
              <w:t>Condensed Consolidated Statement of Operations for the three months ended March 31, 2016 and 2015</w:t>
            </w:r>
          </w:p>
        </w:tc>
        <w:tc>
          <w:tcPr>
            <w:tcW w:w="168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Comprehensive Loss for the three months ended March 31, 2016 and 2015</w:t>
            </w:r>
          </w:p>
        </w:tc>
        <w:tc>
          <w:tcPr>
            <w:tcW w:w="32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w w:val="97"/>
              </w:rPr>
              <w:t>Condensed Consolidated Statements of Cash Flows for the three months ended March 31, 2016 and 2015</w:t>
            </w:r>
          </w:p>
        </w:tc>
        <w:tc>
          <w:tcPr>
            <w:tcW w:w="32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3580" w:type="dxa"/>
            <w:vAlign w:val="bottom"/>
            <w:gridSpan w:val="7"/>
          </w:tcPr>
          <w:p>
            <w:pPr>
              <w:spacing w:after="0"/>
              <w:rPr>
                <w:sz w:val="24"/>
                <w:szCs w:val="24"/>
                <w:color w:val="auto"/>
              </w:rPr>
            </w:pPr>
          </w:p>
        </w:tc>
        <w:tc>
          <w:tcPr>
            <w:tcW w:w="100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422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1"/>
          </w:tcPr>
          <w:p>
            <w:pPr>
              <w:jc w:val="center"/>
              <w:ind w:right="3160"/>
              <w:spacing w:after="0"/>
              <w:rPr>
                <w:rFonts w:ascii="Arial" w:cs="Arial" w:eastAsia="Arial" w:hAnsi="Arial"/>
                <w:sz w:val="18"/>
                <w:szCs w:val="18"/>
                <w:color w:val="0000FF"/>
                <w:w w:val="96"/>
              </w:rPr>
            </w:pPr>
            <w:hyperlink w:anchor="page27">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Exhibits</w:t>
              </w:r>
            </w:hyperlink>
          </w:p>
        </w:tc>
        <w:tc>
          <w:tcPr>
            <w:tcW w:w="720" w:type="dxa"/>
            <w:vAlign w:val="bottom"/>
            <w:gridSpan w:val="2"/>
          </w:tcPr>
          <w:p>
            <w:pPr>
              <w:spacing w:after="0"/>
              <w:rPr>
                <w:sz w:val="24"/>
                <w:szCs w:val="24"/>
                <w:color w:val="auto"/>
              </w:rPr>
            </w:pP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110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SIGNATURES</w:t>
              </w:r>
            </w:hyperlink>
          </w:p>
        </w:tc>
        <w:tc>
          <w:tcPr>
            <w:tcW w:w="8380" w:type="dxa"/>
            <w:vAlign w:val="bottom"/>
            <w:gridSpan w:val="1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55">
              <w:r>
                <w:rPr>
                  <w:rFonts w:ascii="Arial" w:cs="Arial" w:eastAsia="Arial" w:hAnsi="Arial"/>
                  <w:sz w:val="18"/>
                  <w:szCs w:val="18"/>
                  <w:color w:val="0000FF"/>
                  <w:w w:val="93"/>
                </w:rPr>
                <w:t>EXHIBIT LIST</w:t>
              </w:r>
            </w:hyperlink>
          </w:p>
        </w:tc>
        <w:tc>
          <w:tcPr>
            <w:tcW w:w="8380" w:type="dxa"/>
            <w:vAlign w:val="bottom"/>
            <w:gridSpan w:val="1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r>
      <w:tr>
        <w:trPr>
          <w:trHeight w:val="20"/>
        </w:trPr>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5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7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(Note 2)</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52,365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65,855</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Accounts receivable (net of allowances of $294 at March 31, 2016 and $103 at December 31,</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25,457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19,570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17,924</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144,095</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15,370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15,258</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88,246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91,048</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354,435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370,050</w:t>
            </w:r>
          </w:p>
        </w:tc>
      </w:tr>
      <w:tr>
        <w:trPr>
          <w:trHeight w:val="67"/>
        </w:trPr>
        <w:tc>
          <w:tcPr>
            <w:tcW w:w="76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5,420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3,553</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9,419</w:t>
            </w:r>
          </w:p>
        </w:tc>
      </w:tr>
      <w:tr>
        <w:trPr>
          <w:trHeight w:val="27"/>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30,081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194,742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194,673</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4,398</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255,458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255,149</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March 31, 2016 and December 31, 2015</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1"/>
              </w:rPr>
              <w:t>Common stock, $0.001 par value, 200,000 shares authorized at March 31, 2016 and December 31,</w:t>
            </w: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3"/>
              </w:rPr>
              <w:t>2015; 28,896 and 28,844 shares issued and outstanding as of March 31, 2016 and December 31,</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2015, respectively</w:t>
            </w:r>
          </w:p>
        </w:tc>
        <w:tc>
          <w:tcPr>
            <w:tcW w:w="36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479,508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(363,492)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98,977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114,901</w:t>
            </w:r>
          </w:p>
        </w:tc>
      </w:tr>
      <w:tr>
        <w:trPr>
          <w:trHeight w:val="27"/>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370,050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25,370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23,994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License and grant revenue</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40,730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75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5"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(15,931)</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139</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(15,737)</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(19,884)</w:t>
            </w:r>
          </w:p>
        </w:tc>
        <w:tc>
          <w:tcPr>
            <w:tcW w:w="100" w:type="dxa"/>
            <w:vAlign w:val="bottom"/>
          </w:tcPr>
          <w:p>
            <w:pPr>
              <w:spacing w:after="0"/>
              <w:rPr>
                <w:sz w:val="21"/>
                <w:szCs w:val="21"/>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(15,931)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1,338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2,800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non-cash items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1,294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28,532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11,100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in Verinata</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21,204</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10,071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3,732</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33,713</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42,854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(IFCs), assays, and reagents. Our customers include those both in research and applied markets. Research customers are predominantly academic institutions, while our applied customers include clinical laboratories, biopharmaceutical, agricultural biotechnology (Ag-Bio) companies, and contract research organizations.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2015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months ended March 31, 2016 are not necessarily indicative of the results to be expected for the year ending December 31, 2016 or for any other interim period or for any other future year. All intercompany accounts and transactions have been eliminated upon consolidation.</w:t>
      </w:r>
    </w:p>
    <w:p>
      <w:pPr>
        <w:spacing w:after="0" w:line="12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4"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2015 included in our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17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Certain prior period amounts were reclassified to conform with the current period presentation under FASB Accounting Standards Update No. 2015-03 (ASU-2015-03), Interest - Imputation of Interest (Subtopic 835-30): Simplifying the Presentation of Debt Issuance Costs. As a result, we retroactively reclassified unamortized debt issuance costs of $1.0 million as of March 31, 2016 and December 31, 2015 from Other Non-Current Assets to a reduction of Convertible Notes, net on the condensed consolidated balance sheets. These reclassifications do not affect the condensed results of operations, retained earnings, or statement of cash flows in the current or previous interim reporting periods.</w:t>
      </w:r>
    </w:p>
    <w:p>
      <w:pPr>
        <w:spacing w:after="0" w:line="119"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Certain prior period amounts were reclassified to conform to the current period presentation of service revenue and cost of service revenue within our condensed consolidated statement of operations. These reclassifications do not affect total revenue, total costs and expenses, loss from operations, or net loss.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Prior period amounts of revenue by geography have been reclassified to conform to the current period presentation to include license and grant revenue within our condensed consolidated statement of operations.</w:t>
      </w:r>
    </w:p>
    <w:p>
      <w:pPr>
        <w:spacing w:after="0" w:line="116"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prior period amount of revenue by geography for revenue generated in Japan has been reclassified to conform to the current period presentation and included in revenue generated in Asia-Pacific. This reclassification does not affect total revenue, loss from operations, or net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they would have been anti-dilutive (in thousands):</w:t>
      </w:r>
    </w:p>
    <w:p>
      <w:pPr>
        <w:spacing w:after="0" w:line="365"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820" w:type="dxa"/>
            <w:vAlign w:val="bottom"/>
          </w:tcPr>
          <w:p>
            <w:pPr>
              <w:spacing w:after="0"/>
              <w:rPr>
                <w:sz w:val="16"/>
                <w:szCs w:val="16"/>
                <w:color w:val="auto"/>
              </w:rPr>
            </w:pPr>
          </w:p>
        </w:tc>
        <w:tc>
          <w:tcPr>
            <w:tcW w:w="1400" w:type="dxa"/>
            <w:vAlign w:val="bottom"/>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restricted stock awards</w:t>
            </w: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8"/>
              </w:rPr>
              <w:t>4,911</w:t>
            </w:r>
          </w:p>
        </w:tc>
        <w:tc>
          <w:tcPr>
            <w:tcW w:w="14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3,940</w:t>
            </w:r>
          </w:p>
        </w:tc>
      </w:tr>
      <w:tr>
        <w:trPr>
          <w:trHeight w:val="243"/>
        </w:trPr>
        <w:tc>
          <w:tcPr>
            <w:tcW w:w="918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3,598</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3,598</w:t>
            </w:r>
          </w:p>
        </w:tc>
      </w:tr>
      <w:tr>
        <w:trPr>
          <w:trHeight w:val="27"/>
        </w:trPr>
        <w:tc>
          <w:tcPr>
            <w:tcW w:w="83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8"/>
              </w:rPr>
              <w:t>8,509</w:t>
            </w:r>
          </w:p>
        </w:tc>
        <w:tc>
          <w:tcPr>
            <w:tcW w:w="1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7,538</w:t>
            </w:r>
          </w:p>
        </w:tc>
      </w:tr>
      <w:tr>
        <w:trPr>
          <w:trHeight w:val="20"/>
        </w:trPr>
        <w:tc>
          <w:tcPr>
            <w:tcW w:w="8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9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months ended March 31, 2016 are summarized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 Gain (Loss)</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520" w:type="dxa"/>
            <w:vAlign w:val="bottom"/>
          </w:tcPr>
          <w:p>
            <w:pPr>
              <w:jc w:val="right"/>
              <w:ind w:right="157"/>
              <w:spacing w:after="0"/>
              <w:rPr>
                <w:sz w:val="20"/>
                <w:szCs w:val="20"/>
                <w:color w:val="auto"/>
              </w:rPr>
            </w:pPr>
            <w:r>
              <w:rPr>
                <w:rFonts w:ascii="Arial" w:cs="Arial" w:eastAsia="Arial" w:hAnsi="Arial"/>
                <w:sz w:val="14"/>
                <w:szCs w:val="14"/>
                <w:b w:val="1"/>
                <w:bCs w:val="1"/>
                <w:color w:val="auto"/>
                <w:w w:val="97"/>
              </w:rPr>
              <w:t>Accumulated Other</w:t>
            </w:r>
          </w:p>
        </w:tc>
      </w:tr>
      <w:tr>
        <w:trPr>
          <w:trHeight w:val="192"/>
        </w:trPr>
        <w:tc>
          <w:tcPr>
            <w:tcW w:w="6060" w:type="dxa"/>
            <w:vAlign w:val="bottom"/>
          </w:tcPr>
          <w:p>
            <w:pPr>
              <w:spacing w:after="0"/>
              <w:rPr>
                <w:sz w:val="16"/>
                <w:szCs w:val="16"/>
                <w:color w:val="auto"/>
              </w:rPr>
            </w:pPr>
          </w:p>
        </w:tc>
        <w:tc>
          <w:tcPr>
            <w:tcW w:w="184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Marketable Securities</w:t>
            </w: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Translation Adjustment</w:t>
            </w:r>
          </w:p>
        </w:tc>
        <w:tc>
          <w:tcPr>
            <w:tcW w:w="180" w:type="dxa"/>
            <w:vAlign w:val="bottom"/>
          </w:tcPr>
          <w:p>
            <w:pPr>
              <w:spacing w:after="0"/>
              <w:rPr>
                <w:sz w:val="16"/>
                <w:szCs w:val="16"/>
                <w:color w:val="auto"/>
              </w:rPr>
            </w:pPr>
          </w:p>
        </w:tc>
        <w:tc>
          <w:tcPr>
            <w:tcW w:w="1520" w:type="dxa"/>
            <w:vAlign w:val="bottom"/>
          </w:tcPr>
          <w:p>
            <w:pPr>
              <w:jc w:val="right"/>
              <w:ind w:right="117"/>
              <w:spacing w:after="0"/>
              <w:rPr>
                <w:sz w:val="20"/>
                <w:szCs w:val="20"/>
                <w:color w:val="auto"/>
              </w:rPr>
            </w:pPr>
            <w:r>
              <w:rPr>
                <w:rFonts w:ascii="Arial" w:cs="Arial" w:eastAsia="Arial" w:hAnsi="Arial"/>
                <w:sz w:val="14"/>
                <w:szCs w:val="14"/>
                <w:b w:val="1"/>
                <w:bCs w:val="1"/>
                <w:color w:val="auto"/>
                <w:w w:val="91"/>
              </w:rPr>
              <w:t>Comprehensive Loss</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7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259</w:t>
            </w:r>
          </w:p>
        </w:tc>
      </w:tr>
      <w:tr>
        <w:trPr>
          <w:trHeight w:val="27"/>
        </w:trPr>
        <w:tc>
          <w:tcPr>
            <w:tcW w:w="6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7"/>
        </w:trPr>
        <w:tc>
          <w:tcPr>
            <w:tcW w:w="60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175"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In February 2013, Illumina, Inc. acquired Verinata Health, Inc. (Verinata), a privately-held company, for $350 million in cash and up to an additional $100 million in milestone payments through December 2015. In March 2013, we received cash proceeds of $3.1 million in exchange for our ownership interest in Verinata resulting in a gain of $1.8 million. During the third quarter of 2014, we received cash proceeds of $0.3 million from the escrow account related to the acquisition. We recorded these amounts as "Gain from sale of investment in Verinata" in the consolidated statements of operations for the year ended December 31, 2014. The final milestones related to the sale of Verinata to Illumina were met in December 2015 and, accordingly, we recorded our share of these milestone payment obligations in the amount of $2.3 million in Gain from sale of investment in Verinata in the consolidated statement of operations for the year ended December 31, 2015. In January 2016, we received the payment of $2.3 million and it was recorded in net cash provided by investing activities in the condensed consolidated 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components such as a settlement of a preexisting relationship. This judgment and determination affects the amount of consideration paid that is allocable to assets and liabilities acquired in the business purchase transaction (See Note 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9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206"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 the exception of those discussed below, there have not been any recent changes in accounting pronouncements and Accounting Standards Update (ASU) issued by the Financial Accounting Standards Board (FASB) during the three months ended March 31, 2016 that are of significance or potential significance to us.</w:t>
      </w:r>
    </w:p>
    <w:p>
      <w:pPr>
        <w:spacing w:after="0" w:line="2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May 2014, the FASB issued ASU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On July 7, 2015, the FASB amended ASU 2014-09 to defer the effective date by one year with early adoption permitted as of the original effective date. ASU 2014-09 will be effective for our fiscal year beginning January 1, 2018 unless we elect the earlier date of January 1, 2017.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16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(ASU 2015-11) which changes the measurement principle for inventory from the lower of cost or market to the lower of cost and net realizable value. ASU 2015-11 defines net realizable value as estimated selling prices in the ordinary course of business, less reasonably predictable costs of completion, disposal, and transportation. ASU 2015-11 will be effective for our fiscal year beginning January 1, 2017. We are currently evaluating the accounting and disclosure requirements of the standard and cannot currently estimate the financial statement impact of adoption. In November 2015, the FASB issued ASU 2015-17 (ASU 2015-17) ASC 740, Income Taxes, Balance Sheet Classification of Deferred Taxes. The amendments in this update require that in a classified statement of financial position, an entity shall classify deferred tax liabilities and assets as non-current, and an entity shall not offset deferred tax liabilities and assets attributable to different tax-paying components of the entity or to different tax jurisdictions. ASU 2015-17 will be effective for our fiscal year beginning January 1, 2017. We are currently evaluating the accounting and disclosure requirements of the standard and cannot currently estimate the financial statement impact of adoption.</w:t>
      </w:r>
    </w:p>
    <w:p>
      <w:pPr>
        <w:spacing w:after="0" w:line="3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November 2015, the FASB issued Accounting Standards Update 2015-17 ASC 740, Income Taxes, Balance Sheet Classification of Deferred Taxes, effective for annual periods beginning after December 15, 2016. The amendments in this update require that in a classified statement of financial position, an entity shall classify deferred tax liabilities and assets as non-current, and an entity shall not offset deferred tax liabilities and assets attributable to different tax-paying components of the entity or to different tax jurisdictions. We currently are evaluating the adoption of the provisions of ASU 2015-17 and cannot currently estimate the financial statement impact of adoption.</w:t>
      </w:r>
    </w:p>
    <w:p>
      <w:pPr>
        <w:spacing w:after="0" w:line="5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February 2016, the FASB issued ASU 2016-02 (ASU 2016-02) Leases, requiring lessees to recognize a right-of-use asset and a lease liability on the balance sheet for all leases with the exception of short-term leases. For lessees, leases will continue to be classified as either operating or finance leases in the income statement. Lessor accounting is similar to the current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model but updated to align with certain changes to the lessee model. Lessors will continue to classify leases as operating, direct financing or sales-type leases. ASU 2016-02 will be effective for our fiscal year beginning January 1, 2019 and early adoption is permitted.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6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In March 2016, the FASB issued ASU 2016-09 (ASU 2016-09) , which simplifies several aspects of the accounting for share-based payments, including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employee taxes paid when an employer withholds shares for tax-withholding purposes. ASU 2016-09 will be effective for our fiscal year beginning January 1, 2017. We are currently evaluating the accounting and disclosure requirements of the standard and cannot currently estimate the financial statement impact of adoption.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80"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In February 2014, we received $195.2 million, net of underwriting discounts, from the issuance of the Notes and incurred approximately $1.1 million in offering-related expenses. The underwriting discount of $6.0 million was recorded as an offset to the proceeds. The balance of unamortized debt discount and debt issuance costs of $6.5 million was included in convertible notes, net as of March 31, 2016 on the accompanying condensed consolidated balance sheet.</w:t>
      </w:r>
    </w:p>
    <w:p>
      <w:pPr>
        <w:spacing w:after="0" w:line="39"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In February 2014, we used $113.2 million of the net proceeds to fund the cash portion of the consideration payable by us in connection with our acquisition of DVS Sciences, Inc. (now Fluidigm Sciences Inc.) (See Note 4). Interest expense related to the Notes was approximately $1.5 million for the three months ended March 31, 2016 and 2015. Approximately $2.8 million of accrued interest under the Notes became due and was paid during the three months ended March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On February 13, 2014 (Acquisition Date), we acquired DVS primarily to broaden our addressable single-cell biology market opportunity and complement our existing product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measurement period for the acquisition ended on February 12, 2015. The aggregate purchase price was determined to be $199.9 million, as detailed in the table below (in thousands):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Issued 1,759,007 shares of Fluidigm common stock</w:t>
            </w:r>
            <w:r>
              <w:rPr>
                <w:rFonts w:ascii="Arial" w:cs="Arial" w:eastAsia="Arial" w:hAnsi="Arial"/>
                <w:sz w:val="12"/>
                <w:szCs w:val="12"/>
                <w:color w:val="auto"/>
              </w:rPr>
              <w:t>(2)</w:t>
            </w:r>
          </w:p>
        </w:tc>
        <w:tc>
          <w:tcPr>
            <w:tcW w:w="2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76,805</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12"/>
                <w:szCs w:val="12"/>
                <w:color w:val="auto"/>
              </w:rPr>
              <w:t>(1)</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12"/>
                <w:szCs w:val="12"/>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Aggregate purchase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00" w:hanging="328"/>
        <w:spacing w:after="0" w:line="28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condensed consolidated statements of operations.</w:t>
      </w: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conjunction with the acquisition, we assumed all outstanding DVS stock options and unvested shares of restricted stock and converted, as of the Acquisition Date, the unvested stock options outstanding under the DVS stock option plan</w:t>
      </w:r>
    </w:p>
    <w:p>
      <w:pPr>
        <w:ind w:left="660" w:right="200"/>
        <w:spacing w:after="0" w:line="292" w:lineRule="auto"/>
        <w:rPr>
          <w:rFonts w:ascii="Arial" w:cs="Arial" w:eastAsia="Arial" w:hAnsi="Arial"/>
          <w:sz w:val="18"/>
          <w:szCs w:val="18"/>
          <w:color w:val="auto"/>
        </w:rPr>
      </w:pPr>
      <w:r>
        <w:rPr>
          <w:rFonts w:ascii="Arial" w:cs="Arial" w:eastAsia="Arial" w:hAnsi="Arial"/>
          <w:sz w:val="16"/>
          <w:szCs w:val="16"/>
          <w:color w:val="auto"/>
        </w:rPr>
        <w:t>into unvested stock options to purchase approximately 143,000 shares of Fluidigm common stock and the unvested DVS restricted stock into approximately 186,000 shares of restricted Fluidigm common stock, retaining the original vesting schedules. The fair value of all converted share-based awards was $14.6 million, of which $4.0 million was attributed to the pre-combination service period and was included in the calculation of the purchase price. The remaining fair value will be recognized over the awards’ remaining vesting periods subsequent to the acquisition. The fair value of the Fluidigm equivalent share-based awards as of the Acquisition Date was estimated using the Black-Scholes valuation model.</w:t>
      </w:r>
    </w:p>
    <w:p>
      <w:pPr>
        <w:spacing w:after="0" w:line="5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Approximately 885,000 shares of Fluidigm common stock, with a fair value of $38.6 million, representing 50.3030% of the shares otherwise payable to the former stockholders of DVS, were deposited into escrow (Escrowed Shares). The Escrowed Shares comprised a portion of the merger consideration and were being held in escrow to secure indemnification obligations under the merger agreement. Under the terms of the merger agreement, fifty percent (50.0%) of the aggregate shares subject to the indemnification escrow were eligible for release on March 13, 2015 (Initial Release Date), and the balance of the shares were eligible for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(Stockholder Representative). Prior to the Initial Release Date, we submitted escrow claim notices under the terms of the merger agreement. On April 9, 2015, the Stockholder Representative provided notices objecting to our claims. In July 2015, we entered into a settlement agreement with the Stockholder Representative regarding the claims (Settlement Agreement). Pursuant to the terms of the Settlement Agreement, the parties agreed to release approximately 80% of the Escrowed Shares to the former stockholders of DVS, and the remaining approximately 20% of the Escrowed Shares, or 170,107 shares, to us, which were canceled and returned to the status of authorized and unissued shares. Additionally, the parties agreed to, among other things, release various claims and waive certain rights with respect to the merger agreement. On the settlement date, the 170,107 shares had a value of approximately $4.0 million, which was recorded as gain on escrow settlement during the quarter ended September 30, 2015.</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33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Allocation of purchase price</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104,108</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238,472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provides details of intangible assets acquired in connection with the DVS acquisition as of March 31, 2016 (in thousands, except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2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112,000</w:t>
            </w:r>
          </w:p>
        </w:tc>
        <w:tc>
          <w:tcPr>
            <w:tcW w:w="4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4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88,200</w:t>
            </w:r>
          </w:p>
        </w:tc>
        <w:tc>
          <w:tcPr>
            <w:tcW w:w="44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We recognized $2.8 million in intangible asset amortization expense during the three months ended March 31, 2016 and 2015. Intangible asset amortization expense is recorded in cost of product revenue.</w:t>
      </w:r>
    </w:p>
    <w:p>
      <w:pPr>
        <w:spacing w:after="0" w:line="251"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The $104.1 million of goodwill recognized as part of the transaction is attributable primarily to expected synergies and other benefits from the acquisition, including expansion of our addressable market from the single-cell genomics market to the larger single-cell biology market and the ability to leverage our larger global commercial sales organization and infrastructure to expand awareness of DVS's products and technology. Goodwill is not deductible for income tax purposes. There were no changes in goodwill between December 31, 2015 and March 31, 2016.</w:t>
      </w:r>
    </w:p>
    <w:p>
      <w:pPr>
        <w:spacing w:after="0" w:line="384" w:lineRule="exact"/>
        <w:rPr>
          <w:sz w:val="20"/>
          <w:szCs w:val="20"/>
          <w:color w:val="auto"/>
        </w:rPr>
      </w:pPr>
    </w:p>
    <w:p>
      <w:pPr>
        <w:ind w:right="9580" w:firstLine="8"/>
        <w:spacing w:after="0" w:line="440"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Details Inventories</w:t>
      </w:r>
    </w:p>
    <w:p>
      <w:pPr>
        <w:spacing w:after="0" w:line="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6"/>
                <w:szCs w:val="16"/>
                <w:color w:val="auto"/>
              </w:rPr>
            </w:pPr>
          </w:p>
        </w:tc>
        <w:tc>
          <w:tcPr>
            <w:tcW w:w="1620" w:type="dxa"/>
            <w:vAlign w:val="bottom"/>
          </w:tcPr>
          <w:p>
            <w:pPr>
              <w:jc w:val="right"/>
              <w:ind w:right="274"/>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6,829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2,442</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8,653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19,570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17,924</w:t>
            </w: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Property and Equipment, net</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392"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22,270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21,783</w:t>
            </w:r>
          </w:p>
        </w:tc>
      </w:tr>
      <w:tr>
        <w:trPr>
          <w:trHeight w:val="27"/>
        </w:trPr>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2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7"/>
        </w:trPr>
        <w:tc>
          <w:tcPr>
            <w:tcW w:w="6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34,290</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(19,618)</w:t>
            </w:r>
          </w:p>
        </w:tc>
      </w:tr>
      <w:tr>
        <w:trPr>
          <w:trHeight w:val="27"/>
        </w:trPr>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57"/>
        </w:trPr>
        <w:tc>
          <w:tcPr>
            <w:tcW w:w="68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15,258</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4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total intangible assets, which include developed technology, net as a result of the DVS acquisition and other intangible assets included in Other non-current assets, was $95.8 million as of March 31, 2016. The estimated future amortization expense of intangible assets as of March 31, 2016 is as follows (in thousands):</w:t>
      </w:r>
    </w:p>
    <w:p>
      <w:pPr>
        <w:spacing w:after="0" w:line="267"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(remainder of the year)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12,391</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12,234</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37,340</w:t>
            </w:r>
          </w:p>
        </w:tc>
      </w:tr>
      <w:tr>
        <w:trPr>
          <w:trHeight w:val="27"/>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95,830</w:t>
            </w:r>
          </w:p>
        </w:tc>
      </w:tr>
      <w:tr>
        <w:trPr>
          <w:trHeight w:val="20"/>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 basis for considering fair value, we follow a three-tier value hierarchy, which prioritizes the inputs used in measuring fair value as follows: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cash equivalents, which include money market funds, are classified as Level I because they are valued using quoted market prices. Our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40" w:type="dxa"/>
            <w:vAlign w:val="bottom"/>
          </w:tcPr>
          <w:p>
            <w:pPr>
              <w:spacing w:after="0"/>
              <w:rPr>
                <w:sz w:val="22"/>
                <w:szCs w:val="22"/>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20,900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11,228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56,840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72,348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72,348</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Total assets measured at fair</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8"/>
                <w:szCs w:val="18"/>
                <w:color w:val="auto"/>
              </w:rPr>
              <w:t>56,840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77,740</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11,228</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72,348</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83,576</w:t>
            </w:r>
          </w:p>
        </w:tc>
        <w:tc>
          <w:tcPr>
            <w:tcW w:w="0" w:type="dxa"/>
            <w:vAlign w:val="bottom"/>
          </w:tcPr>
          <w:p>
            <w:pPr>
              <w:spacing w:after="0"/>
              <w:rPr>
                <w:sz w:val="1"/>
                <w:szCs w:val="1"/>
                <w:color w:val="auto"/>
              </w:rPr>
            </w:pPr>
          </w:p>
        </w:tc>
      </w:tr>
      <w:tr>
        <w:trPr>
          <w:trHeight w:val="246"/>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were no transfers in and out of Level I and Level II fair value measurement categories during the three months ended March 31, 2016 and 2015, and there were no changes in the valuation techniques used.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investments at March 31, 2016 and December 31, 2015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4"/>
                <w:szCs w:val="14"/>
                <w:b w:val="1"/>
                <w:bCs w:val="1"/>
                <w:color w:val="auto"/>
              </w:rPr>
              <w:t>March 31, 2016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4"/>
              <w:spacing w:after="0" w:line="15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84"/>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52,356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jc w:val="right"/>
              <w:ind w:right="94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52,365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4"/>
                <w:szCs w:val="14"/>
                <w:b w:val="1"/>
                <w:bCs w:val="1"/>
                <w:color w:val="auto"/>
              </w:rPr>
              <w:t>December 31, 2015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4"/>
              <w:spacing w:after="0" w:line="15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72,420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4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72,348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contractual maturity dates of $4.4 million of the U.S. government and agency securities are within 90 days from March 31, 2016. The contractual maturity dates of $52.4 million of our investments are within one year from March 31, 2016.</w:t>
      </w:r>
    </w:p>
    <w:p>
      <w:pPr>
        <w:spacing w:after="0" w:line="35"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Based on an evaluation of securities that were in a loss position, we did not recognize any other-than-temporary impairment charges for the three months ended March 31, 2016 and 2015. None of these investments have been in a continuous loss position for more than 12 months. Our conclusion that these losses are not “other-than-temporary” is based on the high credit quality of the securities, their short remaining maturity periods, and our intent and ability to hold such securities until the date of recovery of their respective market values or maturity.</w:t>
      </w:r>
    </w:p>
    <w:p>
      <w:pPr>
        <w:spacing w:after="0" w:line="117"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The estimated fair value of the Notes is based on a market approach. The estimated fair value was approximately $112.7 million (par value $201.3 million) as of March 31, 2016 and represents a Level II valuation. When determining the estimated fair value of our long-term debt, we used a commonly accepted valuation methodology and market-based risk measurements that are indirectly observable, such as credit risk.</w:t>
      </w:r>
    </w:p>
    <w:p>
      <w:pPr>
        <w:spacing w:after="0" w:line="200" w:lineRule="exact"/>
        <w:rPr>
          <w:sz w:val="20"/>
          <w:szCs w:val="20"/>
          <w:color w:val="auto"/>
        </w:rPr>
      </w:pPr>
    </w:p>
    <w:p>
      <w:pPr>
        <w:spacing w:after="0" w:line="3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cash and cash equivalents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17,889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3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3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42,854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29,117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380" w:type="dxa"/>
            <w:vAlign w:val="bottom"/>
            <w:vMerge w:val="restart"/>
          </w:tcPr>
          <w:p>
            <w:pPr>
              <w:jc w:val="right"/>
              <w:ind w:right="173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3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2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entered into various long-term non-cancelable operating leases for equipment and facilities.</w:t>
      </w:r>
    </w:p>
    <w:p>
      <w:pPr>
        <w:spacing w:after="0" w:line="17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April 9, 2013, we entered into an amendment (the April 2013 Amendment) to the lease agreement dated September 14, 2010 (as amended, the Headquarters Lease) relating to the lease of office and laboratory space at our corporate headquarters located in South San Francisco, California. The April 2013 Amendment provided for an expansion of the premises covered under the Headquarters Lease, effective April 1, 2014; an extension of the term to April 30, 2020 with an option to renew for an additional five years; payment of base rent with rent escalation; and payment of certain operating expenses during the term of the Headquarters Lease. The April 2013 Amendment also provided for an allowance of approximately $0.7 million for tenant improvements, of which we used $0.5 million and the remaining $0.2 million was used to offset base rent obligations in the quarter ended September 30, 2015. An additional allowance of approximately $0.5 million for tenant improvements, which, if used, will be repaid in equal monthly payments with interest at a rate of 9% per annum over the remaining term of the Headquarters Lease. The total future minimum lease payments for the additional space, which will be paid through April 2020, are approximately $6.4 million as of March 31, 2016.</w:t>
      </w:r>
    </w:p>
    <w:p>
      <w:pPr>
        <w:spacing w:after="0" w:line="12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June 4, 2014, we entered into an additional amendment to the Headquarters Lease (the June 2014 Amendment), which provided for an expansion of the premises covered under the Headquarters Lease by approximately 13,000 square feet, effective October 1, 2014; payment of base rent with rent escalation; and payment of certain operating expenses during the term of the Headquarters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Headquarters Lease. The total future minimum lease payments for the additional space, which will be paid through April 2020, are approximately $1.9 million as of March 31, 2016.</w:t>
      </w:r>
    </w:p>
    <w:p>
      <w:pPr>
        <w:spacing w:after="0" w:line="13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Headquarters Lease (the September 2014 Amendment), which provided for an expansion of the premises covered under the Headquarters Lease by approximately 9,000 square feet, effective October 1, 2014; payment of base rent with rent escalation; and payment of certain operating expenses during the term of the Headquarters Lease. The September 2014 Amendment also provided for an allowance of approximately $0.2 million for tenant improvements. The total future minimum lease payments for the additional space, which will be paid through April 2020, are approximately $1.3 million as of March 31, 2016.</w:t>
      </w:r>
    </w:p>
    <w:p>
      <w:pPr>
        <w:spacing w:after="0" w:line="13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On December 8, 2015, we entered into an additional amendment to the Headquarters Lease (the December 2015 Amendment), which provides for an expansion of the premises covered under the Headquarters Lease by approximately 24,039 square feet, with a commencement date of April 1, 2016, payment of base rent with rent escalation, and an increase in our share of certain operating expenses during the term of the Headquarters Lease. The December 2015 Amendment also provided for an allowance of up to approximately $0.4 million for tenant improvements. The total future minimum lease payments for the additional space, which will be paid through April 2020, are approximately $3.8 million as of March 31, 2016.</w:t>
      </w:r>
    </w:p>
    <w:p>
      <w:pPr>
        <w:spacing w:after="0" w:line="11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On October 14, 2013, Fluidigm Singapore Pte. Ltd., our wholly-owned subsidiary (Fluidigm Singapore) accepted an offer of tenancy (the Singapore Lease) from HSBC Institutional Trust Services (Singapore) Limited, as trustee of Ascendas Real Estate Investment Trust (Landlord), relating to the lease of a new facility located in Singapore. Pursuant to the terms of the Singapore Lease, Fluidigm Singapore took possession of the facility on March 3, 2014 for a term of 99 months, and the Singapore Lease and rental obligations thereunder commenced on June 3, 2014. The Singapore Lease also provides Fluidigm Singapore with an option to renew for an additional 60 months at the then prevailing market rent, and on similar terms as the existing Singapore Lease. In June 2014, Fluidigm Singapore leased additional space of approximately 2,400 square feet in the same building as the new facility on the same terms as the Singapore Lease (the June 2014 Amendment). We completed the consolidation of our Singapore manufacturing operations in the new space in July 2014, and the site qualification was completed in August 2014. In April 2015, Fluidigm Singapore leased additional space of approximately 10,000 square feet in the same building on the same terms as the Singapore Lease (the April 2015 Amendment), and terminated the June 2014 Singapore Amendment as of June 30, 2015. The total future minimum lease payments for the facility, which will be paid through June 2022, are approximately $4.2 million as of March 31, 2016.</w:t>
      </w:r>
    </w:p>
    <w:p>
      <w:pPr>
        <w:spacing w:after="0" w:line="3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On August 18, 2015, we, Fluidigm Canada Inc., our wholly-owned subsidiary (Fluidigm Canada), and Rodick Equities, Inc. entered into a lease dated as of August 17, 2015 (the New Canada Lease), relating to the lease of approximately 41,145 square feet of office, laboratory, and warehouse space at a facility in Markham, Ontario, Canada. Pursuant to the terms of the New</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Canada Lease, Fluidigm Canada was in possession of the new space commencing on or about August 27, 2015, and rental obligations thereunder commenced on April 1, 2016 for a term of 10 years. The New Canada Lease provides for an allowance for tenant improvements, an option to renew the Lease for an additional five years, and a right of first offer on certain additional space in the Building.</w:t>
      </w:r>
    </w:p>
    <w:p>
      <w:pPr>
        <w:spacing w:after="0" w:line="12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connection with our acquisition of DVS, we acquired the operating leases for facilities in Sunnyvale, California and Markham, Ontario, Canada. (See Note 4 to our condensed consolidated financial statements for additional information). The Sunnyvale lease will terminate in July 2016. The Markham lease terminated on April 30, 2016. The total future minimum payments under the Sunnyvale and Markham leases were approximately $76,000 as of March 31, 2016.</w:t>
      </w:r>
    </w:p>
    <w:p>
      <w:pPr>
        <w:spacing w:after="0" w:line="13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March 2016, the Company and ARE-NC Region No. 5, LLC, a Delaware limited liability company, entered into a lease (the North Carolina Lease), relating to the lease of approximately 12,824 square feet of office, laboratory, and manufacturing space at a facility in Durham, North Carolina. Pursuant to the terms of the North Carolina Lease, we took possession of the facility commencing in March 2016, and rental obligations thereunder will commence in September 2016, for a term of 60 months from October 1, 2016. The North Carolina Lease provides for an allowance for tenant improvements, an option for an additional tenant improvement allowance with additional rent payments above the minimum lease payments, and two options to renew the Lease for an additional three years each. The total future minimum lease payments for the facility, which will be paid through September 30, 2021, are approximately $1.4 million as of March 31, 2016.</w:t>
      </w:r>
    </w:p>
    <w:p>
      <w:pPr>
        <w:spacing w:after="0" w:line="216"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months ended March 31, 2016 and 2015, which is included in other accrued liabilities, is summarized below (in thousands):</w:t>
      </w:r>
    </w:p>
    <w:p>
      <w:pPr>
        <w:spacing w:after="0" w:line="287"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14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8"/>
        </w:trPr>
        <w:tc>
          <w:tcPr>
            <w:tcW w:w="79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84"/>
        </w:trPr>
        <w:tc>
          <w:tcPr>
            <w:tcW w:w="7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Warranty accrual (charges), net</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4"/>
                <w:szCs w:val="24"/>
                <w:color w:val="auto"/>
              </w:rPr>
            </w:pPr>
          </w:p>
        </w:tc>
      </w:tr>
      <w:tr>
        <w:trPr>
          <w:trHeight w:val="25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We have not incurred material costs to defend lawsuits or settle claims related to these indemnification provisions. As of March 31, 2016, we had no accrued liabilities for these indemnification provisions.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We assess contingencies to determine the degree of probability and range of possible loss for potential accrual in our financial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statements. An estimated loss contingency is accrued in the financial statements if it is probable that a liability has been incurred and the amount of the loss can be reasonably estimated.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three months ended March 31, 2016 and 2015, we granted certain employees options to purchase 520,000 and 276,000 shares of common stock, respectively. The options granted during the three months ended March 31, 2016 had exercise prices ranging from $5.78 to $7.44 and a total grant date fair value of $3.7 million. The options granted during the three months ended March 31, 2015 had exercise prices ranging from $38.53 to $44.20 and a total grant date fair value of $5.5 million.</w:t>
      </w:r>
    </w:p>
    <w:p>
      <w:pPr>
        <w:spacing w:after="0" w:line="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three months ended March 31, 2016 and 2015, we granted certain employees 679,000 and 349,000 restricted stock units, respectively. The restricted stock units granted during the three months ended March 31, 2016 had fair market values ranging from $5.70 to $7.44 and a total grant date fair value of $4.8 million. The restricted stock units granted during the three months ended March 31, 2015 had fair markets values ranging from $37.45 to $44.20 and a total grant date fair value of $14.3 million.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171"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We recognized stock-based compensation expense of $3.7 million and $4.1 million during the three months ended March 31, 2016 and 2015, respectively. As of March 31, 2016, we had $10.7 million and $20.2 million of unrecognized stock-based compensation costs related to stock options and restricted stock units, respectively, which are expected to be recognized over a weighted average period of 2.3 years and 2.9 years, respectively.</w:t>
      </w:r>
    </w:p>
    <w:p>
      <w:pPr>
        <w:spacing w:after="0" w:line="9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In conjunction with the DVS acquisition, we assumed all outstanding DVS stock options and unvested shares of restricted stock (See Note 4). As of March 31, 2016, we had $0.2 million of unrecognized stock-based compensation costs related to the assumed stock options, which are expected to be recognized over a remaining weighted average period of 1.1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provision or benefit for income taxes for the periods presented differs from the 34% U.S. Federal statutory rate primarily due to maintaining a valuation allowance for U.S. losses and tax assets, which we do not consider to be realizable. We recorded a tax benefit of $0.8 million and $0.6 million for the three months ended March 31, 2016 and 2015, which was primarily attributable to the amortization of our acquisition-related deferred tax liability, partially offset by tax provision and provision for uncertain tax liabilities related to our foreign operations.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Information about Geographic Areas</w:t>
      </w:r>
    </w:p>
    <w:p>
      <w:pPr>
        <w:spacing w:after="0" w:line="175"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We operate in one reporting segment, which is the development, manufacturing, and commercialization of life science analytical and preparatory systems consisting of instruments and consumables for academic institutions, clinical laboratories, biopharmaceutical, Ag-Bio companies and contract research organizations in growth markets, such as single-cell biology and production genomics.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total revenue by geography of our customers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13,794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26,729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individual customer represented more than 10% of our revenues for the three months ended March 31, 2016 and 2015.</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China represents 11% or $3.3 million and 6% or $1.5 million for the three months ended March 31, 2016 and 2015, respectively.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440"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15"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“Fluidigm,” the Fluidigm logo, “Access Array,” “Biomark,” “C1,” “Callisto,” “CyTOF,” “Delta Gene,” “EP1,” “Helios,” “Juno,” “Polaris,” and “SNP Type,” are trademarks or registered trademarks of Fluidigm Corporation. Other service marks, trademarks, and trade names referred to in this Form 10-Q are the property of their respective owners.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Our customers include those both in research and applied markets. Research customers are predominantly academic institutions, while our applied customers include clinical laboratories, biopharmaceutical, agricultural biotechnology (Ag-Bio) companies, and contract research organizations (CRO's).</w:t>
      </w:r>
    </w:p>
    <w:p>
      <w:pPr>
        <w:spacing w:after="0" w:line="13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Single-cell analysis is a rapidly-growing field that we believe has the potential to revolutionize basic discovery in biology and lead to new and better ways to diagnose and treat disease. We pioneered a field that is now known as single-cell genomics and, through our acquisition of DVS Sciences, Inc. (now Fluidigm Sciences Inc.) in February 2014, we expanded into the field of single-cell proteomics. Our single-cell biology platform empowers our customers to analyze a large number of individual cells using simplified workflows with increased speed and accuracy at reduced costs. Our products also enable customers to apply the knowledge of biology in industrial or other applied settings that typically utilize low quantity and/or quality samples in high-throughput repeat testing applications.</w:t>
      </w:r>
    </w:p>
    <w:p>
      <w:pPr>
        <w:spacing w:after="0" w:line="139" w:lineRule="exact"/>
        <w:rPr>
          <w:sz w:val="20"/>
          <w:szCs w:val="20"/>
          <w:color w:val="auto"/>
        </w:rPr>
      </w:pPr>
    </w:p>
    <w:p>
      <w:pPr>
        <w:ind w:right="34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are manufactured at our facility in Canada. We also manufacture IFCs for research and development, assays, and reagents at our facilities in South San Francisco, California.</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total revenue was $114.7 million in 2015, and for the three months ended March 31, 2016, our total revenue was $29.0 million. We have incurred significant net losses since our inception in 1999 and, as of March 31, 2016, our accumulated deficit was $383.4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months ended March 31, 2016 compared to those disclosed in our Annual Report on Form 10-K for the year ended December 31, 2015, as filed with the SEC on February 29,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months ended March 31, 2016 and 2015, and as a percentage of total revenue for the respective periods ($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6"/>
                <w:szCs w:val="16"/>
                <w:color w:val="auto"/>
              </w:rPr>
            </w:pPr>
          </w:p>
        </w:tc>
      </w:tr>
      <w:tr>
        <w:trPr>
          <w:trHeight w:val="276"/>
        </w:trPr>
        <w:tc>
          <w:tcPr>
            <w:tcW w:w="6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26,729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10,412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r>
      <w:tr>
        <w:trPr>
          <w:trHeight w:val="237"/>
        </w:trPr>
        <w:tc>
          <w:tcPr>
            <w:tcW w:w="69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152</w:t>
            </w:r>
          </w:p>
        </w:tc>
      </w:tr>
      <w:tr>
        <w:trPr>
          <w:trHeight w:val="27"/>
        </w:trPr>
        <w:tc>
          <w:tcPr>
            <w:tcW w:w="6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37"/>
        </w:trPr>
        <w:tc>
          <w:tcPr>
            <w:tcW w:w="6900" w:type="dxa"/>
            <w:vAlign w:val="bottom"/>
          </w:tcPr>
          <w:p>
            <w:pPr>
              <w:ind w:left="38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(16,574)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(62)</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57"/>
        </w:trPr>
        <w:tc>
          <w:tcPr>
            <w:tcW w:w="69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(15,931)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generate revenue primarily from sales of our products and services, license agreements, and government grants. Our product revenue consists of sales of instruments and consumables, including IFCs, assays, and other reagents. Our service revenue consists of post-warranty service contracts, preventive maintenance plans, instrument parts, installation, and training. We have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entered into license agreements and have received government grants to conduct research and development activities.The following table presents our revenue by source for each period presented (in thousands):</w:t>
      </w:r>
    </w:p>
    <w:p>
      <w:pPr>
        <w:spacing w:after="0" w:line="306"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13,168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25,370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23,994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License and grant revenue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26,729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geography and as a percentage of total revenue, respectively, by geography of our customers for each period presented ($ in thousands):</w:t>
      </w:r>
    </w:p>
    <w:p>
      <w:pPr>
        <w:spacing w:after="0" w:line="320"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37465</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6"/>
                <w:szCs w:val="16"/>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13,174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13,794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29,003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26,729</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Total revenue from our five largest customers comprised 16% and 11% of our total revenue in the three months ended March 31,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China represented 11% or $3.3 million and 6% or $1.5 million for the three months ended March 31, 2016 and 2015,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2016 and March 31, 2015</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Total revenue increased by $2.3 million, or 9%, to $29.0 million for the three months ended March 31, 2016, compared to $26.7 million for the three months ended March 31,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Product revenue increased by $1.4 million, or 6%, to $25.4 million for the three months ended March 31, 2016, compared to $24.0 million for the three months ended March 31, 2015. Our Research customers consist predominantly of academic centers. Total product revenue from Research customers was $15.7 million, up approximately 3% or $0.5 million year-over-year, driven by higher instrument sales. Our Applied customers include clinical laboratories, Ag-Bio, biopharmaceutical, and contract research organizations. Total product revenue from Applied customers was $9.7 million, up approximately 10% or $0.8 million year-over-year, driven by higher consumables sales.</w:t>
      </w:r>
    </w:p>
    <w:p>
      <w:pPr>
        <w:spacing w:after="0" w:line="13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Instrument revenue increased by $0.6 million, or 5%, to $13.8 million. The change was primarily driven by an increase in unit sales of Helios systems, which have higher selling prices relative to our core genomics systems, compared to unit sales of Helios/CyTOF 2 systems in the corresponding period in 2015, contributions from other products launched in 2015, including Juno and Polaris, and increases in average selling prices, offset primarily by decreases in unit sales of core genomics preparatory systems, which include C1 and Access Array systems, and to a lesser extent, by decreases in unit sales of core genomics analytical systems, which include Biomark HD and EP1 systems.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Consumables revenue increased by $0.7 million, or 7%, to $11.6 million, primarily due to increases in unit sales of genomics analytical IFCs from production genomics applications, and increases in sales of proteomics consumables, partially offset by decreases in unit sales of genomics preparatory IFCs.</w:t>
      </w:r>
    </w:p>
    <w:p>
      <w:pPr>
        <w:spacing w:after="0" w:line="7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Annualized IFC pull-through for our genomics analytical systems was within our historical range of $25,000 to $35,000 per system per year. In the first quarter of 2016, annualized IFC pull-through for our genomics preparatory systems was below our historical range of $15,000 to $25,000 per system per year, and consumables pull-through for our proteomics analytical systems was slightly above our historical range of $50,000 to $70,000 per system. IFC pull-through is determined by dividing the applicable IFC revenue for a specific period by the number of genomics analytical or preparatory systems, as applicable, in our installed base at the beginning of the period. Similarly, consumables pull-through for proteomics analytical systems is determined by dividing the related consumables revenue for a specific period by the number of proteomics analytical systems in our installed base at the beginning of the period. The IFC and consumables pull-through amounts are annualized by multiplying the pull-through amounts by a ratio, the numerator of which equals 12 and the denominator of which equals the number of months in the specific period.</w:t>
      </w:r>
    </w:p>
    <w:p>
      <w:pPr>
        <w:spacing w:after="0" w:line="1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9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Service revenue increased by $0.9 million, or 34%, to $3.5 million for the three months ended March 31, 2016, compared to $2.7 million for the three months ended March 31, 2015, primarily due to increased sales of post-warranty service contracts. Service revenue for the three months ended March 31, 2015, which was previously reflected in instrument revenue, has been reclassified to conform to the current period presentation.</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revenue was $0.1 million during the three months ended March 31, 2016 and 2015, and was generated in the United States.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and service revenue and product and service margins for each period presented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16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March 31,</w:t>
            </w:r>
          </w:p>
        </w:tc>
        <w:tc>
          <w:tcPr>
            <w:tcW w:w="11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2015</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10,787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9,893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753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7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Costs related to license and grant revenue are included in research and development expense.</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Cost of product revenue increased by $0.9 million, or 9%, to $10.8 million for the three months ended March 31, 2016 from $9.9 million for the three months ended March 31, 2015. Overall cost of product revenue as a percentage of related revenue was 42% and 41% for the three months ended March 31, 2016 and 2015, respectively. Product margin declined by one percentage point compared to the corresponding period in 2015, primarily due to the impact of lower manufacturing capacity utilization for instruments, and, to a lesser extent, to higher IFC inventory reserves related to product transition and to increased distribution costs. This was partially offset by higher instrument selling prices.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Cost of service revenue increased by $0.4 million, or 59%, to $1.2 million for the three months ended March 31, 2016 from $0.8 million for the three months ended March 31, 2015. Overall cost of service revenue as a percentage of related revenue was 34% and 28% for the three months ended March 31, 2016 and 2015, respectively. The service margins decreased 6 percentage points during the three months ended March 31, 2016 compared to the corresponding period in 2015 mainly due to higher labor, travel and material costs associated with service contracts and increased headcount. Cost of service revenue for prior periods, which were previously recorded in cost of product revenue within our condensed consolidated statement of operations, have been reclassified to conform with the current period presentation.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34" w:lineRule="exact"/>
        <w:rPr>
          <w:sz w:val="20"/>
          <w:szCs w:val="20"/>
          <w:color w:val="auto"/>
        </w:rPr>
      </w:pPr>
    </w:p>
    <w:p>
      <w:pPr>
        <w:ind w:left="93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33020</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9,990</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25,475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20,094</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30,084</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 increased $0.4 million, or 4%, to $10.4 million for the three months ended March 31, 2016, compared to $10.0 million for the three months ended March 31, 2015, primarily due to an increase in headcount and compensation-related costs of $0.6 million offset by reduced outside services costs of $0.2 million.</w:t>
      </w:r>
    </w:p>
    <w:p>
      <w:pPr>
        <w:spacing w:after="0" w:line="12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that these expenses may increase in future periods.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Selling, general and administrative expense for the three months ended March 31, 2016 increased $5.4 million, or 27%, to $25.5 million, compared to $20.1 million for the three months ended March 31, 2015. This increase was primarily driven by continued investments in our global commercial infrastructure, including higher headcount and compensation-related costs of $3.2 million, increased legal expenses of $1.2 million and other outside services costs of $0.3 million, increased facilities expenses of $0.2 million, increased recruiting expenses of $0.3 million, and increased marketing and tradeshow expenses of $0.1 million.</w:t>
      </w:r>
    </w:p>
    <w:p>
      <w:pPr>
        <w:spacing w:after="0" w:line="13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334"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March 31,</w:t>
            </w:r>
          </w:p>
        </w:tc>
        <w:tc>
          <w:tcPr>
            <w:tcW w:w="118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79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was $1.5 million during the three months ended March 31, 2016 and 2015.</w:t>
      </w:r>
    </w:p>
    <w:p>
      <w:pPr>
        <w:spacing w:after="0" w:line="17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Other expense, net decreased by $0.8 million for the three months ended March 31, 2016, compared to $1.1 million for the three months ended March 31, 2015, primarily due to the decrease in foreign exchange losses resulting mainly from favorable changes in the Euro exchange rate relative to the U.S. dollar during the three months ended March 31, 2016.</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right="720" w:firstLine="432"/>
        <w:spacing w:after="0" w:line="342" w:lineRule="auto"/>
        <w:rPr>
          <w:sz w:val="20"/>
          <w:szCs w:val="20"/>
          <w:color w:val="auto"/>
        </w:rPr>
      </w:pPr>
      <w:r>
        <w:rPr>
          <w:rFonts w:ascii="Arial" w:cs="Arial" w:eastAsia="Arial" w:hAnsi="Arial"/>
          <w:sz w:val="16"/>
          <w:szCs w:val="16"/>
          <w:color w:val="auto"/>
        </w:rPr>
        <w:t>We recorded a tax benefit of $0.8 million for the three months ended March 31, 2016 and 2015. The tax benefit for both periods was primarily attributable to the amortization of our acquisition-related deferred tax liability, partially offset by tax provision from our foreign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March 31, 2016, our principal sources of liquidity consisted of $42.9 million of cash and cash equivalents and $52.4 million of investments. As of March 31, 2016, our working capital excluding deferred revenue totaled $116.4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34"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March 31,</w:t>
            </w:r>
          </w:p>
        </w:tc>
        <w:tc>
          <w:tcPr>
            <w:tcW w:w="1280" w:type="dxa"/>
            <w:vAlign w:val="bottom"/>
          </w:tcPr>
          <w:p>
            <w:pPr>
              <w:spacing w:after="0"/>
              <w:rPr>
                <w:sz w:val="18"/>
                <w:szCs w:val="18"/>
                <w:color w:val="auto"/>
              </w:rPr>
            </w:pPr>
          </w:p>
        </w:tc>
      </w:tr>
      <w:tr>
        <w:trPr>
          <w:trHeight w:val="25"/>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(7,792)</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(9,800)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3,732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13,737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3,269</w:t>
            </w:r>
          </w:p>
        </w:tc>
      </w:tr>
      <w:tr>
        <w:trPr>
          <w:trHeight w:val="27"/>
        </w:trPr>
        <w:tc>
          <w:tcPr>
            <w:tcW w:w="7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5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Net cash used in operating activities for the three months ended March 31, 2016 was $7.8 million, and consisted of net loss of $19.9 million, less non-cash adjustments of $8.3 million, and net change in assets and liabilities of $3.8 million. Non-cash items primarily included stock-based compensation expense of $3.7 million, amortization of developed technology of $2.8 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illion, depreciation and amortization of $1.6 million, and $0.2 million in other non-cash adjustments. The net change in assets and liabilities was primarily driven by a decrease in accounts receivable of $5.5 million due to increased cash collections which caused days sales outstanding to decrease from 75 days as of December 31, 2015 to 61 days as March 31, 2016, offset by an increase in inventory of $1.8 million.</w:t>
      </w:r>
    </w:p>
    <w:p>
      <w:pPr>
        <w:spacing w:after="0" w:line="3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Net cash used in operating activities for the three months ended March 31, 2015, was $9.8 million, and consisted of net loss of $15.9 million, less non-cash adjustments of $8.2 million, plus net change in assets and liabilities of $2.1 million. Non-cash items primarily included stock-based compensation expense of $4.1 million, amortization of developed technology of $2.8 million, and depreciation and amortization of $1.3 million. The net change in assets and liabilities was primarily driven by a net decrease in liabilities and accounts payable of $5.7 million, and increased inventory balances of $1.3 million, partially offset by a decrease in accounts receivable of $3.1 million, prepaid and other assets of $0.4 million, and an increase in deferred revenue of $1.3 million.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90"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primary investing activities consist of purchases, sales, and maturities of our short-term and long-term investments and to a much lesser extent, capital expenditures for manufacturing, laboratory, and computer equipment and software to support our expanding infrastructure and work force. We expect to continue to expand our manufacturing capability and throughput,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23"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Net cash provided by investing activities was $21.2 million during the three months ended March 31, 2016. Net cash provided by investing activities primarily consisted of $28.5 million of proceeds from sales and maturities of investments, proceeds from the gain of investment in Verinata (described below), partially offset by purchases of investments of $8.5 million, and capital expenditures of $1.1 million.</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Gain from Sale of Investment in Verinata</w:t>
      </w:r>
    </w:p>
    <w:p>
      <w:pPr>
        <w:spacing w:after="0" w:line="9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December 2015. The final milestones related to the sale of Verinata to Illumina were met in December 2015 and, accordingly, we recorded our share of these milestone payment obligations in the amount of $2.3 million from the sale of investment in Verinata in the accompanying consolidated statement of operations for the year ended December 31, 2015. In January 2016, we received the $2.3 million payment.</w:t>
      </w:r>
    </w:p>
    <w:p>
      <w:pPr>
        <w:spacing w:after="0" w:line="36"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Net cash provided by investing activities was $10.1 million during the three months ended March 31, 2015. Net cash provided by investing activities primarily consisted of $11.1 million of proceeds from sales and maturities of investments, partially offset by capital expenditures of $0.9 million and a purchase of intangible assets of $0.1 million primarily to support growth in our employee base worldwide and our growth in manufacturing operations.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cash provided by financing activities consists of proceeds received in connection with the exercise of options for our common stock.</w:t>
      </w:r>
    </w:p>
    <w:p>
      <w:pPr>
        <w:spacing w:after="0" w:line="9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Net cash provided by financing activities was $5 thousand and $3.7 million during the three months ended March 31, 2016 and March 31, 2015, respectively, and consists of proceeds received in connection with the exercise of options for our common stock.</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At March 31, 2016, our working capital excluding deferred revenue was $116.4 million, including cash, cash equivalents, and short-term investments of $95.2 million.</w:t>
      </w:r>
    </w:p>
    <w:p>
      <w:pPr>
        <w:spacing w:after="0" w:line="3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0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March 31, 2016, we did not have any off-balance sheet arrangements as defined in Item 303(a)(4) of the Securities and Exchange Commission's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operating lease obligations relate to a lease for our current headquarters and leases for manufacturing, warehousing and office space for our foreign subsidiaries. In March 2016, we entered into a lease for office space in Durham, North Carolina. Please see Note 7 to the financial statements for a description of our lease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three months ended March 31, 2016 and 2015, we experienced foreign currency losses of $0.5 million and $1.3 million, respectively. To date, we have not entered into any foreign currency hedging contracts although we may do so in the future. As our international operations grow, we will continue to reassess our approach to manage our risk relating to fluctuations in currency rates.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had cash and cash equivalents of $42.9 million at March 31, 2016. These amounts were held primarily in cash on deposit with banks and money market funds which are short-term. We had $52.4 million in investments at March 31, 2016 held primarily in U.S. government and agency securities. The contractual maturity dates of $52.4 million of our U.S. government and agency securities are within one year from March 31, 2016. The contractual maturity dates of our remaining U.S. government and agency securities are less than eighteen months from March 31, 2016.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however, will reduce future investment income. If overall interest rates had decreased by 10% during the periods presented, our interest income would not have been materially affected.</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2016, our Chief Executive Officer and Chief Financial Officer concluded that, as of such date, our disclosure controls and procedures were effective at the reasonable assurance level.</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2016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20" w:right="220"/>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4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and 2014, we experienced higher sales in the fourth quarter than in the first quarter of the next fiscal year. Although this was not the case in the fourth quarter of 2013 compared to the first quarter of 2014, this seasonal historical trend resumed in 2015 and 2016, and we expect it to continue. Additionally, for the quarters ended March 31, 2016, March 31, 2015 and June 30, 2015, we experienced year-over-year revenue growth rates that were substantially lower than revenue growth rates experienced in other periods since our initial public offering, and we experienced a year-over-year decline in revenue for the quarter ended September 30, 2015, and for the year ended December 31,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7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maintain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and that our financial results for some periods may be below those projected by securities analysts, which could significantly decrease the price of our common stock.</w:t>
      </w:r>
    </w:p>
    <w:p>
      <w:pPr>
        <w:spacing w:after="0" w:line="166"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For example, companies such as 10X Genomics, Inc., Affymetrix,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Sony Corporation, Thermo Fisher Scientific Inc., and WaferGen Bio-systems, Inc. have products that compete in certain segments of the market in which we sell our products.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In addition, we have recently experienced increased competition in the single-cell biology market, including new product releases from Becton, Dickinson and Company, 10X Genomics, Inc. and WaferGen Bio-systems, Inc., as well as an announced exclusive partnership between Illumina, Inc. and Bio-Rad Laboratories, Inc.</w:t>
      </w:r>
    </w:p>
    <w:p>
      <w:pPr>
        <w:spacing w:after="0" w:line="385"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8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recently experienced a performance issue with respect to certain IFCs used in our C1 systems due to the presence of more than one cell in an IFC chamber. We have announced the release of one redesigned IFC and are currently working to redesign other impacted IFCs. Although we have announced our current expectation that the additional redesigned IFCs will be available later in of 2016 and early 2017, we may experience unexpected delays or product development challenges that could affect the timing or our ability to release redesigned IFCs that adequately address these performance issues.</w:t>
      </w:r>
    </w:p>
    <w:p>
      <w:pPr>
        <w:spacing w:after="0" w:line="17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18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and reagents for commercial sale at our facility in South San Francisco.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 We are in the final stages of relocating our manufacturing facility for Helios/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CyTOF 2 and other proteomics products in Canada, which could result in delays or disruptions in manufacturing and which could have an adverse effect on our revenues or operating results. 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7" w:lineRule="exact"/>
        <w:rPr>
          <w:sz w:val="20"/>
          <w:szCs w:val="20"/>
          <w:color w:val="auto"/>
        </w:rPr>
      </w:pPr>
    </w:p>
    <w:p>
      <w:pPr>
        <w:ind w:right="2180"/>
        <w:spacing w:after="0" w:line="261" w:lineRule="auto"/>
        <w:rPr>
          <w:sz w:val="20"/>
          <w:szCs w:val="20"/>
          <w:color w:val="auto"/>
        </w:rPr>
      </w:pPr>
      <w:r>
        <w:rPr>
          <w:rFonts w:ascii="Arial" w:cs="Arial" w:eastAsia="Arial" w:hAnsi="Arial"/>
          <w:sz w:val="18"/>
          <w:szCs w:val="18"/>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8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During the three months ended March 31, 2016 and 2015, approximately 55% and 48%, respectively, of our total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right="26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for the three months ended March 31, 2016 and for the years ended December 31, 2015 and 2014, we experienced foreign currency losses of $0.5 million, $1.6 million and $1.1 million, respectively. Fluctuations in currency exchange rates could have an adverse impact on our financial results in the future.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20" w:hanging="320"/>
        <w:spacing w:after="0" w:line="264"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0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Helios/CyTOF 2 systems and certain metal isotopes used with the Helios/CyTOF 2 systems are purchased from sole source suppliers.</w:t>
      </w:r>
    </w:p>
    <w:p>
      <w:pPr>
        <w:spacing w:after="0" w:line="170" w:lineRule="exact"/>
        <w:rPr>
          <w:rFonts w:ascii="Arial" w:cs="Arial" w:eastAsia="Arial" w:hAnsi="Arial"/>
          <w:sz w:val="18"/>
          <w:szCs w:val="18"/>
          <w:color w:val="auto"/>
        </w:rPr>
      </w:pPr>
    </w:p>
    <w:p>
      <w:pPr>
        <w:ind w:left="760" w:right="14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nickel sampler cone used with the Helios/CyTOF 2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2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Our customer base is primarily composed of academic institutions, clinical laboratories that use our technology to develop tests, and pharmaceutical, biotechnology, and agricultural biotechnology, or Ag-Bio, companies that perform analyses for research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84"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have a limited operating history and have incurred significant losses in each fiscal year since our inception, including net losses of $19.9 million, $53.3 million, and $52.8 million during the three months ended March 31, 2016 and for the years ended December 31, 2015 and 2014, respectively. As of March 31, 2016, we had an accumulated deficit of $383.4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and we expect these expenses will increase in future periods. We also expect that our selling, general, and administrative expenses will continue to increase due to the additional operational costs associated with the growth of our business.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March 31, 2016, we had approximately $199.9 million of goodwill and net intangible assets, net of amortization, of approximately $104.1 million and $95.8 million, respectively. These assets represent a significant portion of the assets recorded on our consolidated balance sheet and relate primarily to our acquisition of DVS in February 2014. In addition, if in the future we acquire additional businesses, technologies, or other intangible assets, a substantial portion of the value of such assets may be recorded as goodwill or intangible assets.</w:t>
      </w:r>
    </w:p>
    <w:p>
      <w:pPr>
        <w:spacing w:after="0" w:line="18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24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5"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69"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our Biomark, EP1, and Helios/CyTOF 2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reagents will continue to be available to our customers for use with our systems, or that these patent holders will not seek to enforce their patents against us, our customers, or suppliers.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Being regulated as a medical device manufacturer by the U.S. Food and Drug Administration, or FDA, and foreign regulatory authorities, and seeking approval and/or clearance for our products, will take significant time and expense and may not result in FDA clearance or approval for the intended uses we believe are commercially attractive. If our products are successfully approved and/or cleared, we will be subject to ongoing and extensive regulatory requirements, which would increase our costs and divert resources away from other projects. If we fail to comply with these requirements, our business and financial condition could be adversely impacted.</w:t>
      </w:r>
    </w:p>
    <w:p>
      <w:pPr>
        <w:spacing w:after="0" w:line="172"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and pharmaceutical, biotechnology, and Ag-Bio companies for research purposes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8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have announced our plan to register with the FDA as a medical device manufacturer and list some of our products with the FDA pursuant to an FDA Class I listing for general purpose laboratory equipment. We currently expect to make initial filing in the near term. While this regulatory classification is exempt from certain FDA requirements, such as the need to submit a premarket notification commonly known as a 510(k), and most of the requirements of the FDA’s Quality System Regulations, or QSRs, we will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addition, we plan to submit 510(k) premarket notifications to the FDA to obtain FDA clearance of certain of our products on a selected basis. Although we plan to submit 510(k) applications for certain of our products, it is possible that the FDA will take the position that a more burdensome premarket application, such as a premarket approval application or a de novo application is required for some of our products. If such applications are required, greater time and investment would be required to obtain FDA approval. Even if the FDA agrees that a 510(k) is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may be denied for some or all of our products. Even if we were to obtain regulatory approval or clearance, it may not be for the uses we believe are important or commercially attractive.</w:t>
      </w:r>
    </w:p>
    <w:p>
      <w:pPr>
        <w:spacing w:after="0" w:line="19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If we receive regulatory clearance or approval for our products, we will be subject to ongoing FDA obligations and continued regulatory oversight and review, including the general controls listed above and the FDA’s QSRs for our manufacturing operations. In addition, we may be required to obtain a new 510(k) clearance before we can introduce subsequent modifications or improvements to our products. We may also be subject to additional FDA post-marketing obligations, any or all of which would increase our costs and divert resources away from other projects. If we are not able to maintain regulatory compliance with applicable laws, we may be prohibited from marketing our products for use as, or in the performance of, clinical diagnostics and/or may be subject to enforcement actions, including warning letters and adverse publicity, fines, injunctions, and civil penalties; recall or seizure of products; operating restrictions; and criminal prosecution.</w:t>
      </w:r>
    </w:p>
    <w:p>
      <w:pPr>
        <w:spacing w:after="0" w:line="28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intend to seek similar regulatory clearance or approval for our products in countries outside of the United States. Sales of our products outside the United States will be subject to foreign regulatory requirements, which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will need to comply with the Medical Device Directive 93/42 EEC, which is required to market medical devices in the European Union. We also intend to seek certification under ISO 13485, the European Quality Standard applicable to medical device manufacturers.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The FDA held a public workshop and accepted comments on the two draft guidance documents and is currently assessing next steps for implementing the framework for regulating LDTs. At the same time, various legislative proposals have been floated that would take differing approaches to the regulation of LDTs. It is also possible that companies or associations will attempt to bring litigation against the FDA arguing that the FDA lacks legal authority over LDTs. We cannot predict how these various efforts will be resolved, how FDA will regulate LDTs in the future, or how that regulatory system will impact our business.</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61"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ensure compliance with applicable standards, and may reduce the availability of parts and components used in our products by negatively impacting our suppliers’ ability to source parts and components in a timely and cost-effective manner.</w:t>
      </w:r>
    </w:p>
    <w:p>
      <w:pPr>
        <w:spacing w:after="0" w:line="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40" w:firstLine="40"/>
        <w:spacing w:after="0" w:line="563" w:lineRule="auto"/>
        <w:tabs>
          <w:tab w:leader="none" w:pos="765" w:val="left"/>
        </w:tabs>
        <w:numPr>
          <w:ilvl w:val="1"/>
          <w:numId w:val="10"/>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hanging="320"/>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60" w:hanging="320"/>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 our European intercompany transactions, which is likely to increase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18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1"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A move of any of our manufacturing facilities may delay or otherwise adversely affect our manufacturing activities and business.</w:t>
      </w:r>
    </w:p>
    <w:p>
      <w:pPr>
        <w:spacing w:after="0" w:line="188" w:lineRule="exact"/>
        <w:rPr>
          <w:sz w:val="20"/>
          <w:szCs w:val="20"/>
          <w:color w:val="auto"/>
        </w:rPr>
      </w:pPr>
    </w:p>
    <w:p>
      <w:pPr>
        <w:ind w:right="62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 build an efficient and effective sales and marketing force, which could negatively impact sales of our products and reduce our revenue and profitability.</w:t>
      </w:r>
    </w:p>
    <w:p>
      <w:pPr>
        <w:spacing w:after="0" w:line="2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referred to as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5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GAAP under SEC regulations and those who are required to follow International Financial Reporting Standards outside of the United States. These efforts by the FASB and IASB may result in different accounting principles under GAAP that may result in materially different financial results for us in areas including, but not limited to, principles for recognizing revenue and lease accounting. Additionally, significant changes to GAAP resulting from the FASB’s and IASB’s efforts may require that we change how we process, analyze and report financial information and that we change financial reporting controls.</w:t>
      </w:r>
    </w:p>
    <w:p>
      <w:pPr>
        <w:spacing w:after="0" w:line="189"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5"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From time to time, we engage in discussions regarding possible commercial, licensing and cross-licensing agreements with third parties.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78"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customers have also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Although no claims against us are currently pending, we have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a third party competitor recently initiated litigation against a newly hired Fluidigm employee alleging, among other claims, misappropriation of proprietary information and breach of contractual and fiduciary obligations to the third party. Although we are not currently a party to this litigation, we cannot provide assurances that the third party will not bring claims against Fluidigm with respect to this employee or other employees that we have hired or may hire who were previously associated with the third party. If we fail in defending such claims, in addition to paying monetary damages or the potential for injunctive relief against us, in some instances we may lose valuable intellectual property rights. A loss of key research personnel work product could hamper or prevent our ability to commercialize certain potential products or a loss or inability to hire key marketing, sales or research and development personnel could adversely affect our future product development, sales and revenues, any of which could severely harm our business. Even if we are successful in defending against these claims, litigation could result in substantial costs and be a distraction to management.</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We have had prior discussions with Nodality to reinstate the license agreement. We cannot provide assurances that we will be able to reinstate the license agreement with Nodality or secure a new license agreement with Nodality or other third parties on acceptable terms, if at all.</w:t>
      </w:r>
    </w:p>
    <w:p>
      <w:pPr>
        <w:spacing w:after="0" w:line="18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these factors would be expected to have a material adverse effect on our business, operating results, and financial condition and could result in a substantial decline in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March 31, 2016, we had 28,895,723 shares of common stock outstanding, and stockholders holding at least 5% of our stock, individually or with affiliated persons or entities, collectively beneficially owned or controlled approximately 69.4%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20" w:hanging="320"/>
        <w:spacing w:after="0" w:line="308"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bl>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302 of the Sarbanes-Oxley Act of 2002 of</w:t>
            </w:r>
          </w:p>
        </w:tc>
        <w:tc>
          <w:tcPr>
            <w:tcW w:w="150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302 of the Sarbanes-Oxley Act of 2002 of</w:t>
            </w:r>
          </w:p>
        </w:tc>
        <w:tc>
          <w:tcPr>
            <w:tcW w:w="150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32.1(1)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32.2(1)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5580" w:type="dxa"/>
            <w:vAlign w:val="bottom"/>
          </w:tcPr>
          <w:p>
            <w:pPr>
              <w:ind w:left="640"/>
              <w:spacing w:after="0"/>
              <w:rPr>
                <w:sz w:val="20"/>
                <w:szCs w:val="20"/>
                <w:color w:val="auto"/>
              </w:rPr>
            </w:pPr>
            <w:r>
              <w:rPr>
                <w:rFonts w:ascii="Arial" w:cs="Arial" w:eastAsia="Arial" w:hAnsi="Arial"/>
                <w:sz w:val="18"/>
                <w:szCs w:val="18"/>
                <w:color w:val="auto"/>
              </w:rPr>
              <w:t>XBRL Instance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Schema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Calculation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Label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Presentation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Definition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bl>
    <w:p>
      <w:pPr>
        <w:spacing w:after="0" w:line="179" w:lineRule="exact"/>
        <w:rPr>
          <w:sz w:val="20"/>
          <w:szCs w:val="20"/>
          <w:color w:val="auto"/>
        </w:rPr>
      </w:pPr>
    </w:p>
    <w:p>
      <w:pPr>
        <w:ind w:left="600" w:right="240" w:hanging="565"/>
        <w:spacing w:after="0" w:line="271"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May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President and Chief Executive Officer</w:t>
      </w:r>
    </w:p>
    <w:p>
      <w:pPr>
        <w:spacing w:after="0" w:line="196"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May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20"/>
          </w:cols>
          <w:pgMar w:left="240" w:top="125" w:right="9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485"/>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600" w:right="440" w:hanging="565"/>
        <w:spacing w:after="0" w:line="271"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May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880" w:val="left"/>
          <w:tab w:leader="none" w:pos="6480" w:val="left"/>
        </w:tabs>
        <w:rPr>
          <w:sz w:val="20"/>
          <w:szCs w:val="20"/>
          <w:color w:val="auto"/>
        </w:rPr>
      </w:pPr>
      <w:r>
        <w:rPr>
          <w:rFonts w:ascii="Arial" w:cs="Arial" w:eastAsia="Arial" w:hAnsi="Arial"/>
          <w:sz w:val="18"/>
          <w:szCs w:val="18"/>
          <w:color w:val="auto"/>
        </w:rPr>
        <w:t>Dated: May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44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980" w:firstLine="886"/>
        <w:spacing w:after="0" w:line="277" w:lineRule="auto"/>
        <w:tabs>
          <w:tab w:leader="none" w:pos="10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2016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2016</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980" w:firstLine="886"/>
        <w:spacing w:after="0" w:line="277" w:lineRule="auto"/>
        <w:tabs>
          <w:tab w:leader="none" w:pos="10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2016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78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May 9,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5"/>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2019-12-29T11:45:36Z</dcterms:created>
  <dcterms:modified xsi:type="dcterms:W3CDTF">2019-12-29T11:45:36Z</dcterms:modified>
</cp:coreProperties>
</file>