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80" w:right="1840" w:hanging="3945"/>
        <w:spacing w:after="0" w:line="454"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gridSpan w:val="2"/>
          </w:tcPr>
          <w:p>
            <w:pPr>
              <w:jc w:val="center"/>
              <w:ind w:left="3819"/>
              <w:spacing w:after="0"/>
              <w:rPr>
                <w:sz w:val="20"/>
                <w:szCs w:val="20"/>
                <w:color w:val="auto"/>
              </w:rPr>
            </w:pPr>
            <w:r>
              <w:rPr>
                <w:rFonts w:ascii="Arial" w:cs="Arial" w:eastAsia="Arial" w:hAnsi="Arial"/>
                <w:sz w:val="18"/>
                <w:szCs w:val="18"/>
                <w:b w:val="1"/>
                <w:bCs w:val="1"/>
                <w:color w:val="auto"/>
                <w:w w:val="89"/>
              </w:rPr>
              <w:t>77-0513190</w:t>
            </w:r>
          </w:p>
        </w:tc>
      </w:tr>
      <w:tr>
        <w:trPr>
          <w:trHeight w:val="180"/>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20" w:type="dxa"/>
            <w:vAlign w:val="bottom"/>
            <w:gridSpan w:val="2"/>
          </w:tcPr>
          <w:p>
            <w:pPr>
              <w:jc w:val="center"/>
              <w:ind w:left="383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320" w:type="dxa"/>
            <w:vAlign w:val="bottom"/>
            <w:gridSpan w:val="2"/>
          </w:tcPr>
          <w:p>
            <w:pPr>
              <w:jc w:val="center"/>
              <w:ind w:left="3819"/>
              <w:spacing w:after="0"/>
              <w:rPr>
                <w:sz w:val="20"/>
                <w:szCs w:val="20"/>
                <w:color w:val="auto"/>
              </w:rPr>
            </w:pPr>
            <w:r>
              <w:rPr>
                <w:rFonts w:ascii="Arial" w:cs="Arial" w:eastAsia="Arial" w:hAnsi="Arial"/>
                <w:sz w:val="14"/>
                <w:szCs w:val="14"/>
                <w:b w:val="1"/>
                <w:bCs w:val="1"/>
                <w:color w:val="auto"/>
                <w:w w:val="95"/>
              </w:rPr>
              <w:t>Identification Number)</w:t>
            </w:r>
          </w:p>
        </w:tc>
      </w:tr>
      <w:tr>
        <w:trPr>
          <w:trHeight w:val="264"/>
        </w:trPr>
        <w:tc>
          <w:tcPr>
            <w:tcW w:w="1900" w:type="dxa"/>
            <w:vAlign w:val="bottom"/>
          </w:tcPr>
          <w:p>
            <w:pPr>
              <w:spacing w:after="0"/>
              <w:rPr>
                <w:sz w:val="22"/>
                <w:szCs w:val="22"/>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7000 Shoreline Court, Suite 100</w:t>
            </w:r>
          </w:p>
        </w:tc>
      </w:tr>
      <w:tr>
        <w:trPr>
          <w:trHeight w:val="212"/>
        </w:trPr>
        <w:tc>
          <w:tcPr>
            <w:tcW w:w="1900" w:type="dxa"/>
            <w:vAlign w:val="bottom"/>
          </w:tcPr>
          <w:p>
            <w:pPr>
              <w:spacing w:after="0"/>
              <w:rPr>
                <w:sz w:val="18"/>
                <w:szCs w:val="18"/>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354"/>
        </w:trPr>
        <w:tc>
          <w:tcPr>
            <w:tcW w:w="19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(650) 266-6000</w:t>
            </w:r>
          </w:p>
        </w:tc>
        <w:tc>
          <w:tcPr>
            <w:tcW w:w="1120" w:type="dxa"/>
            <w:vAlign w:val="bottom"/>
          </w:tcPr>
          <w:p>
            <w:pPr>
              <w:spacing w:after="0"/>
              <w:rPr>
                <w:sz w:val="24"/>
                <w:szCs w:val="24"/>
                <w:color w:val="auto"/>
              </w:rPr>
            </w:pP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190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bl>
    <w:p>
      <w:pPr>
        <w:spacing w:after="0" w:line="310"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840"/>
              <w:spacing w:after="0"/>
              <w:rPr>
                <w:sz w:val="20"/>
                <w:szCs w:val="20"/>
                <w:color w:val="auto"/>
              </w:rPr>
            </w:pPr>
            <w:r>
              <w:rPr>
                <w:rFonts w:ascii="Arial" w:cs="Arial" w:eastAsia="Arial" w:hAnsi="Arial"/>
                <w:sz w:val="18"/>
                <w:szCs w:val="18"/>
                <w:color w:val="auto"/>
                <w:w w:val="95"/>
              </w:rPr>
              <w:t>(Do not check if a smaller reporting company)</w:t>
            </w:r>
          </w:p>
        </w:tc>
        <w:tc>
          <w:tcPr>
            <w:tcW w:w="260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ind w:right="212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28, 2017, there were 29,414,235 shares of the Registrant’s common stock, $0.001 par value per share, outstanding.</w:t>
      </w:r>
    </w:p>
    <w:p>
      <w:pPr>
        <w:sectPr>
          <w:pgSz w:w="11900" w:h="16838" w:orient="portrait"/>
          <w:cols w:equalWidth="0" w:num="1">
            <w:col w:w="11380"/>
          </w:cols>
          <w:pgMar w:left="240" w:top="233" w:right="279" w:bottom="1440" w:gutter="0" w:footer="0" w:header="0"/>
        </w:sectPr>
      </w:pP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1"/>
          </w:tcPr>
          <w:p>
            <w:pPr>
              <w:jc w:val="center"/>
              <w:ind w:right="31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6"/>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5860" w:type="dxa"/>
            <w:vAlign w:val="bottom"/>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30, 2017 and December 31, 2016</w:t>
              </w:r>
            </w:hyperlink>
          </w:p>
        </w:tc>
        <w:tc>
          <w:tcPr>
            <w:tcW w:w="272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960" w:type="dxa"/>
            <w:vAlign w:val="bottom"/>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2017 and 2016</w:t>
              </w:r>
            </w:hyperlink>
          </w:p>
        </w:tc>
        <w:tc>
          <w:tcPr>
            <w:tcW w:w="62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9"/>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Loss for the three and six months ended June 30, 2017 and</w:t>
              </w:r>
            </w:hyperlink>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360" w:type="dxa"/>
            <w:vAlign w:val="bottom"/>
            <w:tcBorders>
              <w:top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2016</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300" w:type="dxa"/>
            <w:vAlign w:val="bottom"/>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2017 and 2016</w:t>
              </w:r>
            </w:hyperlink>
          </w:p>
        </w:tc>
        <w:tc>
          <w:tcPr>
            <w:tcW w:w="128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300" w:type="dxa"/>
            <w:vAlign w:val="bottom"/>
            <w:gridSpan w:val="6"/>
          </w:tcPr>
          <w:p>
            <w:pPr>
              <w:spacing w:after="0"/>
              <w:rPr>
                <w:sz w:val="24"/>
                <w:szCs w:val="24"/>
                <w:color w:val="auto"/>
              </w:rPr>
            </w:pPr>
          </w:p>
        </w:tc>
        <w:tc>
          <w:tcPr>
            <w:tcW w:w="128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1"/>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1"/>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422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1"/>
          </w:tcPr>
          <w:p>
            <w:pPr>
              <w:jc w:val="center"/>
              <w:ind w:right="3160"/>
              <w:spacing w:after="0"/>
              <w:rPr>
                <w:rFonts w:ascii="Arial" w:cs="Arial" w:eastAsia="Arial" w:hAnsi="Arial"/>
                <w:sz w:val="18"/>
                <w:szCs w:val="18"/>
                <w:color w:val="0000FF"/>
                <w:w w:val="96"/>
              </w:rPr>
            </w:pPr>
            <w:hyperlink w:anchor="page28">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Other Information</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Exhibits</w:t>
              </w:r>
            </w:hyperlink>
          </w:p>
        </w:tc>
        <w:tc>
          <w:tcPr>
            <w:tcW w:w="720" w:type="dxa"/>
            <w:vAlign w:val="bottom"/>
            <w:gridSpan w:val="2"/>
          </w:tcPr>
          <w:p>
            <w:pPr>
              <w:spacing w:after="0"/>
              <w:rPr>
                <w:sz w:val="24"/>
                <w:szCs w:val="24"/>
                <w:color w:val="auto"/>
              </w:rPr>
            </w:pP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SIGNATURES</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8380" w:type="dxa"/>
            <w:vAlign w:val="bottom"/>
            <w:gridSpan w:val="1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EXHIBIT LIST</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r>
      <w:tr>
        <w:trPr>
          <w:trHeight w:val="20"/>
        </w:trPr>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(Note 2)</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35,045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$394 at June 30, 2017 and $502 at December 31, 2016)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18,765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278,709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306,395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13,498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12,374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 current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194,951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21,140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253,162</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1"/>
              </w:rPr>
              <w:t>Preferred stock, $0.001 par value, 10,000 shares authorized, no shares issued and outstanding at June 30, 2017</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and December 31, 2016</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$0.001 par value, 200,000 shares authorized at June 30, 2017 and December 31, 2016; 29,415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29,208 shares issued and outstanding as of June 30, 2017 and December 31, 2016,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498,351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493,441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(473,795)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(439,477)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53,233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278,709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306,395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19,500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24,733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40,807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50,103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57,171</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20,975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23,845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49,320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94,182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Net change in unrealized gain on investments</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(38,215)</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(34,134)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(38,501)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3,245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developed technology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items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(15,146)</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sales and maturities of investments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23,375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56,387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 in Verinata</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21,496</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 net of taxes paid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6,781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35,898</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81" w:lineRule="exact"/>
        <w:rPr>
          <w:sz w:val="20"/>
          <w:szCs w:val="20"/>
          <w:color w:val="auto"/>
        </w:rPr>
      </w:pPr>
    </w:p>
    <w:p>
      <w:pPr>
        <w:ind w:right="30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64" w:lineRule="exact"/>
        <w:rPr>
          <w:sz w:val="20"/>
          <w:szCs w:val="20"/>
          <w:color w:val="auto"/>
        </w:rPr>
      </w:pPr>
    </w:p>
    <w:p>
      <w:pPr>
        <w:ind w:right="784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2016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and six months ended June 30, 2017 are not necessarily indicative of the results to be expected for the year ending December 31, 2017 or for any other interim period or for any other future year. All intercompany accounts and transactions have been eliminated upon consolidation.</w:t>
      </w:r>
    </w:p>
    <w:p>
      <w:pPr>
        <w:spacing w:after="0" w:line="18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78"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2016 included in our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potentially dilutive common shares were excluded from the computation of diluted net loss per share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 because they would have been anti-dilutive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22"/>
                <w:szCs w:val="22"/>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4,528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4,835</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3,598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3,598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3,598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3,598</w:t>
            </w:r>
          </w:p>
        </w:tc>
      </w:tr>
      <w:tr>
        <w:trPr>
          <w:trHeight w:val="27"/>
        </w:trPr>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8,126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8,433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8,126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8,433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and six months ended June 30, 2017 are summarized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Unrealized Gain</w:t>
            </w:r>
          </w:p>
        </w:tc>
        <w:tc>
          <w:tcPr>
            <w:tcW w:w="120" w:type="dxa"/>
            <w:vAlign w:val="bottom"/>
          </w:tcPr>
          <w:p>
            <w:pPr>
              <w:spacing w:after="0"/>
              <w:rPr>
                <w:sz w:val="14"/>
                <w:szCs w:val="14"/>
                <w:color w:val="auto"/>
              </w:rPr>
            </w:pPr>
          </w:p>
        </w:tc>
        <w:tc>
          <w:tcPr>
            <w:tcW w:w="13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(Loss) on Securities</w:t>
            </w:r>
          </w:p>
        </w:tc>
        <w:tc>
          <w:tcPr>
            <w:tcW w:w="14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6"/>
              </w:rPr>
              <w:t>Comprehensive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De minimus amounts of unrealized gains and losses have been reclassified into the condensed consolidated statement of operations for the three and six months ended June 30, 2017. The tax effect of each component of other comprehensive income was immaterial for the three and six months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229"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In February 2013, Illumina, Inc. acquired Verinata Health, Inc. (Verinata), a privately-held company, for $350 million in cash and up to an additional $100 million in milestone payments through December 2015. In March 2013, we received cash proceeds of $3.1 million in exchange for our ownership interest in Verinata resulting in a gain of $1.8 million. During the third quarter of 2014, we received cash proceeds of $0.3 million from the escrow account related to the acquisition. We recorded these amounts as "Gain from sale of investment in Verinata" in the consolidated statements of operations for the year ended December 31, 2014. The final milestones related to the sale of Verinata to Illumina were met in December 2015 and, accordingly, we recorded our share of these milestone payment obligations in the amount of $2.3 million in Gain from sale of investment in Verinata in the consolidated statement of operations for the year ended December 31, 2015. In January 2016, we received the payment of $2.3 million and it was recorded in net cash provided by investing activities in the condensed consolidated statement of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22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We adopted this standard in the first quarter of 2017. The adoption of this ASU did not have a material impact on our consolidated financial statements.</w:t>
      </w:r>
    </w:p>
    <w:p>
      <w:pPr>
        <w:spacing w:after="0" w:line="171"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This ASU simplifies several aspects of the accounting for share-based payments, including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of employee taxes paid when an employer withholds shares for tax-withholding purposes. We adopted this standard in the first quarter of 2017 by recording the cumulative impact of applying this guidance to retained earnings. We also elected to account for forfeitures as they occur, as permitted by ASU 2016-09. The adoption of this ASU did not have a material impact on our consolidated financial statements. See Note 9 for the impact on deferred tax assets.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ASU 2016-12 provides narrow scope improvements and practical expedients related to ASU 2014-09. The improvements address completed contracts and contract modifications at transition, non-cash consideration, the presentation of sales taxes and other taxes collected from customers, and assessment of collectability when determining whether a transaction represents a valid contract. On July 7, 2015, the FASB amended ASU 2014-09 to defer the effective date by one year with early adoption permitted as of the original effective date. ASU 2014-09 and ASU 2016-12 will be effective for our fiscal year beginning January 1, 2018, with early adoption permitted. While we have not completed our assessment of the new revenue recognition standard, we currently expect that this new standard will not have a material impact on our consolidated financial statements. We currently expect to adopt ASU 2014-09 in the first quarter of 2018 using the modified retrospective method. We will continue to monitor additional modifications, clarifications or interpretations undertaken by the FASB that may impact our current conclusions.</w:t>
      </w:r>
    </w:p>
    <w:p>
      <w:pPr>
        <w:spacing w:after="0" w:line="18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February 2016, the FASB issued ASU 2016-02 Leases (Topic 842). This ASU requires lessees to recognize a right-of-use asset and a lease liability on the balance sheet for all leases with the exception of short-term leases. For 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ASU 2016-02 will be effective for our fiscal year beginning January 1, 2019 and early adoption is permitted.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16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November 2016, the FASB issued ASU 2016-18 Statement of Cash Flows (Topic 230): Restricted Cash, a consensus of the FASB’s Emerging Issues Task Force, amending the presentation of restricted cash within the statement of cash flows. The new guidance requires that restricted cash be included within cash and cash equivalents on the statement of cash flows. ASU 2016-18 will be effective for our fiscal year beginning January 1, 2018, with early adoption permitted. The adoption of this ASU is not expected to have a material impact on our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new guidance intends to simplify the subsequent measurement of goodwill. The ASU eliminates the requirement for an entity to calculate the implied fair value of goodwill to measure a goodwill impairment charge. Instead, an entity will perform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adoption of this ASU and cannot estimate the financial statement impact of adoption.</w:t>
      </w:r>
    </w:p>
    <w:p>
      <w:pPr>
        <w:spacing w:after="0" w:line="16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have been no other changes in accounting standards issued by the FASB during the three and six months ended June 30, 2017 that are expected to have a material impact on our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February 4, 2014, we closed an underwritten public offering of $201.3 million aggregate principal amount of our 2.75% Senior Convertible Notes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due 2034 (Notes) pursuant to an underwriting agreement, dated January 29, 2014. The Notes accrue interest at a rate of 2.75% per year, payable semi-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annually in arrears on February 1 and August 1 of each year. The Notes will mature on February 1, 2034, unless earlier converted, redeemed, or repurchased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terms of the Notes. The initial conversion rate of the Notes is 17.8750 shares of our common stock, par value $0.001 per share,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Notes (which is equivalent to an initial conversion price of approximately $55.94 per share). The conversion rate will be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upon the occurrence of certain specified events. Holders may surrender their Notes for conversion at any time prior to the stated maturity date. On</w:t>
      </w:r>
    </w:p>
    <w:p>
      <w:pPr>
        <w:spacing w:after="0" w:line="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19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In February 2014, we received $195.2 million, net of underwriting discounts, from the issuance of the Notes and incurred approximately $1.1 million in offering-related expenses. The underwriting discount of $6.0 million and the debt issuance costs of $1.1 million were recorded as offsets to the proceeds.</w:t>
      </w:r>
    </w:p>
    <w:p>
      <w:pPr>
        <w:spacing w:after="0" w:line="12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February 2014, we used $113.2 million of the net proceeds to fund the cash portion of the consideration payable by us in connection with our acquisition of DVS Sciences, Inc. (now Fluidigm Sciences Inc.). Interest expense related to the Notes was approximately $1.5 million for both the three months ended June 30, 2017 and 2016, respectively. Interest expense related to the Notes was $2.9 million approximately for both the six months ended June 30, 2017 and 2016, respectively. Approximately $2.8 million of interest under the Notes became due and was paid during each of the six months ended June 30, 2017 and 2016, respectively.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values of the components of the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Principal amount of Notes</w:t>
            </w:r>
          </w:p>
        </w:tc>
        <w:tc>
          <w:tcPr>
            <w:tcW w:w="4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201,250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201,250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3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carrying value of convertible notes</w:t>
            </w:r>
          </w:p>
        </w:tc>
        <w:tc>
          <w:tcPr>
            <w:tcW w:w="4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195,094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194,951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Intangible assets include developed technology as a result of the DVS acquisition and other intangible assets included in Other non-current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0"/>
              </w:rPr>
              <w:t>June 30, 2017</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6,150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7.9 years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80,350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3"/>
              </w:rPr>
              <w:t>December 31, 2016</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7.9 years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86,491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connection with the acquisition of DVS in February 2014, we acquired developed technology with a gross fair value of $112.0 million. These acquired intangible assets are being amortized to cost of product revenue over their useful life of ten years. Related amortization for the three and six months ended June 30, 2017 was $2.8 million and $5.6 million, respectively. Related amortization expense for the three and six months ended June 30, 2016 was $2.8 million and $5.6 million, respectively.</w:t>
      </w:r>
    </w:p>
    <w:p>
      <w:pPr>
        <w:spacing w:after="0" w:line="18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Based on the carrying value of intangible assets as of June 30, 2017, the annual amortization expense for intangible assets is expected to be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Amortization Expense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12,333</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12,242</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12,242</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25,246</w:t>
            </w:r>
          </w:p>
        </w:tc>
      </w:tr>
      <w:tr>
        <w:trPr>
          <w:trHeight w:val="27"/>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80,350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958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Details Inventories</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1,742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20,114</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23,670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2,084</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39,998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(24,084)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13,966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16,525</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and six months ended June 30, 2017 and 2016, which is included in other accrued liabilities, is summarized below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288</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1,046</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3"/>
                <w:szCs w:val="13"/>
                <w:color w:val="auto"/>
              </w:rPr>
            </w:pPr>
          </w:p>
        </w:tc>
        <w:tc>
          <w:tcPr>
            <w:tcW w:w="9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15,411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15,411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15,411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42,031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42,031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39,597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7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13,984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59,433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59,430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35,045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six months ended June 30, 2017 and 2016, and there were no changes in the valuation techniques used.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contractual maturity periods of $2.4 million of our marketable debt securities are within one year from June 30, 2017.</w:t>
      </w:r>
    </w:p>
    <w:p>
      <w:pPr>
        <w:spacing w:after="0" w:line="22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None of our available-for-sale securities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8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estimated fair value of the Convertible Notes is based on a market approach (See Note 3). The estimated fair value was approximately $125.0 million and $139.7 million (par value $201.3 million) as of June 30, 2017 and December 31, 2016, and represents a Level II valuation. When determining the estimated fair value of our long-term debt, we used a commonly accepted valuation methodology and market-based risk measurements that are indirectly observable, such as credit risk.</w:t>
      </w:r>
    </w:p>
    <w:p>
      <w:pPr>
        <w:spacing w:after="0" w:line="183" w:lineRule="exact"/>
        <w:rPr>
          <w:sz w:val="20"/>
          <w:szCs w:val="20"/>
          <w:color w:val="auto"/>
        </w:rPr>
      </w:pPr>
    </w:p>
    <w:p>
      <w:pPr>
        <w:ind w:right="8680" w:firstLine="8"/>
        <w:spacing w:after="0" w:line="533"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right="40"/>
        <w:spacing w:after="0" w:line="273" w:lineRule="auto"/>
        <w:rPr>
          <w:sz w:val="20"/>
          <w:szCs w:val="20"/>
          <w:color w:val="auto"/>
        </w:rPr>
      </w:pPr>
      <w:r>
        <w:rPr>
          <w:rFonts w:ascii="Arial" w:cs="Arial" w:eastAsia="Arial" w:hAnsi="Arial"/>
          <w:sz w:val="17"/>
          <w:szCs w:val="17"/>
          <w:color w:val="auto"/>
        </w:rPr>
        <w:t>We have entered into various long-term non-cancelable operating lease agreements for equipment and facilities expiring at various times through 2026. We leased office space under non-cancelable leases in the United States, Canada, Singapore, Japan, China, France and United Kingdom, with various expiration dates through March 2026. Certain facility leases also contain rent escalation clauses. Our lease payments are expensed on a straight-line basis over the life of the leases. Rental expense under operating leases, net of amortization of lease incentives and sublease income for the three and six months ended June 30, 2017 was $1.0 million and $2.6 million, respectively. Rental expense under operating leases, net of amortization of lease incentive and sublease income for the three and six months ended June 30, 2016 was $1.8 million and $3.3 million, respectively.</w:t>
      </w:r>
    </w:p>
    <w:p>
      <w:pPr>
        <w:spacing w:after="0" w:line="178"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Future minimum lease payments and minimum sublease income under non-cancelable operating leases as of June 30, 2017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Minimum Lease</w:t>
            </w:r>
          </w:p>
        </w:tc>
        <w:tc>
          <w:tcPr>
            <w:tcW w:w="160" w:type="dxa"/>
            <w:vAlign w:val="bottom"/>
          </w:tcPr>
          <w:p>
            <w:pPr>
              <w:spacing w:after="0"/>
              <w:rPr>
                <w:sz w:val="14"/>
                <w:szCs w:val="14"/>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Minimum Sublease</w:t>
            </w:r>
          </w:p>
        </w:tc>
        <w:tc>
          <w:tcPr>
            <w:tcW w:w="0" w:type="dxa"/>
            <w:vAlign w:val="bottom"/>
          </w:tcPr>
          <w:p>
            <w:pPr>
              <w:spacing w:after="0"/>
              <w:rPr>
                <w:sz w:val="1"/>
                <w:szCs w:val="1"/>
                <w:color w:val="auto"/>
              </w:rPr>
            </w:pPr>
          </w:p>
        </w:tc>
      </w:tr>
      <w:tr>
        <w:trPr>
          <w:trHeight w:val="192"/>
        </w:trPr>
        <w:tc>
          <w:tcPr>
            <w:tcW w:w="8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440" w:type="dxa"/>
            <w:vAlign w:val="bottom"/>
          </w:tcPr>
          <w:p>
            <w:pPr>
              <w:jc w:val="right"/>
              <w:ind w:right="474"/>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50"/>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 of the year)</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17,654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9"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Since October 2015, we have been incurring legal expenses to defend claims by Thermo Fisher Scientific, Inc., (Thermo) against one of our employees. On December 21, 2015, Thermo filed a complaint in the Circuit Court for the County of Kalamazoo, Michigan against one of its former employees who had recently been hired by us alleging, among other claims, misappropriation of proprietary information and breach of contractual and fiduciary obligations to Thermo while still an employee of Thermo. On November 23,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As a result of this settlement, in the second quarter of 2017, we accrued an additional $1.0 million of legal expense. This results in an accrued amount of $2.0 million as of June 30, 2017, net of a $1.0 million insurance recovery receivable related to this matter.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we may revise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During the three and six months ended June 30, 2017, we granted certain employees options to purchase 44,500 and 764,313 shares of common stock, respectively. The options granted during the three months ended June 30, 2017 had exercise prices ranging from $4.94 to $5.87 and a total grant date fair value of $0.2 million. The options granted during the six months ended June 30, 2017 had exercise prices ranging from $4.94 to $6.78 and a total grant date fair value of $4.7 million.</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three and six months ended June 30, 2017, we granted certain employees 53,380 and 584,790 restricted stock units. The restricted stock units granted during the three months ended June 30, 2017 had fair market values ranging from $4.94 to $5.87 and a total grant date fair value of $0.3 million. The restricted stock units granted during the six months ended June 30, 2017 had a fair market value ranging from $4.94 and $6.78 and a total grant date fair value of $3.7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225" w:lineRule="exact"/>
        <w:rPr>
          <w:sz w:val="20"/>
          <w:szCs w:val="20"/>
          <w:color w:val="auto"/>
        </w:rPr>
      </w:pPr>
    </w:p>
    <w:p>
      <w:pPr>
        <w:jc w:val="both"/>
        <w:ind w:right="140" w:firstLine="432"/>
        <w:spacing w:after="0" w:line="302" w:lineRule="auto"/>
        <w:rPr>
          <w:sz w:val="20"/>
          <w:szCs w:val="20"/>
          <w:color w:val="auto"/>
        </w:rPr>
      </w:pPr>
      <w:r>
        <w:rPr>
          <w:rFonts w:ascii="Arial" w:cs="Arial" w:eastAsia="Arial" w:hAnsi="Arial"/>
          <w:sz w:val="16"/>
          <w:szCs w:val="16"/>
          <w:color w:val="auto"/>
        </w:rPr>
        <w:t>We recognized stock-based compensation expense of $2.3 million and $4.8 million during the three and six months ended June 30, 2017, respectively. We recognized stock-based compensation expense of $3.7 million and $7.4 million during the three and six months ended June 30, 2016, respectively. As of June 30, 2017, we had $5.1 million and $11.4 million of unrecognized stock-based compensation expense related to stock options and restricted stock units, respectively, which are expected to be recognized over a weighted average period of 2.7 years and 2.5 years,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2016, we granted 184,050 and 87,620 performance-based stock options and performance-based restricted stock units (each, a “performance award”), respectively,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We recognize stock-based compensation expense over the vesting period of the performance awards when achievement of the performance criteria becomes probable. We did not recognize any expense related to these performance awards in 2017 and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benefit for income taxes for the periods presented differs from the 34% U.S. Federal statutory rate primarily due to maintaining a valuation allowance for deferred tax assets, which primarily consist of net operating loss carryforwards.</w:t>
      </w:r>
    </w:p>
    <w:p>
      <w:pPr>
        <w:spacing w:after="0" w:line="17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recorded a tax benefit of $0.8 million and $2.6 million for the three and six months ended June 30, 2017, respectively, which was primarily attributable to the amortization of our acquisition-related deferred tax liability and net operating loss from Canadian operations, partially offset by a tax provision and discrete items from our foreign operations. We recorded a tax benefit of $1.0 million and $1.8 million for the three and six months ended June 30, 2016, respectively, which was primarily attributable to the amortization of our acquisition-related deferred tax liability, partially offset by a tax provision and discrete items from our foreign operations.</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Upon adoption of ASU 2016-09 (see Note 2), we recorded to the opening balance of retained earnings $9.3 million in deferred tax assets for previously unrecognized excess tax benefits that existed as of January 1, 2017, and a corresponding increase of $9.3 million in valuation allowances against these deferred tax assets as substantially all of our U.S. deferred tax assets, net of deferred tax liabilities, were subject to a full valuation allowance. The net impact to retained earnings was zero as a result of these adjustments.</w:t>
      </w:r>
    </w:p>
    <w:p>
      <w:pPr>
        <w:spacing w:after="0" w:line="187"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substantially offset by a valuation allowance because we have incurred net losses since our inception. We continue to evaluate the realizability of the deferred tax assets and related valuation allowance.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Information about Geographic Areas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one reporting segment, which is the development, manufacturing, and commercialization of life science tools.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total revenue by geographic area of our customers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15,384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17,786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2,381</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57,171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individual customer represented more than 10% of our total revenues for the three and six months ended June 30, 2017 and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both"/>
        <w:ind w:right="100" w:firstLine="405"/>
        <w:spacing w:after="0" w:line="279" w:lineRule="auto"/>
        <w:rPr>
          <w:sz w:val="20"/>
          <w:szCs w:val="20"/>
          <w:color w:val="auto"/>
        </w:rPr>
      </w:pPr>
      <w:r>
        <w:rPr>
          <w:rFonts w:ascii="Arial" w:cs="Arial" w:eastAsia="Arial" w:hAnsi="Arial"/>
          <w:sz w:val="17"/>
          <w:szCs w:val="17"/>
          <w:color w:val="auto"/>
        </w:rPr>
        <w:t>Revenue from sales to customers in China represented 12% of our total revenue, or $2.8 million, and 11% of our total revenue, or $5.2 million for the three and six months ended June 30, 2017, respectively. Revenue from sales to customers in the United Kingdom represented 12% of our total revenues, or $3.0 million for the three months ended June 30, 2017. Revenue from sales to customers in China represented 10% of our total revenue, or $2.8 million, and 11% of our total revenue, or $6.1 million for the three and six months ended June 30, 2016, respectively.</w:t>
      </w:r>
    </w:p>
    <w:p>
      <w:pPr>
        <w:spacing w:after="0" w:line="171"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Revenue from sales to customers in the United Kingdom was less than 10% of our total revenue for the six months ended June 30, 2017 as well as for the three and six months ended June 30, 2016. Except for China and United Kingdom, no other foreign location accounted for sales in excess of 10% of our total revenue during the three and six months ended June 30, 2017 and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 Subsequent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Tax Benefit Preservation Plan</w:t>
      </w:r>
    </w:p>
    <w:p>
      <w:pPr>
        <w:spacing w:after="0" w:line="225"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On August 1, 2017, the Tax Benefit Preservation Plan (Tax Plan) dated as of November 21, 2016 expired and all of the preferred share purchase rights distributed to the holders of our common stock pursuant to the Tax Plan expired.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2017 Employee Stock Purchase Plan</w:t>
      </w:r>
    </w:p>
    <w:p>
      <w:pPr>
        <w:spacing w:after="0" w:line="22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held our 2017 annual meeting of stockholders on August 1, 2017 (Annual Meeting). At the Annual Meeting, our stockholders approved the 2017 Employee Stock Purchase Plan (ESPP). A total of 1,000,000 shares of our common stock is reserved for issuance under the ESPP. Unless the administrator determines otherwise, each offering period under our ESPP has a duration of approximately six months during which an option granted pursuant to the ESPP may be exercised, (i) commencing on the first trading day on or after May 31 and November 30 of each year and terminating on or after May 31 and November 30, approximately six months later. The purchase price at which shares are sold under the ESPP is 85% of the lower of the fair market value of a share of our common stock on (1) the first day of the offering period, or (2) the last day of the offering period.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At-The-Market Offering</w:t>
      </w:r>
    </w:p>
    <w:p>
      <w:pPr>
        <w:spacing w:after="0" w:line="225" w:lineRule="exact"/>
        <w:rPr>
          <w:sz w:val="20"/>
          <w:szCs w:val="20"/>
          <w:color w:val="auto"/>
        </w:rPr>
      </w:pPr>
    </w:p>
    <w:p>
      <w:pPr>
        <w:ind w:firstLine="392"/>
        <w:spacing w:after="0" w:line="269" w:lineRule="auto"/>
        <w:rPr>
          <w:sz w:val="20"/>
          <w:szCs w:val="20"/>
          <w:color w:val="auto"/>
        </w:rPr>
      </w:pPr>
      <w:r>
        <w:rPr>
          <w:rFonts w:ascii="Arial" w:cs="Arial" w:eastAsia="Arial" w:hAnsi="Arial"/>
          <w:sz w:val="17"/>
          <w:szCs w:val="17"/>
          <w:color w:val="auto"/>
        </w:rPr>
        <w:t>On August 3, 2017, we entered into a Sales Agreement with Cowen and Company, LLC (Cowen) to sell shares of our common stock having aggregate sales proceeds of up to $30 million, from time to time, through an “at the market” equity offering program under which Cowen will act as sales agent. Under the Sales Agreement, we set the parameters for the sale of shares, including the number of shares to be issued, the time period during which sales are requested to be made, limitation on the number of shares that may be sold in any one trading day and any minimum price below which sales may not be made. Subject to the terms and conditions of the Sales Agreement, Cowen may sell the shares by methods deemed to be an “at-the-market” offering as defined in Rule 415 promulgated under the Securities Act of 1933, as amended, including sales made (i) directly on The NASDAQ Global Select Market, (ii) on any other existing trading market for the common stock or (iii) to or through a market maker. Cowen will use commercially reasonable efforts in conducting such sales activities consistent with its normal trading and sales practices, applicable state and federal laws, rules and regulations and the rules of The NASDAQ Global Select Market. The Sales Agreement may be terminated by us upon five days’ notice to Cowen for any reason or by Cowen upon five days’ notice to us for any reason or immediately under certain circumstances, including but not limited to the occurrence of a material adverse change in the Company. Under the terms of the Sales Agreement, we may also sell shares to Cowen acting as principal for Cowen’s own account at prices agreed upon at the time of sale.</w:t>
      </w:r>
    </w:p>
    <w:p>
      <w:pPr>
        <w:spacing w:after="0" w:line="180"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The Sales Agreement provides that Cowen will be entitled to compensation for its services that will not exceed, but may be lower than, 3% of the gross sales price per share of all shares sold through Cowen under the Sales Agreement. We have no obligation to sell any shares under the Sales Agreement, and may at any time suspend solicitation and offers under the Sales Agreement.</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368"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9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58"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66" w:lineRule="exact"/>
        <w:rPr>
          <w:sz w:val="20"/>
          <w:szCs w:val="20"/>
          <w:color w:val="auto"/>
        </w:rPr>
      </w:pPr>
    </w:p>
    <w:p>
      <w:pPr>
        <w:jc w:val="both"/>
        <w:ind w:right="300" w:firstLine="432"/>
        <w:spacing w:after="0" w:line="279" w:lineRule="auto"/>
        <w:rPr>
          <w:sz w:val="20"/>
          <w:szCs w:val="20"/>
          <w:color w:val="auto"/>
        </w:rPr>
      </w:pPr>
      <w:r>
        <w:rPr>
          <w:rFonts w:ascii="Arial" w:cs="Arial" w:eastAsia="Arial" w:hAnsi="Arial"/>
          <w:sz w:val="17"/>
          <w:szCs w:val="17"/>
          <w:i w:val="1"/>
          <w:iCs w:val="1"/>
          <w:color w:val="auto"/>
        </w:rPr>
        <w:t>“Fluidigm,” the Fluidigm logo, “Access Array,” “Advanta,” “Biomark,” “C1,” “Callisto,” “Cell-ID,” “CyTOF,” “D3,” “Delta Gene,” “Digital Array,” “Dynamic Array,” “EP1,” “FC1,” “Flex Six,” “Helios,” “High-Precision 96.96 Genotyping,” “Juno,” “Maxpar,” “MSL,” “Nanoflex” “Open App,” “Polaris,” “qdPCR 37K,” “Script Builder,” “Script Hub,” “Singular,” “SNP Trace” and “SNP Type” are trademarks or registered trademarks of Fluidigm Corporation. Other service marks, trademarks and trade names referred to in this Form 10-Q are the property of their respective owners.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California.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w:t>
      </w:r>
    </w:p>
    <w:p>
      <w:pPr>
        <w:spacing w:after="0" w:line="17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total revenue for the six months ended June 30, 2017 was $49.4 million. Our total revenue was $104.4 million in 2016, $114.7 million in 2015, and $116.5 million in 2014. We have incurred significant net losses since our inception in 1999 and, as of June 30, 2017, our accumulated deficit was $473.8 million.</w:t>
      </w:r>
    </w:p>
    <w:p>
      <w:pPr>
        <w:spacing w:after="0" w:line="18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At the end of 2016, we began reallocating our resources based on revenue contribution and growth expectations across our target markets, including a reorganization of our sales team and commercial leadership. As part of this shift and 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efficiently align our resources in areas providing the greatest benefit, but if our efficiency and cost reduction efforts are unsuccessful, our cash position could be negatively impacted and we may, among other things, be required to seek other sources of financing.</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On August 3, 2017, we entered into a sales agreement with Cowen and Company, LLC, or Cowen, in connection with our “at the market” equity offering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and six months ended June 30, 2017 compared to those disclosed in our Annual Report on Form 10-K for the year ended December 31, 2016, as filed with the SEC on March 3,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six months ended June 30, 2017 and 2016, and as a percentage of total revenue for the respective periods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 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8"/>
              </w:rPr>
              <w:t>Six Months Ended June 30,</w:t>
            </w:r>
          </w:p>
        </w:tc>
        <w:tc>
          <w:tcPr>
            <w:tcW w:w="900" w:type="dxa"/>
            <w:vAlign w:val="bottom"/>
            <w:tcBorders>
              <w:bottom w:val="single" w:sz="8" w:color="auto"/>
            </w:tcBorders>
          </w:tcPr>
          <w:p>
            <w:pPr>
              <w:spacing w:after="0"/>
              <w:rPr>
                <w:sz w:val="16"/>
                <w:szCs w:val="16"/>
                <w:color w:val="auto"/>
              </w:rPr>
            </w:pPr>
          </w:p>
        </w:tc>
      </w:tr>
      <w:tr>
        <w:trPr>
          <w:trHeight w:val="263"/>
        </w:trPr>
        <w:tc>
          <w:tcPr>
            <w:tcW w:w="2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49,445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11,239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21,644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rPr>
              <w:t>Cost of service revenue</w:t>
            </w: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7"/>
        </w:trPr>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r>
      <w:tr>
        <w:trPr>
          <w:trHeight w:val="229"/>
        </w:trPr>
        <w:tc>
          <w:tcPr>
            <w:tcW w:w="2240" w:type="dxa"/>
            <w:vAlign w:val="bottom"/>
          </w:tcPr>
          <w:p>
            <w:pPr>
              <w:ind w:left="180"/>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3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20,975</w:t>
            </w:r>
          </w:p>
        </w:tc>
        <w:tc>
          <w:tcPr>
            <w:tcW w:w="120" w:type="dxa"/>
            <w:vAlign w:val="bottom"/>
          </w:tcPr>
          <w:p>
            <w:pPr>
              <w:spacing w:after="0"/>
              <w:rPr>
                <w:sz w:val="20"/>
                <w:szCs w:val="20"/>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23,845</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43,551</w:t>
            </w:r>
          </w:p>
        </w:tc>
        <w:tc>
          <w:tcPr>
            <w:tcW w:w="10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49,320</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86</w:t>
            </w:r>
          </w:p>
        </w:tc>
      </w:tr>
      <w:tr>
        <w:trPr>
          <w:trHeight w:val="27"/>
        </w:trPr>
        <w:tc>
          <w:tcPr>
            <w:tcW w:w="2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46,310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83,469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94,182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165</w:t>
            </w:r>
          </w:p>
        </w:tc>
      </w:tr>
      <w:tr>
        <w:trPr>
          <w:trHeight w:val="237"/>
        </w:trPr>
        <w:tc>
          <w:tcPr>
            <w:tcW w:w="224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(16,487)</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(37,011)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(65)</w:t>
            </w:r>
          </w:p>
        </w:tc>
      </w:tr>
      <w:tr>
        <w:trPr>
          <w:trHeight w:val="27"/>
        </w:trPr>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w w:val="89"/>
              </w:rPr>
              <w:t>Other income (expense), net</w:t>
            </w: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2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w w:val="98"/>
              </w:rPr>
              <w:t>Benefit from income taxes</w:t>
            </w: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7"/>
        </w:trPr>
        <w:tc>
          <w:tcPr>
            <w:tcW w:w="2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generate revenue primarily from sales of our products and services. Our product revenue consists of sales of instruments and consumables, including IFCs, assays, and other reagents. Our service revenue consists of post-warranty service contracts, preventive maintenance plans, instrument parts, installation, and training. We also receive revenue from our license agreements with third parties. The following table presents our revenue by source for the three and six months ended June 30, 2017 and 2016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8"/>
              </w:rPr>
              <w:t>Three Months Ended June 30,</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Year-Over-Year</w:t>
            </w: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16"/>
                <w:szCs w:val="16"/>
                <w:color w:val="auto"/>
              </w:rPr>
            </w:pPr>
          </w:p>
        </w:tc>
        <w:tc>
          <w:tcPr>
            <w:tcW w:w="13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72"/>
        </w:trPr>
        <w:tc>
          <w:tcPr>
            <w:tcW w:w="3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9,928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13,195</w:t>
            </w:r>
          </w:p>
        </w:tc>
        <w:tc>
          <w:tcPr>
            <w:tcW w:w="1600" w:type="dxa"/>
            <w:vAlign w:val="bottom"/>
            <w:gridSpan w:val="3"/>
          </w:tcPr>
          <w:p>
            <w:pPr>
              <w:jc w:val="right"/>
              <w:ind w:right="68"/>
              <w:spacing w:after="0"/>
              <w:rPr>
                <w:sz w:val="20"/>
                <w:szCs w:val="20"/>
                <w:color w:val="auto"/>
              </w:rPr>
            </w:pPr>
            <w:r>
              <w:rPr>
                <w:rFonts w:ascii="Arial" w:cs="Arial" w:eastAsia="Arial" w:hAnsi="Arial"/>
                <w:sz w:val="18"/>
                <w:szCs w:val="18"/>
                <w:color w:val="auto"/>
              </w:rPr>
              <w:t>(25)%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20,665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27,009</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160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23,094</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24,733</w:t>
            </w:r>
          </w:p>
        </w:tc>
        <w:tc>
          <w:tcPr>
            <w:tcW w:w="60" w:type="dxa"/>
            <w:vAlign w:val="bottom"/>
            <w:tcBorders>
              <w:top w:val="single" w:sz="8" w:color="auto"/>
            </w:tcBorders>
          </w:tcPr>
          <w:p>
            <w:pPr>
              <w:spacing w:after="0"/>
              <w:rPr>
                <w:sz w:val="20"/>
                <w:szCs w:val="20"/>
                <w:color w:val="auto"/>
              </w:rPr>
            </w:pPr>
          </w:p>
        </w:tc>
        <w:tc>
          <w:tcPr>
            <w:tcW w:w="1540" w:type="dxa"/>
            <w:vAlign w:val="bottom"/>
            <w:gridSpan w:val="2"/>
          </w:tcPr>
          <w:p>
            <w:pPr>
              <w:jc w:val="right"/>
              <w:ind w:right="208"/>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40,807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50,103</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60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6,933</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600" w:type="dxa"/>
            <w:vAlign w:val="bottom"/>
            <w:gridSpan w:val="3"/>
          </w:tcPr>
          <w:p>
            <w:pPr>
              <w:jc w:val="right"/>
              <w:ind w:right="268"/>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23,912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28,168</w:t>
            </w:r>
          </w:p>
        </w:tc>
        <w:tc>
          <w:tcPr>
            <w:tcW w:w="16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49,445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57,171</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3"/>
          </w:tcPr>
          <w:p>
            <w:pPr>
              <w:jc w:val="right"/>
              <w:ind w:right="1328"/>
              <w:spacing w:after="0"/>
              <w:rPr>
                <w:sz w:val="20"/>
                <w:szCs w:val="20"/>
                <w:color w:val="auto"/>
              </w:rPr>
            </w:pPr>
            <w:r>
              <w:rPr>
                <w:rFonts w:ascii="Arial" w:cs="Arial" w:eastAsia="Arial" w:hAnsi="Arial"/>
                <w:sz w:val="18"/>
                <w:szCs w:val="18"/>
                <w:color w:val="auto"/>
                <w:w w:val="89"/>
              </w:rPr>
              <w:t>19</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the three and six months ended June 30, 2017 and 2016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4"/>
              </w:rPr>
              <w:t>Three Months Ended 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Year-Over-</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6"/>
                <w:szCs w:val="16"/>
                <w:b w:val="1"/>
                <w:bCs w:val="1"/>
                <w:color w:val="auto"/>
                <w:w w:val="92"/>
              </w:rPr>
              <w:t>Six Months Ended 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Year-Over-</w:t>
            </w:r>
          </w:p>
        </w:tc>
        <w:tc>
          <w:tcPr>
            <w:tcW w:w="0" w:type="dxa"/>
            <w:vAlign w:val="bottom"/>
          </w:tcPr>
          <w:p>
            <w:pPr>
              <w:spacing w:after="0"/>
              <w:rPr>
                <w:sz w:val="1"/>
                <w:szCs w:val="1"/>
                <w:color w:val="auto"/>
              </w:rPr>
            </w:pPr>
          </w:p>
        </w:tc>
      </w:tr>
      <w:tr>
        <w:trPr>
          <w:trHeight w:val="72"/>
        </w:trPr>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 Change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Change</w:t>
            </w: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13,839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23,505</w:t>
            </w: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27,013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15,384</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17,786</w:t>
            </w: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1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1,703</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28,168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57,171</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sell our instruments to leading academic research institutions, clinical research laboratories, and biopharmaceutical, biotechnology and Ag-Bio companies. Total revenue from our five largest customers comprised 21% and 16% of our total revenue for the three months ended June 30, 2017 and 2016, respectively. Total revenue from our five largest customers comprised 16% of our total revenue for both six-month periods ended June 30, 2017 and 2016,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Total revenue decreased by $4.3 million, or 15%, to $23.9 million for the three months ended June 30, 2017 compared to $28.2 million for the three months ended June 30, 2016. The decrease was primarily due to a decrease of $5.2 million in product revenue, partially offset by a $0.9 million increase in service revenue. Total revenue decreased in all geographic areas for the three months ended June 30, 2017 compared to the three months ended June 30, 2016. Revenue in the United States decreased by $2.2 million, or 16%, for the three months ended June 30, 2017 compared to the three months ended June 30,</w:t>
      </w:r>
    </w:p>
    <w:p>
      <w:pPr>
        <w:spacing w:after="0" w:line="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2016. The decrease was mainly attributable to lower mass cytometry instrument sales and lower genomics consumables sales. Revenue in the Other area decreased by $1.3 million, or 67%, for the three months ended June 30, 2017 compared to the three months ended June 30, 2016. The decrease was largely driven by overall lower instrument sales. Revenues in Europe decreased by $0.7 million, or 8%, for the three months ended June 30, 2017 compared to the three months ended June 30, 2016. The decrease was predominantly driven by lower genomics product sales, partially offset by an increase in sales of our mass cytometry products. Revenue in Asia-Pacific was slightly lower for the three months ended June 30, 2017 compared to the three months ended June 30, 2016, mainly due to lower genomics consumables sales.</w:t>
      </w:r>
    </w:p>
    <w:p>
      <w:pPr>
        <w:spacing w:after="0" w:line="179"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Total revenue decreased by $7.7 million, or 14%, to $49.4 million for the six months ended June 30, 2017 compared to $57.2 million for the six months ended June 30, 2016. The decrease was primarily due to a decrease of $9.3 million in product revenue, partially offset by a $1.6 million increase in service revenue. Total revenue decreased in all geographic areas for the six months ended June 30, 2017 compared to the six months ended June 30, 2016. Revenues in the United States decreased by $3.5 million, or 13%, for the six months ended June 30, 2017 compared to the six months ended June 30, 2016. The decrease was mainly driven by overall lower instrument and IFC sales. Revenues in Europe, Asia-Pacific and Other decreased by $2.4 million, $1.1 million and $0.7 million, or 14%, 11% and 28%, respectively, for the six months ended June 30, 2017 compared to the six months ended June 30, 2016. The decreases were predominantly driven by lower genomics instrument sales and, to a lesser extent, lower genomics consumables sales. The decreases were partially offset by an increase in sales of our mass cytometry products.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Product revenue decreased by $5.2 million, or 21%, to $19.5 million for the three months ended June 30, 2017 compared to the three months ended June 30, 2016. Instrument revenue decreased by $3.3 million, or 25%, to $9.9 million for the three months ended June 30, 2017 compared to the three months ended June 30, 2016. The decrease was primarily due to lower unit sales of our genomics instruments, particularly single-cell genomics instruments and, to a lesser extent, lower average selling prices of C1 and Helios systems. Consumables revenue decreased by $2.0 million, or 17%, to $9.6 million, for the three months ended June 30, 2017 compared to the three months ended June 30, 2016. The decrease was primarily attributable to decreased unit sales of genomics consumables, particularly IFCs, partially offset by increased sales of mass cytometry reagents.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Product revenue decreased by $9.3 million, or 19%, to $40.8 million for the six months ended June 30, 2017 compared to the six months ended June 30, 2016. Instrument revenue decreased by $6.3 million, or 23%, to $20.7 million for the six months ended June 30, 2017 compared to the six months ended June 30, 2016. The decrease was mainly due to lower unit sales of our genomics instruments, particularly single-cell genomics instruments and, to a lesser extent, lower average selling prices of C1 and Helios systems. The decrease was partially offset by sales of our new imaging mass cytometry system. Consumables revenue decreased by $3.0 million, or 13%, to $20.1 million for the six months ended June 30, 2017 compared to the six months ended June 30, 2016. The decrease was mainly attributable to decreased unit sales of genomics consumables, particularly IFCs, partially offset by increased sales of mass cytometry antibodies and reagents.</w:t>
      </w:r>
    </w:p>
    <w:p>
      <w:pPr>
        <w:spacing w:after="0" w:line="18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expect the average selling prices of our products to fluctuate over time based on market conditions, product mix, and currency fluctuations. We cannot provide assurance concerning future revenue growth, if any.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Service revenue increased by $0.9 million, or 27%, to $4.3 million for the three months ended June 30, 2017 compared to $3.4 million for the three months ended June 30, 2016. The increase was mainly driven by an increase in instruments under post-warranty service contracts and service parts as a result of growth in our instrument installed base, particularly mass cytometry instruments. Revenue from post-warranty service contracts generally lags our instruments revenue by one year. Other fee-for-service offerings, including training, installation, labor and preventive maintenance, were slightly lower during the period.</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Service revenue increased by $1.6 million, or 22%, to $8.5 million for the six months ended June 30, 2017 compared to $6.9 million for the six months ended June 30, 2016. The increase was mainly driven by an increase in instruments under post-warranty service contracts and service parts as a result of growth in our instrument installed base, particularly mass cytometry instruments. Revenue from post-warranty service contracts generally lags our instruments revenue by one year. Other fee-for-service offerings, including training, installation, labor and preventive maintenance, were slightly lower during the period.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All license revenue is generated in the United States. License revenue was relatively flat for the three and six months ended June 30, 2017 compared to the same periods in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our cost of product and service revenue and product and service margins for the three and six months ended June 30, 2017 and 2016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22,026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2,446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2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Costs related to license revenue are included in research and development expense.</w:t>
      </w:r>
    </w:p>
    <w:p>
      <w:pPr>
        <w:spacing w:after="0" w:line="154"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Cost of product revenue decreased by $0.4 million, or 4%, to $10.8 million for the three months ended June 30, 2017 compared to the three months ended June 30, 2016. Overall cost of product revenue as a percentage of related revenue was 55% and 45% for the three months ended June 30, 2017 and 2016, respectively. Product margin decreased by ten percentage points compared to the same period in 2016, largely attributable to higher unit product costs from lower production volumes, higher excess and obsolete inventory expense, fixed amortization of developed technology over lower revenues and, to a lesser extent, lower average selling prices for C1 and Helios.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Cost of product revenue decreased by $0.4 million, or 2%, to $21.6 million for the six months ended June 30, 2017 compared to the six months ended June 30, 2016. Overall cost of product revenue as a percentage of related revenue was 53% and 44% for the six months ended June 30, 2017 and 2016, respectively. Product margin decreased by nine percentage points compared to the same period in 2016, largely attributable to fixed amortization of developed technology over lower revenues, higher unit product costs from lower production volumes, higher excess and obsolete inventory expense and, to a lesser extent, lower average selling prices across most instruments and consumables.</w:t>
      </w:r>
    </w:p>
    <w:p>
      <w:pPr>
        <w:spacing w:after="0" w:line="18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Cost of service revenue decreased by $0.1 million, or 6%, to $1.2 million for the three months ended June 30, 2017 compared to the three months ended June 30, 2016. Overall cost of service revenue as a percentage of related revenue was 27% and 37% for the three months ended June 30, 2017 and 2016, respectively. The service margin increased ten percentage points during the three months ended June 30, 2017 compared to the same period in 2016, primarily driven by lower material and labor costs due to greater efficiency.</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Cost of service revenue decreased by $0.2 million, or 6%, to $2.3 million for the six months ended June 30, 2017 compared to the six months ended June 30, 2016. Overall cost of service revenue as a percentage of related revenue was 27% and 35% for the six months ended June 30, 2017 and 2016, respectively. The service margin increased eight percentage points during the six months ended June 30, 2017 compared to the same period in 2016, primarily driven by lower labor and material costs due to greater efficiency.</w:t>
      </w:r>
    </w:p>
    <w:p>
      <w:pPr>
        <w:spacing w:after="0" w:line="18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cost of product revenue and related product margin may fluctuate depending on the capacity utilization of our manufacturing facilities in response to market conditions and the demand for our products.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the three and six months ended June 30, 2017 and 2016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6"/>
                <w:szCs w:val="16"/>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Year-Over-Year</w:t>
            </w: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Year-Over-Year</w:t>
            </w:r>
          </w:p>
        </w:tc>
        <w:tc>
          <w:tcPr>
            <w:tcW w:w="0" w:type="dxa"/>
            <w:vAlign w:val="bottom"/>
          </w:tcPr>
          <w:p>
            <w:pPr>
              <w:spacing w:after="0"/>
              <w:rPr>
                <w:sz w:val="1"/>
                <w:szCs w:val="1"/>
                <w:color w:val="auto"/>
              </w:rPr>
            </w:pPr>
          </w:p>
        </w:tc>
      </w:tr>
      <w:tr>
        <w:trPr>
          <w:trHeight w:val="72"/>
        </w:trPr>
        <w:tc>
          <w:tcPr>
            <w:tcW w:w="3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9,978</w:t>
            </w: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95"/>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20,390</w:t>
            </w:r>
          </w:p>
        </w:tc>
        <w:tc>
          <w:tcPr>
            <w:tcW w:w="14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5"/>
              </w:rPr>
              <w:t>(22)%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20,975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23,845</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43,551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49,320</w:t>
            </w:r>
          </w:p>
        </w:tc>
        <w:tc>
          <w:tcPr>
            <w:tcW w:w="1480" w:type="dxa"/>
            <w:vAlign w:val="bottom"/>
            <w:gridSpan w:val="2"/>
          </w:tcPr>
          <w:p>
            <w:pPr>
              <w:ind w:left="10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28,436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33,823</w:t>
            </w: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95"/>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59,537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69,710</w:t>
            </w:r>
          </w:p>
        </w:tc>
        <w:tc>
          <w:tcPr>
            <w:tcW w:w="14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Research and development expense decreased by $2.5 million, or 25%, to $7.5 million for the three months ended June 30, 2017 compared to the three months ended June 30, 2016. The decrease was primarily attributable to the implementation of our cost-savings initiatives in the first quarter of 2017, including headcount and compensation savings of $1.4 million. In addition, we had a decrease in product material and supplies costs of $1.0 million due to higher-cost projects in the prior year period.</w:t>
      </w:r>
    </w:p>
    <w:p>
      <w:pPr>
        <w:spacing w:after="0" w:line="18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Research and development expense decreased by $4.4 million, or 22%, to $16.0 million for the six months ended June 30, 2017 compared to the six months ended June 30, 2016. The decrease was primarily attributable to the implementation of our cost-savings initiatives in the first quarter of 2017, including headcount and compensation savings of $2.2 million. In addition, we had a decrease in product material and supplies costs of $2.2 million due to higher-cost projects in the prior year period.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research and development expense to decrease in 2017 compared to 2016 as we implement efficiency and cost savings initiatives in 2017.</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Selling, general and administrative expense decreased $2.9 million, or 12%, to $21.0 million for the three months ended June 30, 2017 compared to the three months ended June 30, 2016. This decrease was primarily due to the implementation of our cost-savings initiatives in the first quarter of 2017, including headcount and compensation savings of $1.6 million and infrastructure and facilities savings of $1.2 million.</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Selling, general and administrative expense decreased $5.8 million, or 12% to $43.6 million for the six months ended June 30, 2017 compared to the six months ended June 30, 2016. This decrease was primarily due to the implementation of our cost-savings initiatives in the first quarter of 2017, including headcount and compensation savings of $1.7 million and infrastructure and facilities savings of $1.6 million. In addition, we had lower legal expenses of $1.3 million and a decrease in trade show and travel expenses of $1.2 million. These decreases were partially offset by an increase in depreciation expense of $0.9 million.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selling, general and administrative expense to decrease in 2017 compared to 2016 as we implement efficiency and cost savings initiatives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the three and six months ended June 30, 2017 and 2016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Year-Over-Year</w:t>
            </w: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3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72"/>
        </w:trPr>
        <w:tc>
          <w:tcPr>
            <w:tcW w:w="3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460" w:type="dxa"/>
            <w:vAlign w:val="bottom"/>
            <w:gridSpan w:val="2"/>
          </w:tcPr>
          <w:p>
            <w:pPr>
              <w:jc w:val="right"/>
              <w:ind w:right="102"/>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368</w:t>
            </w:r>
          </w:p>
        </w:tc>
        <w:tc>
          <w:tcPr>
            <w:tcW w:w="1480" w:type="dxa"/>
            <w:vAlign w:val="bottom"/>
            <w:gridSpan w:val="2"/>
          </w:tcPr>
          <w:p>
            <w:pPr>
              <w:jc w:val="right"/>
              <w:ind w:right="10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3,274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The Notes will mature on February 1, 2034, unless earlier converted, redeemed, or repurchased in accordance with the terms of the Notes.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was $1.5 million for both the three months ended June 30, 2017 and 2016.</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was $2.9 million for both the six months ended June 30, 2017 and 2016.</w:t>
      </w:r>
    </w:p>
    <w:p>
      <w:pPr>
        <w:spacing w:after="0" w:line="225"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Other income increased by $0.2 million for the three months ended June 30, 2017 compared to the three months ended June 30, 2016, mainly due to the net favorable effects of foreign exchange rate changes during the three months ended June 30, 2017 compared to the three months ended June 30, 2016.</w:t>
      </w:r>
    </w:p>
    <w:p>
      <w:pPr>
        <w:spacing w:after="0" w:line="124"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Other income increased by $0.6 million for the six months ended June 30, 2017 compared to the six months ended June 30, 2016, mainly due to the net favorable effects of foreign exchange rate changes during the six months ended June 30, 2017 compared to the six months ended June 30, 2016.</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recorded a tax benefit of $0.8 million and $1.0 million for the three months ended June 30, 2017 and 2016, respectively.</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tax benefit for the three months ended June 30, 2017 and 2016 was primarily attributable to the amortization of our acquisition-related deferred tax liability and losses from our Canadian operations, partially offset by other foreign tax provisions. The benefit from income taxes decreased by $0.2 million for the three months ended June 30, 2017 compared to the three months ended June 30, 2016 mainly driven by true-up adjustments resulting from the filing of tax returns in foreign jurisdictions.</w:t>
      </w:r>
    </w:p>
    <w:p>
      <w:pPr>
        <w:spacing w:after="0" w:line="190"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We recorded a tax benefit of $2.6 million and $1.8 million for the six months ended June 30, 2017 and 2016, respectively. The tax benefit for the six months ended June 30, 2017 and 2016 was primarily attributable to the amortization of our acquisition-related deferred tax liability and losses from our Canadian operations, partially offset by tax provisions. The benefit from income taxes increased by $0.8 million for the six months ended June 30, 2017 compared to the six months ended June 30, 2016 mainly driven by increased losses from our Canadian operations.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As of June 30, 2017, our principal sources of liquidity consisted of $39.6 million of cash and cash equivalents and $2.4 million of short-term investments. As of June 30, 2017, our working capital excluding deferred revenue was $53.9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21,089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21,496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6,781</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derive cash flows from operations primarily from cash collected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In the first quarter of 2017, we implemented efficiency and cost-savings initiatives and we expect these initiatives to reduce our operating expenses in 2017 compared to 2016.</w:t>
      </w:r>
    </w:p>
    <w:p>
      <w:pPr>
        <w:spacing w:after="0" w:line="15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Net cash used in operating activities for the six months ended June 30, 2017 was $16.8 million, and consisted of a net loss of $34.1 million, adjusted for non-cash adjustments of $14.0 million and net change in assets and liabilities of $3.3 million. Non-cash items primarily included amortization of developed technology of $5.6 million, stock-based compensation expense of $4.8 million, depreciation and amortization of $4.1 million, and other non-cash items of $0.4 million. The net change in assets and liabilities was primarily driven by an increase in other liabilities of $2.2 million, a decrease in inventory of $1.1 million, and a decrease in accounts receivable of $0.9 million, and an increase in accounts payable of $0.2 million, partially offset by a decrease in deferred revenue of $0.4 million, and an increase in other assets of $0.8 million.</w:t>
      </w:r>
    </w:p>
    <w:p>
      <w:pPr>
        <w:spacing w:after="0" w:line="17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Net cash used in operating activities for the six months ended June 30, 2016, was $15.1 million, and consisted of net loss of $38.5 million, adjusted for non-cash adjustments of $16.8 million, and a net change in assets and liabilities of $6.5 million. Non-cash items primarily included stock-based compensation expense of $7.4 million, amortization of developed technology of $5.6 million, depreciation and amortization of $3.2 million, and other non-cash items of $0.6 million. The net change in assets and liabilities was primarily driven by a decrease in accounts receivable of $6.0 million, an increase in other liabilities of $2.2 million and an increase in deferred revenues of $0.4 million, partially offset by a decrease of accounts payable of $1.0 million, an increase of inventory of $0.8 million, and an increase in other assets of $0.3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for demonstration units and loaner equipment to support our sales and service efforts, and computer equipment and software to support our business operations. However, as a result of our efficiency and cost-savings initiatives, we may decrease or defer certain capital expenditures and development activities, while further optimizing our organization.</w:t>
      </w:r>
    </w:p>
    <w:p>
      <w:pPr>
        <w:spacing w:after="0" w:line="188"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Net cash provided by investing activities was $21.1 million during the six months ended June 30, 2017. Net cash provided by investing activities primarily consisted of $23.4 million of proceeds from sales and maturities of investments, partially offset by purchases of investments of $1.5 million and capital expenditures of $0.8 million.</w:t>
      </w:r>
    </w:p>
    <w:p>
      <w:pPr>
        <w:spacing w:after="0" w:line="181" w:lineRule="exact"/>
        <w:rPr>
          <w:sz w:val="20"/>
          <w:szCs w:val="20"/>
          <w:color w:val="auto"/>
        </w:rPr>
      </w:pPr>
    </w:p>
    <w:p>
      <w:pPr>
        <w:jc w:val="both"/>
        <w:ind w:right="500" w:firstLine="432"/>
        <w:spacing w:after="0" w:line="286" w:lineRule="auto"/>
        <w:rPr>
          <w:sz w:val="20"/>
          <w:szCs w:val="20"/>
          <w:color w:val="auto"/>
        </w:rPr>
      </w:pPr>
      <w:r>
        <w:rPr>
          <w:rFonts w:ascii="Arial" w:cs="Arial" w:eastAsia="Arial" w:hAnsi="Arial"/>
          <w:sz w:val="17"/>
          <w:szCs w:val="17"/>
          <w:color w:val="auto"/>
        </w:rPr>
        <w:t>Net cash provided by investing activities was $21.5 million during the six months ended June 30, 2016. Net cash provided by investing activities primarily consisted of $56.4 million of proceeds from sales and maturities of investments and proceeds from the sale of the Verinata investment of $2.3 million, partially offset by purchases of investments of $34.6 million and capital expenditures of $2.7 million.</w:t>
      </w:r>
    </w:p>
    <w:p>
      <w:pPr>
        <w:spacing w:after="0" w:line="166"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December 2015. The final milestones related to the sale of Verinata to Illumina were met in December 2015 and, accordingly, we recorded our share of these milestone payment obligations in the amount of $2.3 million from the sale of investment in Verinata in the accompanying consolidated statement of operations for the year ended December 31, 2015. The $2.3 million payment was subsequently received in January 2016.</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significant financing activities for the six months ended June 30, 2017 and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At June 30, 2017, our working capital excluding deferred revenue was $53.9 million, including cash, cash equivalents, and short-term investments of $42.0 million.</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August 3 2017, we entered into a Sales Agreement with Cowen to sell shares of our common stock having aggregate sales proceeds of up to $30 million, from time to time, through an “at the market” equity offering program under which Cowen will act as sales agent. Under the Sales Agreement, we set the parameters for the sale of shares, including the number of shares to be issued, the time period during which sales are requested to be made, limitation on the number of shares that may be sold in any one trading day and any minimum price below which sales may not be made. The Sales Agreement provides that Cowen will be entitled to compensation for its services that will not exceed, but may be lower than, 3% of the gross sales price per share sold through them under the sales agreement. The Sales Agreement shall automatically terminate upon the issuance and sale of placement shares equaling sales proceeds of $30 million and may be terminated earlier by either party upon five days’ notice. We have no obligation to sell any shares under the Sales Agreement, and may at any time suspend solicitation and offers under the Sales Agreement.</w:t>
      </w:r>
    </w:p>
    <w:p>
      <w:pPr>
        <w:spacing w:after="0" w:line="17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effectiveness of our efficiency and cost reduction initiatives.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including any issuances pursuant to our "at-the-market" equity offering program under our sales agreement with Cowen,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7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more efficiently align our resources in areas providing the greatest benefit. If our efficiency and cost reduction efforts are unsuccessful, our cash position could be negatively impacted and we may, among other things, be required to seek other sources of financing.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June 30, 2017, we did not have any off-balance sheet arrangements as defined in Item 303(a)(4) of the Securities and Exchange Commission's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operating lease obligations include a lease for our current headquarters and leases for manufacturing, laboratory, warehousing and office space for our foreign subsidiaries. Please see Note 7 to the financial statements for our lease obligations.</w:t>
      </w:r>
    </w:p>
    <w:p>
      <w:pPr>
        <w:spacing w:after="0" w:line="170"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Other than as disclosed above, there have been no material changes during the six months ended June 30, 2017 to our contractual obligations disclosed in our “Management’s Discussion and Analysis of Financial Condition and Results of Operations” included in our Annual Report on Form 10-K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six months ended June 30, 2017 and 2016, our foreign currency income was nil and a loss of $0.6 million, respectively.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had cash and cash equivalents of $39.6 million at June 30, 2017. These amounts were held primarily in cash on deposit with banks and money market funds which are short-term. We had $2.4 million in investments at June 30, 2017, held primarily in U.S. government and agency securities with contractual maturity dates that are within one year from June 30, 2017.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2017,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2017 that have materially affected, or are reasonably likely to materially affect, our internal control over financial reporting.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On December 21, 2015, Thermo Fisher Scientific, Inc. (“Thermo”) filed a complaint in the Circuit Court for the County of Kalamazoo of Michigan against one of its former employees who had recently been hired by us alleging, among other claims, misappropriation of proprietary information and breach of contractual and fiduciary obligations to Thermo while still an employee of Thermo. On November 23,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As a result of this settlement, in the second quarter of 2017, we accrued an additional $1.0 million of legal expense. This results in an accrued amount of $2.0 million as of June 30, 2017, net of a $1.0 million insurance recovery receivable related to this matter.</w:t>
      </w:r>
    </w:p>
    <w:p>
      <w:pPr>
        <w:spacing w:after="0" w:line="19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Additionally, 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Our financial results and revenue growth rates have varied significantly from quarter-to-quarter and year-to-year due to a number of factors and have decreased sequentially since 2014, and a significant variance in our operating results or rates of growth, if any, could lead to substantial volatility in our stock price.</w:t>
      </w:r>
    </w:p>
    <w:p>
      <w:pPr>
        <w:spacing w:after="0" w:line="18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total revenue was $104.4 million in 2016, $114.7 million in 2015, and $116.5 million in 2014. The decrease in overall revenue was due in significant part to decreasing sales of single-cell genomics instruments, driven by a combination of factors including changes in customer demand, increased competition, and performance issues in certain IFCs used in our C1 systems, partially offset by increased revenue from mass cytometry instruments. At the end of 2016, we began reallocating our resources based on revenue contribution and growth expectations across our target markets, including a reorganization of our sales team and commercial leadership. As part of this shift and 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efficiently align our resources in areas providing the greatest benefit, but if our efficiency and cost reduction efforts are unsuccessful, our cash position could be negatively impacted and we may, among other things, be required to seek other sources of financing.</w:t>
      </w:r>
    </w:p>
    <w:p>
      <w:pPr>
        <w:spacing w:after="0" w:line="18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Sales, however, remained relatively flat in the first quarter of 2017 compared to the fourth quarter of 2016. Additionally, for the quarters ended March 31, 2015 and June 30, 2015, we experienced year-over-year revenue growth rates that were substantially lower than revenue growth rates experienced in other periods since our initial public offering, and we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experienced a year-over-year decline in revenue for the quarters ended June 30, 2017, September 30, 2016, June 30, 2016, and September 30, 2015, and for the years ended December 31,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8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return to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5"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and WaferGen Bio-systems, Inc. have products that compete in certain segments of the market in which we sell our products. In addition, we have recently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and Neogenomics (Multiomyx).</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application of our technologies to high-throughput genomics, single-cell genomics and mass cytometry applications are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If the markets for mass cytometry, single-cell genomics and production genomics do not grow, our business may be adversely affected. Additionally, our success in these markets will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70"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7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biopharmaceutical, biotechnology, Ag-Bio companies and CRO's, a reduction in which could limit our ability to sell our products and adversely affect our business.</w:t>
      </w:r>
    </w:p>
    <w:p>
      <w:pPr>
        <w:spacing w:after="0" w:line="18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manufacture all of our genomics analytical and preparatory instruments and integrated fluidic circuits, or IFCs, for commercial sale at our facility in Singapore, our mass cytometry instruments for commercial sale at our facility in Canada, and our assays and reagents for commercial sale at our facility in the United States.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6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During the six months ended June 30, 2017 and 2016, and the years ended December 31, 2016 and 2015, approximately 53%, 53%, 50% and 52%,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right="260" w:hanging="326"/>
        <w:spacing w:after="0" w:line="26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the United Kingdom submitted its required notice under the applicable treaties that it intended to leave the European Union in March 2017, which initiated a negotiation process between the United Kingdom and the European Union that could last up to two years.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189"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for the six months ended June 30, 2017 and for the years ended December 31, 2016 and 2015, we experienced foreign currency losses of nil, $1.5 million, and $1.6 million, respectively. Fluctuations in currency exchange rates could have an adverse impact on our financial results in the future.</w:t>
      </w:r>
    </w:p>
    <w:p>
      <w:pPr>
        <w:spacing w:after="0" w:line="16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20" w:hanging="320"/>
        <w:spacing w:after="0" w:line="264"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0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Helios/CyTOF 2 systems and certain metal isotopes used with the Helios/CyTOF 2 systems are purchased from sole source suppliers.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movement stage included in the Imaging Mass Cytometer is purchased from a sole source supplier.</w:t>
      </w:r>
    </w:p>
    <w:p>
      <w:pPr>
        <w:spacing w:after="0" w:line="225" w:lineRule="exact"/>
        <w:rPr>
          <w:rFonts w:ascii="Arial" w:cs="Arial" w:eastAsia="Arial" w:hAnsi="Arial"/>
          <w:sz w:val="18"/>
          <w:szCs w:val="18"/>
          <w:color w:val="auto"/>
        </w:rPr>
      </w:pPr>
    </w:p>
    <w:p>
      <w:pPr>
        <w:ind w:left="760" w:right="14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nickel sampler cone used with the Helios/CyTOF 2 systems is purchased from single source suppliers and is available from a limited number of sources.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right="52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We have a limited operating history and have incurred significant losses in each fiscal year since our inception, including net losses of $16.9 million, $34.1 million, $76.0 million, and $53.3 million during the three and six months ended June 30, 2017 and for the years ended December 31, 2016, and 2015, respectively. As of June 30, 2017, we had an accumulated deficit of $473.8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However, we recently implemented efficiency and cost-savings initiatives intended to stabilize our business operations and return to growth. These initiatives have included targeted workforce reductions and optimizing our facilities and excess space. They may also include decreasing or deferring capital expenditures and development activities. To the extent we are unable to invest sufficiently in these activities, it may impair our ability to develop, market and sell new and existing products.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8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funds by issuing equity securities, including any issuances pursuant to our "at the market" equity offering program under our sales agreement with Cowen,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 have to reduce marketing, customer support, research and development or other resources devoted to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As of June 30, 2017, we had approximately $184.5 million of goodwill and net intangible assets, including approximately $104.1 million of goodwill and approximately $80.4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5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are dependent upon our new senior management team and the ability of our other new employees to learn their new roles.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222"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Our performance is substantially dependent on the performance of our senior management, which has substantially changed over the last year, including, for example, the recent departures of our Chief Executive Officer, Gajus Worthington, and Executive Vice President, Research and Development and Marketing, Marc Unger. We have a new president and chief executive officer who started in August 2016 and several other members of our senior management team have started at Fluidigm since mid-2016.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69"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54"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4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16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our Biomark, EP1, and Helios/CyTOF 2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If we seek to be regulated as a medical device manufacturer by the U.S. Food and Drug Administration, or FDA,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19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We are currently assessing whether and when to make an initial registration.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7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25"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78"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8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6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25" w:lineRule="exact"/>
        <w:rPr>
          <w:sz w:val="20"/>
          <w:szCs w:val="20"/>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40" w:hanging="320"/>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 our European intercompany transactions, which is likely to increase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 build an efficient and effective sales and marketing force, which could negatively impact sales of our products and reduce our revenue and profitability.</w:t>
      </w:r>
    </w:p>
    <w:p>
      <w:pPr>
        <w:spacing w:after="0" w:line="24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16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88"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relating to Revenue from Contracts with Customers which supersedes nearly all existing U.S. GAAP revenue recognition guidance. The new guidance will be effective for our fiscal year 2018. The new revenue guidance may be applied retrospectively to each prior period presented or retrospectively with the cumulative effect recognized as of the date of adoption. While we have not completed our assessment of the new revenue guidance, we currently expect that this new guidance will not have a material impact on our consolidated financial statements. As we complete the evaluation of this new guidance, new information may arise that could change our current understanding of the impact to revenue and expense recognized. Additionally, we will continue to monitor industry activities and any additional guidance provided by regulators, standards setters, or the accounting profession and adjust our assessment and implementation plans accordingly.</w:t>
      </w:r>
    </w:p>
    <w:p>
      <w:pPr>
        <w:spacing w:after="0" w:line="175"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66"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212121"/>
        </w:rPr>
        <w:t>382 of the Internal Revenue Code of 1986, as amended, referred to as the “Code,” imposes an annual limitation on the amount of taxable</w:t>
      </w:r>
      <w:r>
        <w:rPr>
          <w:rFonts w:ascii="Arial" w:cs="Arial" w:eastAsia="Arial" w:hAnsi="Arial"/>
          <w:sz w:val="18"/>
          <w:szCs w:val="18"/>
          <w:color w:val="auto"/>
        </w:rPr>
        <w:t xml:space="preserve"> </w:t>
      </w:r>
      <w:r>
        <w:rPr>
          <w:rFonts w:ascii="Arial" w:cs="Arial" w:eastAsia="Arial" w:hAnsi="Arial"/>
          <w:sz w:val="18"/>
          <w:szCs w:val="18"/>
          <w:color w:val="212121"/>
        </w:rPr>
        <w:t>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r>
        <w:rPr>
          <w:rFonts w:ascii="Arial" w:cs="Arial" w:eastAsia="Arial" w:hAnsi="Arial"/>
          <w:sz w:val="18"/>
          <w:szCs w:val="18"/>
          <w:color w:val="000000"/>
        </w:rPr>
        <w:t>.</w:t>
      </w:r>
    </w:p>
    <w:p>
      <w:pPr>
        <w:spacing w:after="0" w:line="18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color w:val="212121"/>
        </w:rPr>
        <w:t>we experience an ownership change, our ability to use our NOLs, any loss or deduction attributable to a “net unrealized built-in loss” and other tax</w:t>
      </w:r>
      <w:r>
        <w:rPr>
          <w:rFonts w:ascii="Arial" w:cs="Arial" w:eastAsia="Arial" w:hAnsi="Arial"/>
          <w:sz w:val="18"/>
          <w:szCs w:val="18"/>
          <w:color w:val="auto"/>
        </w:rPr>
        <w:t xml:space="preserve"> </w:t>
      </w:r>
      <w:r>
        <w:rPr>
          <w:rFonts w:ascii="Arial" w:cs="Arial" w:eastAsia="Arial" w:hAnsi="Arial"/>
          <w:sz w:val="18"/>
          <w:szCs w:val="18"/>
          <w:color w:val="212121"/>
        </w:rPr>
        <w:t>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8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12121"/>
        </w:rPr>
        <w:t>believe that these tax benefits are a valuable asset for us. On November 21, 2016, our board of directors approved a tax benefit preservation plan, or</w:t>
      </w:r>
      <w:r>
        <w:rPr>
          <w:rFonts w:ascii="Arial" w:cs="Arial" w:eastAsia="Arial" w:hAnsi="Arial"/>
          <w:sz w:val="16"/>
          <w:szCs w:val="16"/>
          <w:color w:val="auto"/>
        </w:rPr>
        <w:t xml:space="preserve"> </w:t>
      </w:r>
      <w:r>
        <w:rPr>
          <w:rFonts w:ascii="Arial" w:cs="Arial" w:eastAsia="Arial" w:hAnsi="Arial"/>
          <w:sz w:val="16"/>
          <w:szCs w:val="16"/>
          <w:color w:val="212121"/>
        </w:rPr>
        <w:t xml:space="preserve">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 382. Our board of directors will continue to monitor our NOLs, however, and could elect to adopt a similar plan if it believes a potential risk exists that our NOLs could be limited. </w:t>
      </w:r>
      <w:r>
        <w:rPr>
          <w:rFonts w:ascii="Arial" w:cs="Arial" w:eastAsia="Arial" w:hAnsi="Arial"/>
          <w:sz w:val="16"/>
          <w:szCs w:val="16"/>
          <w:color w:val="000000"/>
        </w:rPr>
        <w:t>Any future</w:t>
      </w:r>
      <w:r>
        <w:rPr>
          <w:rFonts w:ascii="Arial" w:cs="Arial" w:eastAsia="Arial" w:hAnsi="Arial"/>
          <w:sz w:val="16"/>
          <w:szCs w:val="16"/>
          <w:color w:val="212121"/>
        </w:rPr>
        <w:t xml:space="preserve"> tax benefit preservation plan could make it more difficult for a third party to acquire, or could discourage a third party from acquiring, us or a large block of our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97"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may be subject to information technology failures, including data protection breaches and cyber-attacks, that could disrupt our operations, damage our reputation and adversely affect our business, operations, and financial results.</w:t>
      </w:r>
    </w:p>
    <w:p>
      <w:pPr>
        <w:spacing w:after="0" w:line="16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rely on our information technology systems for the effective operation of our business and for the secure maintenance and storage of confidential data relating to our business and third 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78"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June 30, 2017, we had 29,414,727 shares of common stock outstanding, and stockholders holding at least 5% of our stock, individually or with affiliated persons or entities, collectively beneficially owned or controlled approximately 57.1%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the life science, Ag-Bio, and CRO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8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6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24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00" w:hanging="320"/>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94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5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0"/>
              </w:rPr>
              <w:t>Sales Agreement, dated as of August 3, 2017, between Fluidigm Corporation and</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Cowen and Company, LLC.</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Eighth Amended and Restated Certificate of Incorporation of Fluidigm</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Corporation filed on February 15, 2011.</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w w:val="98"/>
              </w:rPr>
              <w:t>Certificate of Designation of Rights, Preferences and Privileges of Series A</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Participating Preferred Stock.</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240" w:type="dxa"/>
            <w:vAlign w:val="bottom"/>
          </w:tcPr>
          <w:p>
            <w:pPr>
              <w:ind w:lef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Certificate of Elimination.</w:t>
            </w:r>
          </w:p>
        </w:tc>
        <w:tc>
          <w:tcPr>
            <w:tcW w:w="0" w:type="dxa"/>
            <w:vAlign w:val="bottom"/>
          </w:tcPr>
          <w:p>
            <w:pPr>
              <w:spacing w:after="0"/>
              <w:rPr>
                <w:sz w:val="1"/>
                <w:szCs w:val="1"/>
                <w:color w:val="auto"/>
              </w:rPr>
            </w:pPr>
          </w:p>
        </w:tc>
      </w:tr>
      <w:tr>
        <w:trPr>
          <w:trHeight w:val="392"/>
        </w:trPr>
        <w:tc>
          <w:tcPr>
            <w:tcW w:w="124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Specimen Common Stock Certificate of Fluidigm Corporation.</w:t>
            </w:r>
          </w:p>
        </w:tc>
        <w:tc>
          <w:tcPr>
            <w:tcW w:w="0" w:type="dxa"/>
            <w:vAlign w:val="bottom"/>
          </w:tcPr>
          <w:p>
            <w:pPr>
              <w:spacing w:after="0"/>
              <w:rPr>
                <w:sz w:val="1"/>
                <w:szCs w:val="1"/>
                <w:color w:val="auto"/>
              </w:rPr>
            </w:pPr>
          </w:p>
        </w:tc>
      </w:tr>
      <w:tr>
        <w:trPr>
          <w:trHeight w:val="490"/>
        </w:trPr>
        <w:tc>
          <w:tcPr>
            <w:tcW w:w="1240" w:type="dxa"/>
            <w:vAlign w:val="bottom"/>
          </w:tcPr>
          <w:p>
            <w:pPr>
              <w:ind w:left="40"/>
              <w:spacing w:after="0"/>
              <w:rPr>
                <w:sz w:val="20"/>
                <w:szCs w:val="20"/>
                <w:color w:val="auto"/>
              </w:rPr>
            </w:pPr>
            <w:r>
              <w:rPr>
                <w:rFonts w:ascii="Arial" w:cs="Arial" w:eastAsia="Arial" w:hAnsi="Arial"/>
                <w:sz w:val="18"/>
                <w:szCs w:val="18"/>
                <w:color w:val="auto"/>
              </w:rPr>
              <w:t>10.1</w:t>
            </w:r>
            <w:r>
              <w:rPr>
                <w:rFonts w:ascii="Arial" w:cs="Arial" w:eastAsia="Arial" w:hAnsi="Arial"/>
                <w:sz w:val="25"/>
                <w:szCs w:val="25"/>
                <w:color w:val="auto"/>
                <w:vertAlign w:val="superscript"/>
              </w:rPr>
              <w:t>*</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Fluidigm Corporation 2017 Employee Stock Purchase Plan.</w:t>
            </w:r>
          </w:p>
        </w:tc>
        <w:tc>
          <w:tcPr>
            <w:tcW w:w="0" w:type="dxa"/>
            <w:vAlign w:val="bottom"/>
          </w:tcPr>
          <w:p>
            <w:pPr>
              <w:spacing w:after="0"/>
              <w:rPr>
                <w:sz w:val="1"/>
                <w:szCs w:val="1"/>
                <w:color w:val="auto"/>
              </w:rPr>
            </w:pPr>
          </w:p>
        </w:tc>
      </w:tr>
      <w:tr>
        <w:trPr>
          <w:trHeight w:val="279"/>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w w:val="98"/>
              </w:rPr>
              <w:t>Amendments to the Fluidigm Corporation 2011 Equity Incentive Plan, 2009</w:t>
            </w:r>
          </w:p>
        </w:tc>
        <w:tc>
          <w:tcPr>
            <w:tcW w:w="0" w:type="dxa"/>
            <w:vAlign w:val="bottom"/>
          </w:tcPr>
          <w:p>
            <w:pPr>
              <w:spacing w:after="0"/>
              <w:rPr>
                <w:sz w:val="1"/>
                <w:szCs w:val="1"/>
                <w:color w:val="auto"/>
              </w:rPr>
            </w:pPr>
          </w:p>
        </w:tc>
      </w:tr>
      <w:tr>
        <w:trPr>
          <w:trHeight w:val="216"/>
        </w:trPr>
        <w:tc>
          <w:tcPr>
            <w:tcW w:w="1240" w:type="dxa"/>
            <w:vAlign w:val="bottom"/>
          </w:tcPr>
          <w:p>
            <w:pPr>
              <w:ind w:left="40"/>
              <w:spacing w:after="0" w:line="216" w:lineRule="exact"/>
              <w:rPr>
                <w:sz w:val="20"/>
                <w:szCs w:val="20"/>
                <w:color w:val="auto"/>
              </w:rPr>
            </w:pPr>
            <w:r>
              <w:rPr>
                <w:rFonts w:ascii="Arial" w:cs="Arial" w:eastAsia="Arial" w:hAnsi="Arial"/>
                <w:sz w:val="18"/>
                <w:szCs w:val="18"/>
                <w:color w:val="auto"/>
              </w:rPr>
              <w:t>10.2</w:t>
            </w:r>
            <w:r>
              <w:rPr>
                <w:rFonts w:ascii="Arial" w:cs="Arial" w:eastAsia="Arial" w:hAnsi="Arial"/>
                <w:sz w:val="25"/>
                <w:szCs w:val="25"/>
                <w:color w:val="auto"/>
                <w:vertAlign w:val="superscript"/>
              </w:rPr>
              <w:t>*</w:t>
            </w:r>
          </w:p>
        </w:tc>
        <w:tc>
          <w:tcPr>
            <w:tcW w:w="10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w w:val="93"/>
              </w:rPr>
              <w:t>Equity Incentive Plan, and 1999 Stock Option Plan and the DVS Sciences, Inc.</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2010 Equity Incentive Plan.</w:t>
            </w: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w w:val="94"/>
              </w:rPr>
              <w:t>Eighth Amendment to Lease Agreement between ARE-San Francisco No. 17,</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LLC and Fluidigm Corporation, dated August 2, 2017.</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Section 302 of the Sarbanes-Oxley Act of 2002 of Chief Executive Officer</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Section 302 of the Sarbanes-Oxley Act of 2002 of Chief Financial Officer</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Section 906 of the Sarbanes-Oxley Act of 2002 of Chief Executive Officer</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Section 906 of the Sarbanes-Oxley Act of 2002 of Chief Financial Officer</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94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92"/>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9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 Indicates a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Incorporated by</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Reference From</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47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608"/>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60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11/22/2016</w:t>
            </w:r>
          </w:p>
        </w:tc>
        <w:tc>
          <w:tcPr>
            <w:tcW w:w="0" w:type="dxa"/>
            <w:vAlign w:val="bottom"/>
          </w:tcPr>
          <w:p>
            <w:pPr>
              <w:spacing w:after="0"/>
              <w:rPr>
                <w:sz w:val="1"/>
                <w:szCs w:val="1"/>
                <w:color w:val="auto"/>
              </w:rPr>
            </w:pPr>
          </w:p>
        </w:tc>
      </w:tr>
      <w:tr>
        <w:trPr>
          <w:trHeight w:val="50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392"/>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39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60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7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608"/>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Furnished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herewith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Furnished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herewith</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385" w:lineRule="exact"/>
        <w:rPr>
          <w:sz w:val="20"/>
          <w:szCs w:val="20"/>
          <w:color w:val="auto"/>
        </w:rPr>
      </w:pPr>
    </w:p>
    <w:p>
      <w:pPr>
        <w:sectPr>
          <w:pgSz w:w="11900" w:h="16838" w:orient="portrait"/>
          <w:cols w:equalWidth="0" w:num="2">
            <w:col w:w="7280" w:space="120"/>
            <w:col w:w="4020"/>
          </w:cols>
          <w:pgMar w:left="240" w:top="125" w:right="239" w:bottom="1440" w:gutter="0" w:footer="0" w:header="0"/>
        </w:sectPr>
      </w:pPr>
    </w:p>
    <w:p>
      <w:pPr>
        <w:spacing w:after="0" w:line="33" w:lineRule="exact"/>
        <w:rPr>
          <w:sz w:val="20"/>
          <w:szCs w:val="20"/>
          <w:color w:val="auto"/>
        </w:rPr>
      </w:pPr>
    </w:p>
    <w:p>
      <w:pPr>
        <w:ind w:left="620" w:right="80" w:hanging="585"/>
        <w:spacing w:after="0" w:line="324" w:lineRule="auto"/>
        <w:tabs>
          <w:tab w:leader="none" w:pos="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August 8, 2017</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August 8, 2017</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20"/>
          </w:cols>
          <w:pgMar w:left="240" w:top="125" w:right="9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9"/>
        </w:trPr>
        <w:tc>
          <w:tcPr>
            <w:tcW w:w="1240" w:type="dxa"/>
            <w:vAlign w:val="bottom"/>
            <w:gridSpan w:val="2"/>
            <w:vMerge w:val="continue"/>
          </w:tcPr>
          <w:p>
            <w:pPr>
              <w:spacing w:after="0"/>
              <w:rPr>
                <w:sz w:val="12"/>
                <w:szCs w:val="12"/>
                <w:color w:val="auto"/>
              </w:rPr>
            </w:pPr>
          </w:p>
        </w:tc>
        <w:tc>
          <w:tcPr>
            <w:tcW w:w="592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9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720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10160" w:space="540"/>
            <w:col w:w="680"/>
          </w:cols>
          <w:pgMar w:left="240" w:top="125" w:right="279" w:bottom="1440" w:gutter="0" w:footer="0" w:header="0"/>
        </w:sectPr>
      </w:pPr>
    </w:p>
    <w:tbl>
      <w:tblPr>
        <w:tblLayout w:type="fixed"/>
        <w:tblInd w:w="40" w:type="dxa"/>
        <w:tblCellMar>
          <w:top w:w="0" w:type="dxa"/>
          <w:left w:w="0" w:type="dxa"/>
          <w:bottom w:w="0" w:type="dxa"/>
          <w:right w:w="0" w:type="dxa"/>
        </w:tblCellMar>
      </w:tblPr>
      <w:tr>
        <w:trPr>
          <w:trHeight w:val="216"/>
        </w:trPr>
        <w:tc>
          <w:tcPr>
            <w:tcW w:w="940" w:type="dxa"/>
            <w:vAlign w:val="bottom"/>
            <w:vMerge w:val="restart"/>
          </w:tcPr>
          <w:p>
            <w:pPr>
              <w:spacing w:after="0"/>
              <w:rPr>
                <w:sz w:val="20"/>
                <w:szCs w:val="20"/>
                <w:color w:val="auto"/>
              </w:rPr>
            </w:pPr>
            <w:r>
              <w:rPr>
                <w:rFonts w:ascii="Arial" w:cs="Arial" w:eastAsia="Arial" w:hAnsi="Arial"/>
                <w:sz w:val="18"/>
                <w:szCs w:val="18"/>
                <w:color w:val="auto"/>
              </w:rPr>
              <w:t>1.1</w:t>
            </w:r>
          </w:p>
        </w:tc>
        <w:tc>
          <w:tcPr>
            <w:tcW w:w="6140" w:type="dxa"/>
            <w:vAlign w:val="bottom"/>
          </w:tcPr>
          <w:p>
            <w:pPr>
              <w:ind w:left="280"/>
              <w:spacing w:after="0"/>
              <w:rPr>
                <w:sz w:val="20"/>
                <w:szCs w:val="20"/>
                <w:color w:val="auto"/>
              </w:rPr>
            </w:pPr>
            <w:r>
              <w:rPr>
                <w:rFonts w:ascii="Arial" w:cs="Arial" w:eastAsia="Arial" w:hAnsi="Arial"/>
                <w:sz w:val="18"/>
                <w:szCs w:val="18"/>
                <w:color w:val="auto"/>
                <w:w w:val="90"/>
              </w:rPr>
              <w:t>Sales Agreement, dated as of August 3, 2017, between Fluidigm Corporation and</w:t>
            </w: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6140" w:type="dxa"/>
            <w:vAlign w:val="bottom"/>
            <w:vMerge w:val="restart"/>
          </w:tcPr>
          <w:p>
            <w:pPr>
              <w:ind w:left="280"/>
              <w:spacing w:after="0"/>
              <w:rPr>
                <w:sz w:val="20"/>
                <w:szCs w:val="20"/>
                <w:color w:val="auto"/>
              </w:rPr>
            </w:pPr>
            <w:r>
              <w:rPr>
                <w:rFonts w:ascii="Arial" w:cs="Arial" w:eastAsia="Arial" w:hAnsi="Arial"/>
                <w:sz w:val="18"/>
                <w:szCs w:val="18"/>
                <w:color w:val="auto"/>
              </w:rPr>
              <w:t>Cowen and Company, LLC.</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6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940" w:type="dxa"/>
            <w:vAlign w:val="bottom"/>
            <w:vMerge w:val="restart"/>
          </w:tcPr>
          <w:p>
            <w:pPr>
              <w:spacing w:after="0"/>
              <w:rPr>
                <w:sz w:val="20"/>
                <w:szCs w:val="20"/>
                <w:color w:val="auto"/>
              </w:rPr>
            </w:pPr>
            <w:r>
              <w:rPr>
                <w:rFonts w:ascii="Arial" w:cs="Arial" w:eastAsia="Arial" w:hAnsi="Arial"/>
                <w:sz w:val="18"/>
                <w:szCs w:val="18"/>
                <w:color w:val="auto"/>
              </w:rPr>
              <w:t>3.1</w:t>
            </w:r>
          </w:p>
        </w:tc>
        <w:tc>
          <w:tcPr>
            <w:tcW w:w="6140" w:type="dxa"/>
            <w:vAlign w:val="bottom"/>
          </w:tcPr>
          <w:p>
            <w:pPr>
              <w:ind w:left="280"/>
              <w:spacing w:after="0"/>
              <w:rPr>
                <w:sz w:val="20"/>
                <w:szCs w:val="20"/>
                <w:color w:val="auto"/>
              </w:rPr>
            </w:pPr>
            <w:r>
              <w:rPr>
                <w:rFonts w:ascii="Arial" w:cs="Arial" w:eastAsia="Arial" w:hAnsi="Arial"/>
                <w:sz w:val="18"/>
                <w:szCs w:val="18"/>
                <w:color w:val="auto"/>
              </w:rPr>
              <w:t>Eighth Amended and Restated Certificate of Incorporation of Fluidigm</w:t>
            </w: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6140" w:type="dxa"/>
            <w:vAlign w:val="bottom"/>
            <w:vMerge w:val="restart"/>
          </w:tcPr>
          <w:p>
            <w:pPr>
              <w:ind w:left="280"/>
              <w:spacing w:after="0"/>
              <w:rPr>
                <w:sz w:val="20"/>
                <w:szCs w:val="20"/>
                <w:color w:val="auto"/>
              </w:rPr>
            </w:pPr>
            <w:r>
              <w:rPr>
                <w:rFonts w:ascii="Arial" w:cs="Arial" w:eastAsia="Arial" w:hAnsi="Arial"/>
                <w:sz w:val="18"/>
                <w:szCs w:val="18"/>
                <w:color w:val="auto"/>
              </w:rPr>
              <w:t>Corporation filed on February 15, 2011.</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6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940" w:type="dxa"/>
            <w:vAlign w:val="bottom"/>
            <w:vMerge w:val="restart"/>
          </w:tcPr>
          <w:p>
            <w:pPr>
              <w:spacing w:after="0"/>
              <w:rPr>
                <w:sz w:val="20"/>
                <w:szCs w:val="20"/>
                <w:color w:val="auto"/>
              </w:rPr>
            </w:pPr>
            <w:r>
              <w:rPr>
                <w:rFonts w:ascii="Arial" w:cs="Arial" w:eastAsia="Arial" w:hAnsi="Arial"/>
                <w:sz w:val="18"/>
                <w:szCs w:val="18"/>
                <w:color w:val="auto"/>
              </w:rPr>
              <w:t>3.2</w:t>
            </w:r>
          </w:p>
        </w:tc>
        <w:tc>
          <w:tcPr>
            <w:tcW w:w="6140" w:type="dxa"/>
            <w:vAlign w:val="bottom"/>
          </w:tcPr>
          <w:p>
            <w:pPr>
              <w:ind w:left="280"/>
              <w:spacing w:after="0"/>
              <w:rPr>
                <w:sz w:val="20"/>
                <w:szCs w:val="20"/>
                <w:color w:val="auto"/>
              </w:rPr>
            </w:pPr>
            <w:r>
              <w:rPr>
                <w:rFonts w:ascii="Arial" w:cs="Arial" w:eastAsia="Arial" w:hAnsi="Arial"/>
                <w:sz w:val="18"/>
                <w:szCs w:val="18"/>
                <w:color w:val="auto"/>
                <w:w w:val="98"/>
              </w:rPr>
              <w:t>Certificate of Designation of Rights, Preferences and Privileges of Series A</w:t>
            </w: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6140" w:type="dxa"/>
            <w:vAlign w:val="bottom"/>
            <w:vMerge w:val="restart"/>
          </w:tcPr>
          <w:p>
            <w:pPr>
              <w:ind w:left="280"/>
              <w:spacing w:after="0"/>
              <w:rPr>
                <w:sz w:val="20"/>
                <w:szCs w:val="20"/>
                <w:color w:val="auto"/>
              </w:rPr>
            </w:pPr>
            <w:r>
              <w:rPr>
                <w:rFonts w:ascii="Arial" w:cs="Arial" w:eastAsia="Arial" w:hAnsi="Arial"/>
                <w:sz w:val="18"/>
                <w:szCs w:val="18"/>
                <w:color w:val="auto"/>
              </w:rPr>
              <w:t>Participating Preferred Stock.</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6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3.3</w:t>
            </w:r>
          </w:p>
        </w:tc>
        <w:tc>
          <w:tcPr>
            <w:tcW w:w="6140" w:type="dxa"/>
            <w:vAlign w:val="bottom"/>
          </w:tcPr>
          <w:p>
            <w:pPr>
              <w:ind w:left="280"/>
              <w:spacing w:after="0"/>
              <w:rPr>
                <w:sz w:val="20"/>
                <w:szCs w:val="20"/>
                <w:color w:val="auto"/>
              </w:rPr>
            </w:pPr>
            <w:r>
              <w:rPr>
                <w:rFonts w:ascii="Arial" w:cs="Arial" w:eastAsia="Arial" w:hAnsi="Arial"/>
                <w:sz w:val="18"/>
                <w:szCs w:val="18"/>
                <w:color w:val="auto"/>
              </w:rPr>
              <w:t>Certificate of Elimination.</w:t>
            </w:r>
          </w:p>
        </w:tc>
        <w:tc>
          <w:tcPr>
            <w:tcW w:w="0" w:type="dxa"/>
            <w:vAlign w:val="bottom"/>
          </w:tcPr>
          <w:p>
            <w:pPr>
              <w:spacing w:after="0"/>
              <w:rPr>
                <w:sz w:val="1"/>
                <w:szCs w:val="1"/>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6140" w:type="dxa"/>
            <w:vAlign w:val="bottom"/>
          </w:tcPr>
          <w:p>
            <w:pPr>
              <w:ind w:left="280"/>
              <w:spacing w:after="0"/>
              <w:rPr>
                <w:sz w:val="20"/>
                <w:szCs w:val="20"/>
                <w:color w:val="auto"/>
              </w:rPr>
            </w:pPr>
            <w:r>
              <w:rPr>
                <w:rFonts w:ascii="Arial" w:cs="Arial" w:eastAsia="Arial" w:hAnsi="Arial"/>
                <w:sz w:val="18"/>
                <w:szCs w:val="18"/>
                <w:color w:val="auto"/>
              </w:rPr>
              <w:t>Specimen Common Stock Certificate of Fluidigm Corporation.</w:t>
            </w:r>
          </w:p>
        </w:tc>
        <w:tc>
          <w:tcPr>
            <w:tcW w:w="0" w:type="dxa"/>
            <w:vAlign w:val="bottom"/>
          </w:tcPr>
          <w:p>
            <w:pPr>
              <w:spacing w:after="0"/>
              <w:rPr>
                <w:sz w:val="1"/>
                <w:szCs w:val="1"/>
                <w:color w:val="auto"/>
              </w:rPr>
            </w:pPr>
          </w:p>
        </w:tc>
      </w:tr>
      <w:tr>
        <w:trPr>
          <w:trHeight w:val="490"/>
        </w:trPr>
        <w:tc>
          <w:tcPr>
            <w:tcW w:w="94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25"/>
                <w:szCs w:val="25"/>
                <w:color w:val="auto"/>
                <w:vertAlign w:val="superscript"/>
              </w:rPr>
              <w:t>*</w:t>
            </w:r>
          </w:p>
        </w:tc>
        <w:tc>
          <w:tcPr>
            <w:tcW w:w="6140" w:type="dxa"/>
            <w:vAlign w:val="bottom"/>
          </w:tcPr>
          <w:p>
            <w:pPr>
              <w:ind w:left="280"/>
              <w:spacing w:after="0"/>
              <w:rPr>
                <w:sz w:val="20"/>
                <w:szCs w:val="20"/>
                <w:color w:val="auto"/>
              </w:rPr>
            </w:pPr>
            <w:r>
              <w:rPr>
                <w:rFonts w:ascii="Arial" w:cs="Arial" w:eastAsia="Arial" w:hAnsi="Arial"/>
                <w:sz w:val="18"/>
                <w:szCs w:val="18"/>
                <w:color w:val="auto"/>
              </w:rPr>
              <w:t>Fluidigm Corporation 2017 Employee Stock Purchase Plan.</w:t>
            </w:r>
          </w:p>
        </w:tc>
        <w:tc>
          <w:tcPr>
            <w:tcW w:w="0" w:type="dxa"/>
            <w:vAlign w:val="bottom"/>
          </w:tcPr>
          <w:p>
            <w:pPr>
              <w:spacing w:after="0"/>
              <w:rPr>
                <w:sz w:val="1"/>
                <w:szCs w:val="1"/>
                <w:color w:val="auto"/>
              </w:rPr>
            </w:pPr>
          </w:p>
        </w:tc>
      </w:tr>
      <w:tr>
        <w:trPr>
          <w:trHeight w:val="279"/>
        </w:trPr>
        <w:tc>
          <w:tcPr>
            <w:tcW w:w="940" w:type="dxa"/>
            <w:vAlign w:val="bottom"/>
          </w:tcPr>
          <w:p>
            <w:pPr>
              <w:spacing w:after="0"/>
              <w:rPr>
                <w:sz w:val="24"/>
                <w:szCs w:val="24"/>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w w:val="97"/>
              </w:rPr>
              <w:t>Amendments to the Fluidigm Corporation 2011 Equity Incentive Plan, 2009</w:t>
            </w:r>
          </w:p>
        </w:tc>
        <w:tc>
          <w:tcPr>
            <w:tcW w:w="0" w:type="dxa"/>
            <w:vAlign w:val="bottom"/>
          </w:tcPr>
          <w:p>
            <w:pPr>
              <w:spacing w:after="0"/>
              <w:rPr>
                <w:sz w:val="1"/>
                <w:szCs w:val="1"/>
                <w:color w:val="auto"/>
              </w:rPr>
            </w:pPr>
          </w:p>
        </w:tc>
      </w:tr>
      <w:tr>
        <w:trPr>
          <w:trHeight w:val="216"/>
        </w:trPr>
        <w:tc>
          <w:tcPr>
            <w:tcW w:w="940" w:type="dxa"/>
            <w:vAlign w:val="bottom"/>
          </w:tcPr>
          <w:p>
            <w:pPr>
              <w:spacing w:after="0" w:line="216" w:lineRule="exact"/>
              <w:rPr>
                <w:sz w:val="20"/>
                <w:szCs w:val="20"/>
                <w:color w:val="auto"/>
              </w:rPr>
            </w:pPr>
            <w:r>
              <w:rPr>
                <w:rFonts w:ascii="Arial" w:cs="Arial" w:eastAsia="Arial" w:hAnsi="Arial"/>
                <w:sz w:val="18"/>
                <w:szCs w:val="18"/>
                <w:color w:val="auto"/>
              </w:rPr>
              <w:t>10.2</w:t>
            </w:r>
            <w:r>
              <w:rPr>
                <w:rFonts w:ascii="Arial" w:cs="Arial" w:eastAsia="Arial" w:hAnsi="Arial"/>
                <w:sz w:val="25"/>
                <w:szCs w:val="25"/>
                <w:color w:val="auto"/>
                <w:vertAlign w:val="superscript"/>
              </w:rPr>
              <w:t>*</w:t>
            </w:r>
          </w:p>
        </w:tc>
        <w:tc>
          <w:tcPr>
            <w:tcW w:w="6140" w:type="dxa"/>
            <w:vAlign w:val="bottom"/>
          </w:tcPr>
          <w:p>
            <w:pPr>
              <w:ind w:left="280"/>
              <w:spacing w:after="0"/>
              <w:rPr>
                <w:sz w:val="20"/>
                <w:szCs w:val="20"/>
                <w:color w:val="auto"/>
              </w:rPr>
            </w:pPr>
            <w:r>
              <w:rPr>
                <w:rFonts w:ascii="Arial" w:cs="Arial" w:eastAsia="Arial" w:hAnsi="Arial"/>
                <w:sz w:val="18"/>
                <w:szCs w:val="18"/>
                <w:color w:val="auto"/>
                <w:w w:val="93"/>
              </w:rPr>
              <w:t>Equity Incentive Plan, and 1999 Stock Option Plan and the DVS Sciences, Inc.</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rPr>
              <w:t>2010 Equity Incentive Plan.</w:t>
            </w:r>
          </w:p>
        </w:tc>
        <w:tc>
          <w:tcPr>
            <w:tcW w:w="0" w:type="dxa"/>
            <w:vAlign w:val="bottom"/>
          </w:tcPr>
          <w:p>
            <w:pPr>
              <w:spacing w:after="0"/>
              <w:rPr>
                <w:sz w:val="1"/>
                <w:szCs w:val="1"/>
                <w:color w:val="auto"/>
              </w:rPr>
            </w:pPr>
          </w:p>
        </w:tc>
      </w:tr>
      <w:tr>
        <w:trPr>
          <w:trHeight w:val="377"/>
        </w:trPr>
        <w:tc>
          <w:tcPr>
            <w:tcW w:w="94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6140" w:type="dxa"/>
            <w:vAlign w:val="bottom"/>
          </w:tcPr>
          <w:p>
            <w:pPr>
              <w:ind w:left="280"/>
              <w:spacing w:after="0"/>
              <w:rPr>
                <w:sz w:val="20"/>
                <w:szCs w:val="20"/>
                <w:color w:val="auto"/>
              </w:rPr>
            </w:pPr>
            <w:r>
              <w:rPr>
                <w:rFonts w:ascii="Arial" w:cs="Arial" w:eastAsia="Arial" w:hAnsi="Arial"/>
                <w:sz w:val="18"/>
                <w:szCs w:val="18"/>
                <w:color w:val="auto"/>
                <w:w w:val="94"/>
              </w:rPr>
              <w:t>Eighth Amendment to Lease Agreement between ARE-San Francisco No. 17,</w:t>
            </w: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6140" w:type="dxa"/>
            <w:vAlign w:val="bottom"/>
            <w:vMerge w:val="restart"/>
          </w:tcPr>
          <w:p>
            <w:pPr>
              <w:ind w:left="280"/>
              <w:spacing w:after="0"/>
              <w:rPr>
                <w:sz w:val="20"/>
                <w:szCs w:val="20"/>
                <w:color w:val="auto"/>
              </w:rPr>
            </w:pPr>
            <w:r>
              <w:rPr>
                <w:rFonts w:ascii="Arial" w:cs="Arial" w:eastAsia="Arial" w:hAnsi="Arial"/>
                <w:sz w:val="18"/>
                <w:szCs w:val="18"/>
                <w:color w:val="auto"/>
              </w:rPr>
              <w:t>LLC and Fluidigm Corporation, dated August 2, 2017.</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6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6140" w:type="dxa"/>
            <w:vAlign w:val="bottom"/>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 of Chief Executive Officer</w:t>
            </w:r>
          </w:p>
        </w:tc>
        <w:tc>
          <w:tcPr>
            <w:tcW w:w="0" w:type="dxa"/>
            <w:vAlign w:val="bottom"/>
          </w:tcPr>
          <w:p>
            <w:pPr>
              <w:spacing w:after="0"/>
              <w:rPr>
                <w:sz w:val="1"/>
                <w:szCs w:val="1"/>
                <w:color w:val="auto"/>
              </w:rPr>
            </w:pPr>
          </w:p>
        </w:tc>
      </w:tr>
      <w:tr>
        <w:trPr>
          <w:trHeight w:val="377"/>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6140" w:type="dxa"/>
            <w:vAlign w:val="bottom"/>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 of Chief Financial Officer</w:t>
            </w:r>
          </w:p>
        </w:tc>
        <w:tc>
          <w:tcPr>
            <w:tcW w:w="0" w:type="dxa"/>
            <w:vAlign w:val="bottom"/>
          </w:tcPr>
          <w:p>
            <w:pPr>
              <w:spacing w:after="0"/>
              <w:rPr>
                <w:sz w:val="1"/>
                <w:szCs w:val="1"/>
                <w:color w:val="auto"/>
              </w:rPr>
            </w:pPr>
          </w:p>
        </w:tc>
      </w:tr>
      <w:tr>
        <w:trPr>
          <w:trHeight w:val="377"/>
        </w:trPr>
        <w:tc>
          <w:tcPr>
            <w:tcW w:w="940" w:type="dxa"/>
            <w:vAlign w:val="bottom"/>
          </w:tcPr>
          <w:p>
            <w:pPr>
              <w:spacing w:after="0"/>
              <w:rPr>
                <w:sz w:val="20"/>
                <w:szCs w:val="20"/>
                <w:color w:val="auto"/>
              </w:rPr>
            </w:pPr>
            <w:r>
              <w:rPr>
                <w:rFonts w:ascii="Arial" w:cs="Arial" w:eastAsia="Arial" w:hAnsi="Arial"/>
                <w:sz w:val="18"/>
                <w:szCs w:val="18"/>
                <w:color w:val="auto"/>
              </w:rPr>
              <w:t>32.1(1)</w:t>
            </w:r>
          </w:p>
        </w:tc>
        <w:tc>
          <w:tcPr>
            <w:tcW w:w="6140" w:type="dxa"/>
            <w:vAlign w:val="bottom"/>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 of Chief Executive Officer</w:t>
            </w:r>
          </w:p>
        </w:tc>
        <w:tc>
          <w:tcPr>
            <w:tcW w:w="0" w:type="dxa"/>
            <w:vAlign w:val="bottom"/>
          </w:tcPr>
          <w:p>
            <w:pPr>
              <w:spacing w:after="0"/>
              <w:rPr>
                <w:sz w:val="1"/>
                <w:szCs w:val="1"/>
                <w:color w:val="auto"/>
              </w:rPr>
            </w:pPr>
          </w:p>
        </w:tc>
      </w:tr>
      <w:tr>
        <w:trPr>
          <w:trHeight w:val="377"/>
        </w:trPr>
        <w:tc>
          <w:tcPr>
            <w:tcW w:w="940" w:type="dxa"/>
            <w:vAlign w:val="bottom"/>
          </w:tcPr>
          <w:p>
            <w:pPr>
              <w:spacing w:after="0"/>
              <w:rPr>
                <w:sz w:val="20"/>
                <w:szCs w:val="20"/>
                <w:color w:val="auto"/>
              </w:rPr>
            </w:pPr>
            <w:r>
              <w:rPr>
                <w:rFonts w:ascii="Arial" w:cs="Arial" w:eastAsia="Arial" w:hAnsi="Arial"/>
                <w:sz w:val="18"/>
                <w:szCs w:val="18"/>
                <w:color w:val="auto"/>
              </w:rPr>
              <w:t>32.2(1)</w:t>
            </w:r>
          </w:p>
        </w:tc>
        <w:tc>
          <w:tcPr>
            <w:tcW w:w="6140" w:type="dxa"/>
            <w:vAlign w:val="bottom"/>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 of Chief Financial Officer</w:t>
            </w:r>
          </w:p>
        </w:tc>
        <w:tc>
          <w:tcPr>
            <w:tcW w:w="0" w:type="dxa"/>
            <w:vAlign w:val="bottom"/>
          </w:tcPr>
          <w:p>
            <w:pPr>
              <w:spacing w:after="0"/>
              <w:rPr>
                <w:sz w:val="1"/>
                <w:szCs w:val="1"/>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614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614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61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61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614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61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520" w:type="dxa"/>
        <w:tblCellMar>
          <w:top w:w="0" w:type="dxa"/>
          <w:left w:w="0" w:type="dxa"/>
          <w:bottom w:w="0" w:type="dxa"/>
          <w:right w:w="0" w:type="dxa"/>
        </w:tblCellMar>
      </w:tblPr>
      <w:tr>
        <w:trPr>
          <w:trHeight w:val="230"/>
        </w:trPr>
        <w:tc>
          <w:tcPr>
            <w:tcW w:w="940" w:type="dxa"/>
            <w:vAlign w:val="bottom"/>
          </w:tcPr>
          <w:p>
            <w:pPr>
              <w:jc w:val="center"/>
              <w:ind w:right="49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7"/>
              </w:rPr>
              <w:t>1.1</w:t>
            </w:r>
          </w:p>
        </w:tc>
      </w:tr>
      <w:tr>
        <w:trPr>
          <w:trHeight w:val="608"/>
        </w:trPr>
        <w:tc>
          <w:tcPr>
            <w:tcW w:w="940" w:type="dxa"/>
            <w:vAlign w:val="bottom"/>
          </w:tcPr>
          <w:p>
            <w:pPr>
              <w:jc w:val="center"/>
              <w:ind w:right="490"/>
              <w:spacing w:after="0"/>
              <w:rPr>
                <w:sz w:val="20"/>
                <w:szCs w:val="20"/>
                <w:color w:val="auto"/>
              </w:rPr>
            </w:pPr>
            <w:r>
              <w:rPr>
                <w:rFonts w:ascii="Arial" w:cs="Arial" w:eastAsia="Arial" w:hAnsi="Arial"/>
                <w:sz w:val="18"/>
                <w:szCs w:val="18"/>
                <w:color w:val="auto"/>
                <w:w w:val="94"/>
              </w:rPr>
              <w:t>10-K</w:t>
            </w: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7"/>
              </w:rPr>
              <w:t>3.1</w:t>
            </w:r>
          </w:p>
        </w:tc>
      </w:tr>
      <w:tr>
        <w:trPr>
          <w:trHeight w:val="608"/>
        </w:trPr>
        <w:tc>
          <w:tcPr>
            <w:tcW w:w="940" w:type="dxa"/>
            <w:vAlign w:val="bottom"/>
          </w:tcPr>
          <w:p>
            <w:pPr>
              <w:jc w:val="center"/>
              <w:ind w:right="49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7"/>
              </w:rPr>
              <w:t>3.1</w:t>
            </w:r>
          </w:p>
        </w:tc>
      </w:tr>
      <w:tr>
        <w:trPr>
          <w:trHeight w:val="500"/>
        </w:trPr>
        <w:tc>
          <w:tcPr>
            <w:tcW w:w="940" w:type="dxa"/>
            <w:vAlign w:val="bottom"/>
          </w:tcPr>
          <w:p>
            <w:pPr>
              <w:jc w:val="center"/>
              <w:ind w:right="49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7"/>
              </w:rPr>
              <w:t>3.1</w:t>
            </w:r>
          </w:p>
        </w:tc>
      </w:tr>
      <w:tr>
        <w:trPr>
          <w:trHeight w:val="392"/>
        </w:trPr>
        <w:tc>
          <w:tcPr>
            <w:tcW w:w="940" w:type="dxa"/>
            <w:vAlign w:val="bottom"/>
          </w:tcPr>
          <w:p>
            <w:pPr>
              <w:jc w:val="center"/>
              <w:ind w:right="490"/>
              <w:spacing w:after="0"/>
              <w:rPr>
                <w:sz w:val="20"/>
                <w:szCs w:val="20"/>
                <w:color w:val="auto"/>
              </w:rPr>
            </w:pPr>
            <w:r>
              <w:rPr>
                <w:rFonts w:ascii="Arial" w:cs="Arial" w:eastAsia="Arial" w:hAnsi="Arial"/>
                <w:sz w:val="18"/>
                <w:szCs w:val="18"/>
                <w:color w:val="auto"/>
                <w:w w:val="85"/>
              </w:rPr>
              <w:t>S-8</w:t>
            </w: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7"/>
              </w:rPr>
              <w:t>4.1</w:t>
            </w:r>
          </w:p>
        </w:tc>
      </w:tr>
      <w:tr>
        <w:trPr>
          <w:trHeight w:val="392"/>
        </w:trPr>
        <w:tc>
          <w:tcPr>
            <w:tcW w:w="940" w:type="dxa"/>
            <w:vAlign w:val="bottom"/>
          </w:tcPr>
          <w:p>
            <w:pPr>
              <w:jc w:val="center"/>
              <w:ind w:right="49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5"/>
              </w:rPr>
              <w:t>10.1</w:t>
            </w:r>
          </w:p>
        </w:tc>
      </w:tr>
      <w:tr>
        <w:trPr>
          <w:trHeight w:val="608"/>
        </w:trPr>
        <w:tc>
          <w:tcPr>
            <w:tcW w:w="940" w:type="dxa"/>
            <w:vAlign w:val="bottom"/>
          </w:tcPr>
          <w:p>
            <w:pPr>
              <w:jc w:val="center"/>
              <w:ind w:right="49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5"/>
              </w:rPr>
              <w:t>10.2</w:t>
            </w:r>
          </w:p>
        </w:tc>
      </w:tr>
      <w:tr>
        <w:trPr>
          <w:trHeight w:val="716"/>
        </w:trPr>
        <w:tc>
          <w:tcPr>
            <w:tcW w:w="940" w:type="dxa"/>
            <w:vAlign w:val="bottom"/>
          </w:tcPr>
          <w:p>
            <w:pPr>
              <w:jc w:val="center"/>
              <w:ind w:right="49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5"/>
              </w:rPr>
              <w:t>10.1</w:t>
            </w:r>
          </w:p>
        </w:tc>
      </w:tr>
    </w:tbl>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8/3/2017</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3/28/2011</w:t>
      </w:r>
    </w:p>
    <w:p>
      <w:pPr>
        <w:spacing w:after="0" w:line="200" w:lineRule="exact"/>
        <w:rPr>
          <w:sz w:val="20"/>
          <w:szCs w:val="20"/>
          <w:color w:val="auto"/>
        </w:rPr>
      </w:pP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11/22/2016</w:t>
      </w: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8/2/2017</w:t>
      </w:r>
    </w:p>
    <w:p>
      <w:pPr>
        <w:spacing w:after="0" w:line="18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8/3/2017</w:t>
      </w:r>
    </w:p>
    <w:p>
      <w:pPr>
        <w:spacing w:after="0" w:line="18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8/2/2017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8/2/2017</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8/3/2017</w:t>
      </w:r>
    </w:p>
    <w:p>
      <w:pPr>
        <w:spacing w:after="0" w:line="5199" w:lineRule="exact"/>
        <w:rPr>
          <w:sz w:val="20"/>
          <w:szCs w:val="20"/>
          <w:color w:val="auto"/>
        </w:rPr>
      </w:pPr>
    </w:p>
    <w:p>
      <w:pPr>
        <w:sectPr>
          <w:pgSz w:w="11900" w:h="16838" w:orient="portrait"/>
          <w:cols w:equalWidth="0" w:num="3">
            <w:col w:w="7120" w:space="220"/>
            <w:col w:w="2380" w:space="720"/>
            <w:col w:w="940"/>
          </w:cols>
          <w:pgMar w:left="240" w:top="125" w:right="279" w:bottom="1440" w:gutter="0" w:footer="0" w:header="0"/>
          <w:type w:val="continuous"/>
        </w:sectPr>
      </w:pPr>
    </w:p>
    <w:p>
      <w:pPr>
        <w:ind w:left="1420" w:hanging="1385"/>
        <w:spacing w:after="0" w:line="271" w:lineRule="auto"/>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August 8, 2017</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August 8, 2017</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18 U.S.C. § 1350, AS ADOPTED PURSUANT TO SECTION 906 OF THE SARBANES-OXLEY ACT OF 2002</w:t>
      </w:r>
    </w:p>
    <w:p>
      <w:pPr>
        <w:spacing w:after="0" w:line="126"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11" w:lineRule="exact"/>
        <w:rPr>
          <w:sz w:val="20"/>
          <w:szCs w:val="20"/>
          <w:color w:val="auto"/>
        </w:rPr>
      </w:pPr>
    </w:p>
    <w:p>
      <w:pPr>
        <w:ind w:right="140" w:firstLine="886"/>
        <w:spacing w:after="0" w:line="277" w:lineRule="auto"/>
        <w:tabs>
          <w:tab w:leader="none" w:pos="10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2017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8, 2017</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140" w:firstLine="886"/>
        <w:spacing w:after="0" w:line="277" w:lineRule="auto"/>
        <w:tabs>
          <w:tab w:leader="none" w:pos="10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2017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8,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5"/>
    </w:lvl>
  </w:abstractNum>
  <w:abstractNum w:abstractNumId="4">
    <w:nsid w:val="41A7C4C9"/>
    <w:multiLevelType w:val="hybridMultilevel"/>
    <w:lvl w:ilvl="0">
      <w:lvlJc w:val="left"/>
      <w:lvlText w:val="%1."/>
      <w:numFmt w:val="decimal"/>
      <w:start w:val="7"/>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2019-12-29T05:07:45Z</dcterms:created>
  <dcterms:modified xsi:type="dcterms:W3CDTF">2019-12-29T05:07:45Z</dcterms:modified>
</cp:coreProperties>
</file>