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Standard BioTools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 Milk Street, 10th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 02109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516"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LAB</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3, 2026, Standard BioTools Inc., a Delaware corporation (“Standard BioTools”), issued a joint press release with ARCHIMED, a leading investment firm focused exclusively on healthcare industries (“ARCHIMED”), announcing the closing of Standard BioTools’ previously announced sale of its Microfluidics business to ARCHIMED. A copy of the press release is furnished as Exhibit 99.1 hereto and is incorporated herein by reference.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in this Item 7.01 and in the attached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among others, statements regarding the disposition of the Microfluidics business. The words “strengthen,” “support,” “expand,” “invest,” “enable,” “accelerate,” “advance,” “improve,” “aim,” “create,” and similar expressions are intended to identify forward-looking statements. These forward-looking statements are subject to risks, uncertainties, and assumptions.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future conduct and growth of the business and the markets in which ARCHIMED operates; (ii) the success of products and services competitive with the Microfluidics business; (iii) ARCHIMED’s ability to successfully integrate the Microfluidics business into its existing operations and the Microfluidics business’s technology and products into its portfolio; (iv) ARCHIMED’s ability to sell the products and further develop the Microfluidics business’s technology; (v) ARCHIMED’s ability to successfully manage partner and customer relationships in the market; and (vi) customer uptake of, and satisfaction with, new products and services.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information regarding other related risks, see the “Risk Factors” section of Standard BioTools’ Annual Report on Form 10-K for the year ended December 31, 2025, filed with the Securities and Exchange Commission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Current Report on Form 8-K may be deemed to be solicitation material in respect of the proposed transactions involving Standard BioTools and Treeline Biosciences, Inc. (“Treeline”) and/or Standard BioTools’ sale of its Mass Cytometry business to Element Biosystems, LLC (“Element”). In connection with the Treeline transaction and related stockholder vote, Standard BioTools has filed with the SEC a registration statement on Form S-4, as amended (the “Form S-4”), which was declared effective by the SEC on October 21, 2026. The Form S-4 includes a definitive proxy statement and a definitive prospectus of Standard BioTools. The definitive proxy statement/prospectus, dated October 21,2026, was first mailed to stockholders of Standard BioTools on or about October 21, 2026. This communication is not a substitute for the definitive proxy statement/prospectus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right="240"/>
        <w:spacing w:after="0" w:line="273" w:lineRule="auto"/>
        <w:rPr>
          <w:sz w:val="20"/>
          <w:szCs w:val="20"/>
          <w:color w:val="auto"/>
        </w:rPr>
      </w:pPr>
      <w:r>
        <w:rPr>
          <w:rFonts w:ascii="Times New Roman" w:cs="Times New Roman" w:eastAsia="Times New Roman" w:hAnsi="Times New Roman"/>
          <w:sz w:val="17"/>
          <w:szCs w:val="17"/>
          <w:color w:val="auto"/>
        </w:rPr>
        <w:t xml:space="preserve">INVESTORS AND STOCKHOLDERS OF STANDARD BIOTOOLS ARE URGED TO READ THE PROXY STATEMENT/PROSPECTUS (INCLUDING ALL AMENDMENTS, SUPPLEMENTS AND ANY DOCUMENTS INCORPORATED BY REFERENCE THEREIN) AND OTHER RELEVANT MATERIALS FILED OR TO BE FILED WITH THE SEC BEFORE MAKING ANY VOTING DECISION WITH RESPECT TO THE PROPOSED TRANSACTIONS BECAUSE THEY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are available at no charge on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proxy statement/prospectus filed by Standard BioTools. These documents are available free of charge at the SEC’s website at www.sec.gov or by going to Standard BioTools’ Investor Relations website at http://investors.standardbio.com or contacting Standard BioTools’ Investor Relations department at ir@standardbio.com.</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9820" w:type="dxa"/>
            <w:vAlign w:val="bottom"/>
          </w:tcPr>
          <w:p>
            <w:pPr>
              <w:spacing w:after="0"/>
              <w:rPr>
                <w:sz w:val="20"/>
                <w:szCs w:val="20"/>
                <w:color w:val="auto"/>
              </w:rPr>
            </w:pPr>
          </w:p>
        </w:tc>
      </w:tr>
      <w:tr>
        <w:trPr>
          <w:trHeight w:val="439"/>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15"/>
                <w:szCs w:val="15"/>
                <w:color w:val="auto"/>
              </w:rPr>
            </w:pPr>
          </w:p>
        </w:tc>
        <w:tc>
          <w:tcPr>
            <w:tcW w:w="9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as of November 3,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7"/>
          <w:szCs w:val="17"/>
          <w:color w:val="auto"/>
        </w:rPr>
        <w:t>STANDARD BIOTOOLS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Alex Kim</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 Life Science Tools &amp; Services Completes Acquisition of Standard BioTools’ Microfluidics Business, Now Biomark Scientific</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Business will operate as Biomark Scientific, a leader in accessible, scalable and automated genomic workflows powered by proprietary microfluidics technology</w:t>
      </w:r>
    </w:p>
    <w:p>
      <w:pPr>
        <w:spacing w:after="0" w:line="16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November 3, 2026 –Global private equity healthcare specialist ARCHIMED, and Standard BioTools Inc. (NASDAQ: LAB) (“Standard BioTools”), today announced the completion of ARCHIMED’s previously announced acquisition of Standard BioTools’ Microfluidics Business. As part of ARCHIMED, the business enters its next chapter as a standalone business under the name Biomark Scientific.</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Biomark Scientific, an innovative microfluidics technology tools provider specializing in high-throughput and multi-assay genomics systems, will offer versatile and scalable genomic profiling on its flagship Biomark™ platform. The next-generation Biomark X9 system is the only automated PCR, qPCR and NGS library prep system on the market, performing simultaneous profiling of multiple types of genomic assay readouts in a single run using patented integrated fluidic circuits (IFCs).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highly regarded brand in high-throughput genomic workflows serving research institutions, public health laboratories and biobanks, Biomark was previously part of Fluidigm, which was founded in 1999 and renamed Standard BioTools in 2022. As Biomark Scientific, the business will continue to offer its automated bench-top system that can run genomics assays with robustness, speed and precision, driving quality insights for critical, time-sensitive data.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Within ARCHIMED, Biomark Scientific plans to build on its established technology, expertise and deep customer relationships, while expanding its capabilities and supporting scientific discovery across genomics, clinical research and public health. The company will be an independent entity comprised of the same dedicated team and supported by enhanced capabilities to provide seamless continuity of the products and services that customers and partners trust.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is an exciting step forward for our organization, strengthening our ability to serve and support our customers and partners,” says Luke Stewart, newly appointed Chief Commercial Officer of Biomark Scientific. “Together with ARCHIMED, expanding our resources and investing in our expertise reflects our continued commitment to delivering greater value to our customers, with the reliability and quality they depend on. This partnership enables us to confidently move into this next phase while staying true to our foundation of scientific excellence and exceptional service, all in support of advancing genomics and improving public health.”</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 Biomark Scientific’s accelerating position in the clinical research and public health markets, we are poised to support the company in fortifying global growth and launching the business as a primary player in the industry,” says Michael Goetter at ARCHIMED. “Biomark Scientific is comprised of an amazing team, well-positioned to maintain their current momentum with the rigor and meticulous drive that has instilled loyalty among the genomics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ARCHIMED</w:t>
      </w:r>
    </w:p>
    <w:p>
      <w:pPr>
        <w:spacing w:after="0" w:line="22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With offices in Europe, North America and Asia, ARCHIMED is a leading investment firm focused exclusively on healthcare industries. Its mix of operational, medical, scientific and financial expertise allows ARCHIMED to serve as both a strategic and financial partner to healthcare businesses. Prioritized areas of focus include Animal &amp; Environmental Health, Biopharma Products, Consumer Health, Diagnostics, Healthcare IT, Life Science Tools</w:t>
      </w:r>
    </w:p>
    <w:p>
      <w:pPr>
        <w:spacing w:after="0" w:line="2" w:lineRule="exact"/>
        <w:rPr>
          <w:sz w:val="20"/>
          <w:szCs w:val="20"/>
          <w:color w:val="auto"/>
        </w:rPr>
      </w:pPr>
    </w:p>
    <w:p>
      <w:pPr>
        <w:ind w:right="200" w:firstLine="8"/>
        <w:spacing w:after="0" w:line="255"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and MedTech. ARCHIMED helps partners internationalize, acquire, innovate and expand their products and services. ARCHIMED manages €15 billion across its various funds. Since inception, ARCHIMED has been a committed Impact investor, both directly and through its EURÊKA Foundation.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Standard BioTools Inc.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Standard BioTools Inc. (NASDAQ: LAB), is committed to setting the new standard in the life science tools industry through strategic consolidation, best-in-class operations and a world class management team. Standard BioTools’ established portfolio includes essential, standardized next-generation solutions designed to help biomedical researchers develop better therapeutics faster. Learn more at standardbio.com or connect with us on X, Facebook®, LinkedIn, and YouTube™.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Research Use Only. Not for use in diagnostic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Use Label License and other terms may apply: standardbio.com/legal/notices. Trademarks: standardbio.com/legal/terms-and-conditions/.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Patent and License Information: standardbio.com/legal/trademarks. Any other trademarks are the sole property of their respective owners. ©2026 Standard BioTools Inc. All rights reserved.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among others, statements regarding the disposition of Standard BioTools’ Microfluidics Business. The words “strengthen,” “support,” “expand,” “invest,” “enable,” “accelerate,” “advance,” “improve,” “aim,” “create,” and similar expressions are intended to identify forward-looking statements. These forward-looking statements are subject to risks, uncertainties, and assumptions.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future conduct and growth of the Microfluidics Business and the markets in which ARCHIMED operates; (ii) the success of products and services competitive with the Microfluidics Business; (iii) ARCHIMED’s ability to successfully integrate the Microfluidics Business into its existing operations and the Microfluidics Business’s technology and products into its portfolio; (iv) ARCHIMED’s ability to sell the products and further develop the Microfluidics Business’s technology; (v) ARCHIMED’s ability to successfully manage partner and customer relationships in the market; and (vi) customer uptake of, and satisfaction with, new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t>For information regarding other related risks, see the “Risk Factors” section of Standard BioTools’ Annual Report on Form 10-K for the year ended December 31, 2025, filed with the Securities and Exchange Commission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proposed transactions involving Standard BioTools and Treeline Biosciences, Inc. (“Treeline”) and/or Standard BioTools’ sale of its Mass Cytometry business to Element Biosystems, LLC (“Element”). In connection with the Treeline transaction and related stockholder vote, Standard BioTools has filed with the SEC a registration statement on Form S-4, as amended (the “Form S-4”), which was declared effective by the SEC on October 21, 2026. The Form S-4 includes a definitive proxy statement and a definitive prospectus of Standard BioTools. The definitive proxy statement/prospectus, dated October 21,2026, was first mailed to stockholders of Standard BioTools on or about October 21, 2026. This communication is not a substitute for the definitive proxy statement/prospectus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w:t>
      </w:r>
    </w:p>
    <w:p>
      <w:pPr>
        <w:spacing w:after="0" w:line="192"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 xml:space="preserve">INVESTORS AND STOCKHOLDERS OF STANDARD BIOTOOLS ARE URGED TO READ THE PROXY STATEMENT/PROSPECTUS (INCLUDING ALL AMENDMENTS, SUPPLEMENTS AND ANY DOCUMENTS INCORPORATED BY REFERENCE THEREIN) AND OTHER RELEVANT MATERIALS FILED OR TO BE FILED WITH THE SEC BEFORE MAKING ANY VOTING DECISION WITH RESPECT TO THE PROPOSED TRANSACTIONS BECAUSE THEY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are available at no charge on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proxy statement/prospectus filed by Standard BioTools. These documents are available free of charge at the SEC’s website at www.sec.gov or by going to Standard BioTools’ Investor Relations website at http://investors.standardbio.com or contacting Standard BioTools’ Investor Relations department at 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2026-11-03T07:24:09Z</dcterms:created>
  <dcterms:modified xsi:type="dcterms:W3CDTF">2026-11-03T07:24:09Z</dcterms:modified>
</cp:coreProperties>
</file>