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170815</wp:posOffset>
            </wp:positionV>
            <wp:extent cx="2675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186690</wp:posOffset>
            </wp:positionV>
            <wp:extent cx="267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360" w:right="880" w:hanging="325"/>
        <w:spacing w:after="0" w:line="256" w:lineRule="auto"/>
        <w:tabs>
          <w:tab w:leader="none" w:pos="3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60" w:right="1260" w:hanging="425"/>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9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283210</wp:posOffset>
            </wp:positionV>
            <wp:extent cx="267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FLUIDIGM CORPORATION</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167640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2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82"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7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Identification Number)</w:t>
      </w:r>
    </w:p>
    <w:p>
      <w:pPr>
        <w:spacing w:after="0" w:line="177" w:lineRule="exact"/>
        <w:rPr>
          <w:sz w:val="24"/>
          <w:szCs w:val="24"/>
          <w:color w:val="auto"/>
        </w:rPr>
      </w:pPr>
    </w:p>
    <w:p>
      <w:pPr>
        <w:sectPr>
          <w:pgSz w:w="11900" w:h="16838" w:orient="portrait"/>
          <w:cols w:equalWidth="0" w:num="2">
            <w:col w:w="6800" w:space="720"/>
            <w:col w:w="38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182245</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ind w:right="20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060" w:space="720"/>
            <w:col w:w="4660" w:space="720"/>
            <w:col w:w="2220" w:space="720"/>
            <w:col w:w="280"/>
          </w:cols>
          <w:pgMar w:left="240" w:top="233"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5" w:lineRule="exact"/>
        <w:rPr>
          <w:sz w:val="24"/>
          <w:szCs w:val="24"/>
          <w:color w:val="auto"/>
        </w:rPr>
      </w:pPr>
    </w:p>
    <w:p>
      <w:pPr>
        <w:sectPr>
          <w:pgSz w:w="11900" w:h="16838" w:orient="portrait"/>
          <w:cols w:equalWidth="0" w:num="5">
            <w:col w:w="2060" w:space="720"/>
            <w:col w:w="160" w:space="80"/>
            <w:col w:w="4420" w:space="720"/>
            <w:col w:w="2220" w:space="720"/>
            <w:col w:w="280"/>
          </w:cols>
          <w:pgMar w:left="240" w:top="233" w:right="279" w:bottom="1440" w:gutter="0" w:footer="0" w:header="0"/>
          <w:type w:val="continuous"/>
        </w:sect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880" w:space="180"/>
            <w:col w:w="2320"/>
          </w:cols>
          <w:pgMar w:left="240" w:top="233" w:right="27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As of July 25, 2014, there were 28,171,212 shares of the Registrant’s common stock outstanding.</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FLUIDIGM CORPORATION</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Page</w:t>
            </w:r>
          </w:p>
        </w:tc>
      </w:tr>
      <w:tr>
        <w:trPr>
          <w:trHeight w:val="203"/>
        </w:trPr>
        <w:tc>
          <w:tcPr>
            <w:tcW w:w="1000" w:type="dxa"/>
            <w:vAlign w:val="bottom"/>
          </w:tcPr>
          <w:p>
            <w:pPr>
              <w:spacing w:after="0" w:line="202" w:lineRule="exact"/>
              <w:rPr>
                <w:sz w:val="20"/>
                <w:szCs w:val="20"/>
                <w:color w:val="auto"/>
              </w:rPr>
            </w:pPr>
            <w:r>
              <w:rPr>
                <w:rFonts w:ascii="Arial" w:cs="Arial" w:eastAsia="Arial" w:hAnsi="Arial"/>
                <w:sz w:val="18"/>
                <w:szCs w:val="18"/>
                <w:color w:val="auto"/>
              </w:rPr>
              <w:t>PART I.</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60" w:type="dxa"/>
            <w:vAlign w:val="bottom"/>
            <w:tcBorders>
              <w:bottom w:val="single" w:sz="8" w:color="0000FF"/>
            </w:tcBorders>
            <w:gridSpan w:val="5"/>
          </w:tcPr>
          <w:p>
            <w:pPr>
              <w:jc w:val="center"/>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3120" w:type="dxa"/>
            <w:vAlign w:val="bottom"/>
            <w:gridSpan w:val="6"/>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9"/>
          </w:tcPr>
          <w:p>
            <w:pPr>
              <w:spacing w:after="0"/>
              <w:rPr>
                <w:sz w:val="20"/>
                <w:szCs w:val="20"/>
                <w:color w:val="auto"/>
              </w:rPr>
            </w:pPr>
            <w:r>
              <w:rPr>
                <w:rFonts w:ascii="Arial" w:cs="Arial" w:eastAsia="Arial" w:hAnsi="Arial"/>
                <w:sz w:val="18"/>
                <w:szCs w:val="18"/>
                <w:color w:val="0000FF"/>
              </w:rPr>
              <w:t>Financial Statements (Unaudited)</w:t>
            </w:r>
          </w:p>
        </w:tc>
        <w:tc>
          <w:tcPr>
            <w:tcW w:w="1680" w:type="dxa"/>
            <w:vAlign w:val="bottom"/>
            <w:gridSpan w:val="4"/>
          </w:tcPr>
          <w:p>
            <w:pPr>
              <w:jc w:val="right"/>
              <w:ind w:right="40"/>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48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 June 30, 2014 and December 31, 2013</w:t>
            </w: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480" w:type="dxa"/>
            <w:vAlign w:val="bottom"/>
            <w:gridSpan w:val="19"/>
          </w:tcPr>
          <w:p>
            <w:pPr>
              <w:spacing w:after="0"/>
              <w:rPr>
                <w:sz w:val="20"/>
                <w:szCs w:val="20"/>
                <w:color w:val="auto"/>
              </w:rPr>
            </w:pPr>
            <w:r>
              <w:rPr>
                <w:rFonts w:ascii="Arial" w:cs="Arial" w:eastAsia="Arial" w:hAnsi="Arial"/>
                <w:sz w:val="18"/>
                <w:szCs w:val="18"/>
                <w:color w:val="0000FF"/>
                <w:w w:val="94"/>
              </w:rPr>
              <w:t>Condensed Consolidated Statements of Operations for the three and six months ended June 30, 2014 and 2013</w:t>
            </w:r>
          </w:p>
        </w:tc>
        <w:tc>
          <w:tcPr>
            <w:tcW w:w="168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480" w:type="dxa"/>
            <w:vAlign w:val="bottom"/>
            <w:gridSpan w:val="19"/>
          </w:tcPr>
          <w:p>
            <w:pPr>
              <w:spacing w:after="0"/>
              <w:rPr>
                <w:sz w:val="20"/>
                <w:szCs w:val="20"/>
                <w:color w:val="auto"/>
              </w:rPr>
            </w:pPr>
            <w:r>
              <w:rPr>
                <w:rFonts w:ascii="Arial" w:cs="Arial" w:eastAsia="Arial" w:hAnsi="Arial"/>
                <w:sz w:val="18"/>
                <w:szCs w:val="18"/>
                <w:color w:val="0000FF"/>
                <w:w w:val="91"/>
              </w:rPr>
              <w:t>Condensed Consolidated Statements of Comprehensive Loss for the three and six months ended June 30, 2014 and</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360" w:type="dxa"/>
            <w:vAlign w:val="bottom"/>
            <w:tcBorders>
              <w:top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84"/>
              </w:rPr>
              <w:t>2013</w:t>
            </w:r>
          </w:p>
        </w:tc>
        <w:tc>
          <w:tcPr>
            <w:tcW w:w="24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4"/>
          </w:tcPr>
          <w:p>
            <w:pPr>
              <w:jc w:val="right"/>
              <w:ind w:right="4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848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2014 and 2013</w:t>
            </w:r>
          </w:p>
        </w:tc>
        <w:tc>
          <w:tcPr>
            <w:tcW w:w="168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73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180" w:type="dxa"/>
            <w:vAlign w:val="bottom"/>
            <w:gridSpan w:val="3"/>
          </w:tcPr>
          <w:p>
            <w:pPr>
              <w:spacing w:after="0"/>
              <w:rPr>
                <w:sz w:val="24"/>
                <w:szCs w:val="24"/>
                <w:color w:val="auto"/>
              </w:rPr>
            </w:pPr>
          </w:p>
        </w:tc>
        <w:tc>
          <w:tcPr>
            <w:tcW w:w="168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680" w:type="dxa"/>
            <w:vAlign w:val="bottom"/>
            <w:gridSpan w:val="4"/>
          </w:tcPr>
          <w:p>
            <w:pPr>
              <w:jc w:val="right"/>
              <w:ind w:right="40"/>
              <w:spacing w:after="0"/>
              <w:rPr>
                <w:rFonts w:ascii="Arial" w:cs="Arial" w:eastAsia="Arial" w:hAnsi="Arial"/>
                <w:sz w:val="18"/>
                <w:szCs w:val="18"/>
                <w:color w:val="0000FF"/>
              </w:rPr>
            </w:pPr>
            <w:hyperlink w:anchor="page17">
              <w:r>
                <w:rPr>
                  <w:rFonts w:ascii="Arial" w:cs="Arial" w:eastAsia="Arial" w:hAnsi="Arial"/>
                  <w:sz w:val="18"/>
                  <w:szCs w:val="18"/>
                  <w:color w:val="0000FF"/>
                </w:rPr>
                <w:t>18</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2020" w:type="dxa"/>
            <w:vAlign w:val="bottom"/>
            <w:gridSpan w:val="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11"/>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4120" w:type="dxa"/>
            <w:vAlign w:val="bottom"/>
            <w:gridSpan w:val="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29</w:t>
              </w:r>
            </w:hyperlink>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1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Borders>
              <w:bottom w:val="single" w:sz="8" w:color="0000FF"/>
            </w:tcBorders>
            <w:gridSpan w:val="3"/>
          </w:tcPr>
          <w:p>
            <w:pPr>
              <w:jc w:val="center"/>
              <w:spacing w:after="0"/>
              <w:rPr>
                <w:rFonts w:ascii="Arial" w:cs="Arial" w:eastAsia="Arial" w:hAnsi="Arial"/>
                <w:sz w:val="18"/>
                <w:szCs w:val="18"/>
                <w:color w:val="0000FF"/>
                <w:w w:val="97"/>
              </w:rPr>
            </w:pPr>
            <w:hyperlink w:anchor="page30">
              <w:r>
                <w:rPr>
                  <w:rFonts w:ascii="Arial" w:cs="Arial" w:eastAsia="Arial" w:hAnsi="Arial"/>
                  <w:sz w:val="18"/>
                  <w:szCs w:val="18"/>
                  <w:color w:val="0000FF"/>
                  <w:w w:val="97"/>
                </w:rPr>
                <w:t>OTHER INFORMATION</w:t>
              </w:r>
            </w:hyperlink>
          </w:p>
        </w:tc>
        <w:tc>
          <w:tcPr>
            <w:tcW w:w="330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8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1680" w:type="dxa"/>
            <w:vAlign w:val="bottom"/>
            <w:gridSpan w:val="4"/>
          </w:tcPr>
          <w:p>
            <w:pPr>
              <w:jc w:val="right"/>
              <w:ind w:right="40"/>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140" w:type="dxa"/>
            <w:vAlign w:val="bottom"/>
            <w:gridSpan w:val="1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7140" w:type="dxa"/>
            <w:vAlign w:val="bottom"/>
            <w:gridSpan w:val="14"/>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560" w:type="dxa"/>
            <w:vAlign w:val="bottom"/>
            <w:gridSpan w:val="1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920" w:type="dxa"/>
            <w:vAlign w:val="bottom"/>
            <w:gridSpan w:val="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Exhibits</w:t>
              </w:r>
            </w:hyperlink>
          </w:p>
        </w:tc>
        <w:tc>
          <w:tcPr>
            <w:tcW w:w="7560" w:type="dxa"/>
            <w:vAlign w:val="bottom"/>
            <w:gridSpan w:val="15"/>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SIGNATURES</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8380" w:type="dxa"/>
            <w:vAlign w:val="bottom"/>
            <w:gridSpan w:val="18"/>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EXHIBIT LIST</w:t>
              </w:r>
            </w:hyperlink>
          </w:p>
        </w:tc>
        <w:tc>
          <w:tcPr>
            <w:tcW w:w="8380" w:type="dxa"/>
            <w:vAlign w:val="bottom"/>
            <w:gridSpan w:val="18"/>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gridSpan w:val="3"/>
          </w:tcPr>
          <w:p>
            <w:pPr>
              <w:jc w:val="right"/>
              <w:ind w:right="40"/>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55</w:t>
              </w:r>
            </w:hyperlink>
          </w:p>
        </w:tc>
      </w:tr>
      <w:tr>
        <w:trPr>
          <w:trHeight w:val="20"/>
        </w:trPr>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200"/>
          </w:cols>
          <w:pgMar w:left="240" w:top="12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300" w:type="dxa"/>
            <w:vAlign w:val="bottom"/>
          </w:tcPr>
          <w:p>
            <w:pPr>
              <w:spacing w:after="0"/>
              <w:rPr>
                <w:sz w:val="14"/>
                <w:szCs w:val="14"/>
                <w:color w:val="auto"/>
              </w:rPr>
            </w:pPr>
          </w:p>
        </w:tc>
        <w:tc>
          <w:tcPr>
            <w:tcW w:w="1520" w:type="dxa"/>
            <w:vAlign w:val="bottom"/>
          </w:tcPr>
          <w:p>
            <w:pPr>
              <w:jc w:val="center"/>
              <w:ind w:right="252"/>
              <w:spacing w:after="0"/>
              <w:rPr>
                <w:sz w:val="20"/>
                <w:szCs w:val="20"/>
                <w:color w:val="auto"/>
              </w:rPr>
            </w:pPr>
            <w:r>
              <w:rPr>
                <w:rFonts w:ascii="Arial" w:cs="Arial" w:eastAsia="Arial" w:hAnsi="Arial"/>
                <w:sz w:val="14"/>
                <w:szCs w:val="14"/>
                <w:b w:val="1"/>
                <w:bCs w:val="1"/>
                <w:color w:val="auto"/>
                <w:w w:val="90"/>
              </w:rPr>
              <w:t>December 31,</w:t>
            </w:r>
          </w:p>
        </w:tc>
      </w:tr>
      <w:tr>
        <w:trPr>
          <w:trHeight w:val="192"/>
        </w:trPr>
        <w:tc>
          <w:tcPr>
            <w:tcW w:w="7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7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21"/>
                <w:szCs w:val="21"/>
                <w:color w:val="auto"/>
              </w:rPr>
            </w:pPr>
          </w:p>
        </w:tc>
        <w:tc>
          <w:tcPr>
            <w:tcW w:w="1520" w:type="dxa"/>
            <w:vAlign w:val="bottom"/>
          </w:tcPr>
          <w:p>
            <w:pPr>
              <w:jc w:val="center"/>
              <w:ind w:right="212"/>
              <w:spacing w:after="0"/>
              <w:rPr>
                <w:sz w:val="20"/>
                <w:szCs w:val="20"/>
                <w:color w:val="auto"/>
              </w:rPr>
            </w:pPr>
            <w:r>
              <w:rPr>
                <w:rFonts w:ascii="Arial" w:cs="Arial" w:eastAsia="Arial" w:hAnsi="Arial"/>
                <w:sz w:val="14"/>
                <w:szCs w:val="14"/>
                <w:b w:val="1"/>
                <w:bCs w:val="1"/>
                <w:color w:val="auto"/>
                <w:w w:val="95"/>
              </w:rPr>
              <w:t>(Note 2)</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35,261</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51,063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49,083</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allowances of $36 at June 30, 2014 and December 31, 2013)</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16,357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8,148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1,540</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127,434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104,584</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11,568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6,818</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 net</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104,245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417,746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116,915</w:t>
            </w:r>
          </w:p>
        </w:tc>
      </w:tr>
      <w:tr>
        <w:trPr>
          <w:trHeight w:val="67"/>
        </w:trPr>
        <w:tc>
          <w:tcPr>
            <w:tcW w:w="7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Accrued compensation and related benefits</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5,506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5,485</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5,392</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5,867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2,721</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27,306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Convertible notes, net</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195,343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3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4,227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1,899</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651</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255,920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20,501</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Preferred stock, $0.001 par value, 10,000 shares authorized, no shares issued and outstanding at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2014 and December 31, 2013</w:t>
            </w: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3"/>
              </w:rPr>
              <w:t>Common stock: $0.001 par value, 200,000 shares authorized at June 30, 2014 and December 31,</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7660" w:type="dxa"/>
            <w:vAlign w:val="bottom"/>
          </w:tcPr>
          <w:p>
            <w:pPr>
              <w:ind w:left="380"/>
              <w:spacing w:after="0"/>
              <w:rPr>
                <w:sz w:val="20"/>
                <w:szCs w:val="20"/>
                <w:color w:val="auto"/>
              </w:rPr>
            </w:pPr>
            <w:r>
              <w:rPr>
                <w:rFonts w:ascii="Arial" w:cs="Arial" w:eastAsia="Arial" w:hAnsi="Arial"/>
                <w:sz w:val="18"/>
                <w:szCs w:val="18"/>
                <w:color w:val="auto"/>
                <w:w w:val="94"/>
              </w:rPr>
              <w:t>2013; 28,159 and 25,811 shares issued and outstanding as of June 30, 2014 and December 31,</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2013, respectively</w:t>
            </w:r>
          </w:p>
        </w:tc>
        <w:tc>
          <w:tcPr>
            <w:tcW w:w="340" w:type="dxa"/>
            <w:vAlign w:val="bottom"/>
          </w:tcPr>
          <w:p>
            <w:pPr>
              <w:spacing w:after="0"/>
              <w:rPr>
                <w:sz w:val="20"/>
                <w:szCs w:val="20"/>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447,941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354,465</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(730)</w:t>
            </w:r>
          </w:p>
        </w:tc>
      </w:tr>
      <w:tr>
        <w:trPr>
          <w:trHeight w:val="27"/>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(285,443)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(257,347)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161,826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96,414</w:t>
            </w:r>
          </w:p>
        </w:tc>
      </w:tr>
      <w:tr>
        <w:trPr>
          <w:trHeight w:val="27"/>
        </w:trPr>
        <w:tc>
          <w:tcPr>
            <w:tcW w:w="7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417,746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116,915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27,479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17,267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52,928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31,522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 revenue</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32,015</w:t>
            </w:r>
          </w:p>
        </w:tc>
        <w:tc>
          <w:tcPr>
            <w:tcW w:w="0" w:type="dxa"/>
            <w:vAlign w:val="bottom"/>
          </w:tcPr>
          <w:p>
            <w:pPr>
              <w:spacing w:after="0"/>
              <w:rPr>
                <w:sz w:val="1"/>
                <w:szCs w:val="1"/>
                <w:color w:val="auto"/>
              </w:rPr>
            </w:pP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11,374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Acquisition-related expenses</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41,072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(28,096)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(7,597)</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loss per share, basic and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27,960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25,443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27,389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net loss on available-for-sale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(7,623)</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(28,096)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(7,597)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1,193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Acquisition-related share-based awards acceleration expense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developed technology</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charges for sale of inventory revalued at the date of acquisition</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from sale of investment in Verinata</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non-cash items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2,143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(3,521)</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(113,190)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sales and maturities of investments</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24,461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14,440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in Verinata</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Purchase of intangible assets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(180,085)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(25,123)</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issuance of convertible notes, net</w:t>
            </w: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195,212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198,669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2,420</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(26,359)</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58,649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43,681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32,290</w:t>
            </w:r>
          </w:p>
        </w:tc>
      </w:tr>
      <w:tr>
        <w:trPr>
          <w:trHeight w:val="67"/>
        </w:trPr>
        <w:tc>
          <w:tcPr>
            <w:tcW w:w="79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 and options related to acquisition</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78,196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94"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Fluidigm Corporation (we, our, or us) was incorporated in the State of California in May 1999 to commercialize microfluidic technology initially developed at the California Institute of Technology. In July 2007, we were reincorporated in Delaware. Our headquarters are located in South San Francisco, California. We develop, manufacture, and market life science analytical and preparatory systems for growth markets such as single-cell biology and production genomics. We sell to leading academic institutions, clinical laboratories, and pharmaceutical, biotechnology, and agricultural biotechnology (Ag-Bio) companies worldwide. Our systems are based on proprietary microfluidics and multi-parameter mass cytometry technology, and are designed to significantly simplify experimental workflow, increase throughput, and reduce costs, while providing excellent data quality.</w:t>
      </w:r>
    </w:p>
    <w:p>
      <w:pPr>
        <w:spacing w:after="0" w:line="256" w:lineRule="exact"/>
        <w:rPr>
          <w:sz w:val="20"/>
          <w:szCs w:val="20"/>
          <w:color w:val="auto"/>
        </w:rPr>
      </w:pPr>
    </w:p>
    <w:p>
      <w:pPr>
        <w:ind w:right="784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(U.S. GAAP) and following the requirements of the Securities and Exchange Commission (SEC) for interim reporting. As permitted under those rules, certain footnotes or other financial information that are normally required by U.S. GAAP have been condensed or omitted, and accordingly the balance sheet as of December 31, 2013 has been derived from audited consolidated financial statements at that date but does not include all of the information required by U.S. GAAP for complete financial statements. These financial statements have been prepared on the same basis as our annual financial statements and, in the opinion of management, reflect all adjustments (consisting only of normal recurring adjustments) that are necessary for a fair presentation of our financial information. The results of operations for the three and six months ended June 30, 2014 are not necessarily indicative of the results to be expected for the year ending December 31, 2014 or for any other interim period or for any other future year.</w:t>
      </w:r>
    </w:p>
    <w:p>
      <w:pPr>
        <w:spacing w:after="0" w:line="11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preparation of these condensed consolidated financial statements requires us to make estimates and judgments that affect the reported amounts of assets, liabilities, revenue, expenses, and related disclosures. On an ongoing basis, we evaluate our estimates, including critical accounting policies or estimates related to revenue recognition, income tax provisions, stock-based compensation, inventory valuation, allowances for doubtful accounts, and useful lives of long-lived assets. We base our estimates on historical experience and on various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w:t>
      </w:r>
    </w:p>
    <w:p>
      <w:pPr>
        <w:spacing w:after="0" w:line="12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2013 included in our Annual Report on Form 10-K filed with the SEC.</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Certain items previously reported in the condensed consolidated statement of cash flows have been reclassified to conform to the current period presentation. Such reclassifications do not impact previously reported net cash used in operating activities, net cash used in investing activities, net cash provided by financing activities, or change in cash and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basic and diluted net loss per share is calculated by dividing net loss by the weighted-average number of shares of common stock outstanding for the period. Restricted stock units and options to purchase common stock are considered to be potentially dilutive common shares but have been excluded from the calculation of diluted net loss per share as their effect is anti-dilutive for all periods presented.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20" w:firstLine="432"/>
        <w:spacing w:after="0" w:line="277" w:lineRule="auto"/>
        <w:rPr>
          <w:sz w:val="20"/>
          <w:szCs w:val="20"/>
          <w:color w:val="auto"/>
        </w:rPr>
      </w:pPr>
      <w:r>
        <w:rPr>
          <w:rFonts w:ascii="Arial" w:cs="Arial" w:eastAsia="Arial" w:hAnsi="Arial"/>
          <w:sz w:val="18"/>
          <w:szCs w:val="18"/>
          <w:color w:val="auto"/>
        </w:rPr>
        <w:t>The following potentially dilutive common shares were excluded from the computation of diluted net loss per share for the interim periods presented because including them would have been anti-dilutive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3"/>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820" w:type="dxa"/>
            <w:vAlign w:val="bottom"/>
            <w:gridSpan w:val="2"/>
          </w:tcPr>
          <w:p>
            <w:pPr>
              <w:ind w:left="5500"/>
              <w:spacing w:after="0"/>
              <w:rPr>
                <w:sz w:val="20"/>
                <w:szCs w:val="20"/>
                <w:color w:val="auto"/>
              </w:rPr>
            </w:pPr>
            <w:r>
              <w:rPr>
                <w:rFonts w:ascii="Arial" w:cs="Arial" w:eastAsia="Arial" w:hAnsi="Arial"/>
                <w:sz w:val="14"/>
                <w:szCs w:val="14"/>
                <w:b w:val="1"/>
                <w:bCs w:val="1"/>
                <w:color w:val="auto"/>
                <w:w w:val="96"/>
              </w:rPr>
              <w:t>2014</w:t>
            </w:r>
          </w:p>
        </w:tc>
        <w:tc>
          <w:tcPr>
            <w:tcW w:w="1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400" w:type="dxa"/>
            <w:vAlign w:val="bottom"/>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50"/>
        </w:trPr>
        <w:tc>
          <w:tcPr>
            <w:tcW w:w="4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Stock options, restricted stock units, and unvested restricted stock</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3,972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Convertible notes</w:t>
            </w: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3,598</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7,570</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3,731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7,570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accumulated other comprehensive loss for the six months ended June 30, 2014 are summarized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20" w:type="dxa"/>
            <w:vAlign w:val="bottom"/>
          </w:tcPr>
          <w:p>
            <w:pPr>
              <w:spacing w:after="0"/>
              <w:rPr>
                <w:sz w:val="14"/>
                <w:szCs w:val="14"/>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Foreign Currency</w:t>
            </w:r>
          </w:p>
        </w:tc>
        <w:tc>
          <w:tcPr>
            <w:tcW w:w="180" w:type="dxa"/>
            <w:vAlign w:val="bottom"/>
          </w:tcPr>
          <w:p>
            <w:pPr>
              <w:spacing w:after="0"/>
              <w:rPr>
                <w:sz w:val="14"/>
                <w:szCs w:val="14"/>
                <w:color w:val="auto"/>
              </w:rPr>
            </w:pPr>
          </w:p>
        </w:tc>
        <w:tc>
          <w:tcPr>
            <w:tcW w:w="15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Accumulated Other</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(Loss) on Marketable</w:t>
            </w: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Translation Adjustment</w:t>
            </w:r>
          </w:p>
        </w:tc>
        <w:tc>
          <w:tcPr>
            <w:tcW w:w="180" w:type="dxa"/>
            <w:vAlign w:val="bottom"/>
          </w:tcPr>
          <w:p>
            <w:pPr>
              <w:spacing w:after="0"/>
              <w:rPr>
                <w:sz w:val="16"/>
                <w:szCs w:val="16"/>
                <w:color w:val="auto"/>
              </w:rPr>
            </w:pPr>
          </w:p>
        </w:tc>
        <w:tc>
          <w:tcPr>
            <w:tcW w:w="1540" w:type="dxa"/>
            <w:vAlign w:val="bottom"/>
          </w:tcPr>
          <w:p>
            <w:pPr>
              <w:jc w:val="right"/>
              <w:ind w:right="134"/>
              <w:spacing w:after="0"/>
              <w:rPr>
                <w:sz w:val="20"/>
                <w:szCs w:val="20"/>
                <w:color w:val="auto"/>
              </w:rPr>
            </w:pPr>
            <w:r>
              <w:rPr>
                <w:rFonts w:ascii="Arial" w:cs="Arial" w:eastAsia="Arial" w:hAnsi="Arial"/>
                <w:sz w:val="14"/>
                <w:szCs w:val="14"/>
                <w:b w:val="1"/>
                <w:bCs w:val="1"/>
                <w:color w:val="auto"/>
                <w:w w:val="91"/>
              </w:rPr>
              <w:t>Comprehensive Loss</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to 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at March 31,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Amounts reclassified to interest income</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at cost</w:t>
      </w:r>
    </w:p>
    <w:p>
      <w:pPr>
        <w:spacing w:after="0" w:line="17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1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values. If the fair values of our reporting unit exceed the carrying value of the net assets, goodwill is not considered impaired and no further analysis is required. If the carrying values of the net assets exceed the fair values of the reporting unit, then the second step of the impairment test must be performed in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order to determine the implied fair value of the goodwill. If the carrying value of the goodwill exceeds the implied fair value, then an impairment loss equal to the difference would be recorded.</w:t>
      </w:r>
    </w:p>
    <w:p>
      <w:pPr>
        <w:spacing w:after="0" w:line="11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February 2013, the Financial Accounting Standards Board (FASB) issued Accounting Standards Update No. 2013-02 Comprehensive Income (Topic 220): Reporting of Amounts Reclassified Out of Accumulated Other Comprehensive Income. This guidance is intended to provide disclosure on items reclassified out of accumulated other comprehensive income (loss) either in the notes or parenthetically on the face of the income statement. There was no impact on our financial statements from adoption, other than the additional disclosures.</w:t>
      </w:r>
    </w:p>
    <w:p>
      <w:pPr>
        <w:spacing w:after="0" w:line="52" w:lineRule="exact"/>
        <w:rPr>
          <w:sz w:val="20"/>
          <w:szCs w:val="20"/>
          <w:color w:val="auto"/>
        </w:rPr>
      </w:pPr>
    </w:p>
    <w:p>
      <w:pPr>
        <w:ind w:right="420" w:firstLine="405"/>
        <w:spacing w:after="0" w:line="259"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(Topic 606). This guidance is intended to improve and converge with international standards the financial reporting requirements for revenue from contracts with customers. It will be effective for our first quarter of 2017 and early adoption is not permitted. We are currently evaluating the impact of adoption of this new accounting pronouncement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Convertible Notes</w:t>
      </w:r>
    </w:p>
    <w:p>
      <w:pPr>
        <w:spacing w:after="0" w:line="22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4, 2014, we closed an underwritten public offering of $201.3 million aggregate principal amount of our 2.75% Senior Convertible Notes due 2034 (Notes) pursuant to an underwriting agreement, dated January 29, 2014.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 The initial conversion rate of the Notes is 17.8750 shares of our common stock, par value $0.001 per share, per $1,000 principal amount of Notes (which is equivalent to an initial conversion price of approximately $55.94 per share). The conversion rate will be subject to adjustment upon the occurrence of certain specified events. Holders may surrender their Notes for conversion at any time prior to the stated maturity date. On or after February 6, 2018 and prior to February 6, 2021, we may redeem any or all of the Notes in cash if the closing price of our common stock exceeds 130% of the conversion price for a specified number of days, and on or after February 6, 2021, we may redeem any or all of the Notes in cash without any such condition. The redemption price of the Notes will equal 100% of the principal amount of the Notes plus accrued and unpaid interest. Holders may require us to repurchase all or a portion of their Notes on each of February 6, 2021, February 6, 2024, and February 6, 2029 at a repurchase price in cash equal to 100% of the principal amount of the Notes plus accrued and unpaid interest. If we undergo a fundamental change, as defined in the terms of the Notes, holders may require us to repurchase the Notes in whole or in part for cash at a repurchase price equal to 100% of the principal amount of the Notes plus accrued and unpaid interest.</w:t>
      </w:r>
    </w:p>
    <w:p>
      <w:pPr>
        <w:spacing w:after="0" w:line="80"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We received $195.2 million, net of underwriting discounts, from the issuance of the Notes and incurred approximately $1.1 million in offering-related expenses. We used $126.0 million of the net proceeds to fund the cash portion of the consideration payable by us in connection with our acquisition of DVS Sciences, Inc. (now Fluidigm Sciences Inc.) (See Note 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w:t>
      </w:r>
    </w:p>
    <w:p>
      <w:pPr>
        <w:spacing w:after="0" w:line="121"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On February 13, 2014 (Acquisition Date), we acquired DVS Sciences, Inc. (DVS) primarily to broaden our addressable single-cell biology market opportunity and complement our existing product offerings. DVS develops, manufactures, markets, and sells multi-parameter single-cell protein analysis systems and related reagents and data analysis tools. DVS’s principal market is the life sciences research market consisting of drug development companies, government research centers, and universities worldwide.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The contractual price for the acquisition was $207.5 million, subject to certain adjustments as specified in the merger agreement. The aggregate purchase price was determined to be $199.9 million, as detailed in the table below (in thousands):</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126,048</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Issued 1,759,007 shares of Fluidigm common stock</w:t>
            </w:r>
          </w:p>
        </w:tc>
        <w:tc>
          <w:tcPr>
            <w:tcW w:w="2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76,805</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 consideration paid at Acquisition Date</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202,853</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 xml:space="preserve">Accelerated stock compensation </w:t>
            </w:r>
            <w:r>
              <w:rPr>
                <w:rFonts w:ascii="Arial" w:cs="Arial" w:eastAsia="Arial" w:hAnsi="Arial"/>
                <w:sz w:val="12"/>
                <w:szCs w:val="12"/>
                <w:color w:val="auto"/>
              </w:rPr>
              <w:t>(1)</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(6,690)</w:t>
            </w:r>
          </w:p>
        </w:tc>
      </w:tr>
      <w:tr>
        <w:trPr>
          <w:trHeight w:val="27"/>
        </w:trPr>
        <w:tc>
          <w:tcPr>
            <w:tcW w:w="7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fair value of vested Fluidigm equivalent stock options </w:t>
            </w:r>
            <w:r>
              <w:rPr>
                <w:rFonts w:ascii="Arial" w:cs="Arial" w:eastAsia="Arial" w:hAnsi="Arial"/>
                <w:sz w:val="12"/>
                <w:szCs w:val="12"/>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Working capital adjustment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7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Aggregate purchase price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100" w:hanging="328"/>
        <w:spacing w:after="0" w:line="28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part of the acquisition, we accelerated vesting of certain DVS stock options and shares of restricted stock, and incurred a $6.7 million expense, based upon the per share consideration paid to holders of shares of DVS common stock as of February 13, 2014. This expense is accounted for as a separate transaction and reflected in the acquisition-related expenses line of the condensed consolidated statements of operations.</w:t>
      </w:r>
    </w:p>
    <w:p>
      <w:pPr>
        <w:ind w:left="660" w:right="20" w:hanging="328"/>
        <w:spacing w:after="0" w:line="2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conjunction with the acquisition, we assumed all outstanding DVS stock options and unvested shares of restricted stock and converted, as of the Acquisition Date, the unvested stock options outstanding under the DVS stock option plan into unvested stock options to purchase approximately 143,000 shares of Fluidigm common stock and approximately 186,000 shares of restricted Fluidigm common stock, retaining the original vesting schedules. The fair value of all converted share-based awards was $14.6 million, of which $4.0 million was attributed to the pre-combination service period and was included in the calculation of purchase price. The remaining fair value will be recognized over the awards’ remaining vesting periods subsequent to the acquisition. The fair value of the Fluidigm equivalent share-based awards as of the Acquisition Date was estimated using the Black-Scholes valuation model.</w:t>
      </w:r>
    </w:p>
    <w:p>
      <w:pPr>
        <w:spacing w:after="0" w:line="8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Approximately 885,000 shares of Fluidigm common stock, with a fair value of $38.6 million, representing 50.3030% of the shares otherwise payable to the former stockholders of DVS, was deposited into escrow. These shares comprise a portion of the merger consideration and will be held in escrow to secure indemnification obligations under the merger agreement, if any, for a period of 13 to 18 months following the Acquisition Date, subject to any then pending indemnification claims.</w:t>
      </w:r>
    </w:p>
    <w:p>
      <w:pPr>
        <w:spacing w:after="0" w:line="7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Prior to the closing of the acquisition, we closed an underwritten public offering of $201.3 million aggregate principal amount of our Notes (See Note 3) to fund a portion of the cash consideration payable in connection with the acquisition. The results of DVS's operations have been included in the condensed consolidated financial statements for the period from February 13, 2014 to June 30, 2014.</w:t>
      </w:r>
    </w:p>
    <w:p>
      <w:pPr>
        <w:spacing w:after="0" w:line="73"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As of June 30, 2014, the accounting for the acquisition is preliminary due to the ongoing analysis of the developed technology relating to intellectual property rights acquired in connection with the acquisition, associated royalty obligations pursuant to third-party license agreements, and certain tax liabilities. Upon completion of this analysis and during the measurement period, we may record adjustments to the estimated amounts recorded.</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12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that assets acquired and liabilities assumed be recognized at their fair values as of the acquisition date. The following table summarizes the assets acquired and liabilities assumed as of the Acquisition Date (in thousands):</w:t>
      </w:r>
    </w:p>
    <w:p>
      <w:pPr>
        <w:spacing w:after="0" w:line="33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Allocation of purchase price</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7,698</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112,000</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104,245</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238,609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(1,114)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Tax payable</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(32,079)</w:t>
            </w: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(1,629)</w:t>
            </w:r>
          </w:p>
        </w:tc>
      </w:tr>
      <w:tr>
        <w:trPr>
          <w:trHeight w:val="27"/>
        </w:trPr>
        <w:tc>
          <w:tcPr>
            <w:tcW w:w="6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199,933</w:t>
            </w:r>
          </w:p>
        </w:tc>
      </w:tr>
      <w:tr>
        <w:trPr>
          <w:trHeight w:val="20"/>
        </w:trPr>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the fair value estimate of the identifiable intangible asset (in thousands) and its useful life:</w:t>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3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Useful Life</w:t>
            </w:r>
          </w:p>
        </w:tc>
        <w:tc>
          <w:tcPr>
            <w:tcW w:w="380" w:type="dxa"/>
            <w:vAlign w:val="bottom"/>
          </w:tcPr>
          <w:p>
            <w:pPr>
              <w:spacing w:after="0"/>
              <w:rPr>
                <w:sz w:val="20"/>
                <w:szCs w:val="20"/>
                <w:color w:val="auto"/>
              </w:rPr>
            </w:pPr>
          </w:p>
        </w:tc>
        <w:tc>
          <w:tcPr>
            <w:tcW w:w="21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Estimated Fair Value</w:t>
            </w:r>
          </w:p>
        </w:tc>
      </w:tr>
      <w:tr>
        <w:trPr>
          <w:trHeight w:val="27"/>
        </w:trPr>
        <w:tc>
          <w:tcPr>
            <w:tcW w:w="53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3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6"/>
              </w:rPr>
              <w:t>10 years</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112,000</w:t>
            </w:r>
          </w:p>
        </w:tc>
      </w:tr>
      <w:tr>
        <w:trPr>
          <w:trHeight w:val="27"/>
        </w:trPr>
        <w:tc>
          <w:tcPr>
            <w:tcW w:w="5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The $104.2 million of goodwill recognized as part of the transaction is attributable primarily to expected synergies and other benefits from the acquisition and is not expected to be deductible for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Costs</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Acquisition-related expenses were $10.7 million for the six months ended June 30, 2014 and primarily included accelerated vesting of certain DVS restricted stock and options, and consulting, legal, and investment banking fees. These costs are included within the acquisition-related expenses line of the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and Pro Forma Results</w:t>
      </w:r>
    </w:p>
    <w:p>
      <w:pPr>
        <w:spacing w:after="0" w:line="175" w:lineRule="exact"/>
        <w:rPr>
          <w:sz w:val="20"/>
          <w:szCs w:val="20"/>
          <w:color w:val="auto"/>
        </w:rPr>
      </w:pPr>
    </w:p>
    <w:p>
      <w:pPr>
        <w:ind w:right="440" w:firstLine="405"/>
        <w:spacing w:after="0" w:line="312" w:lineRule="auto"/>
        <w:rPr>
          <w:sz w:val="20"/>
          <w:szCs w:val="20"/>
          <w:color w:val="auto"/>
        </w:rPr>
      </w:pPr>
      <w:r>
        <w:rPr>
          <w:rFonts w:ascii="Arial" w:cs="Arial" w:eastAsia="Arial" w:hAnsi="Arial"/>
          <w:sz w:val="16"/>
          <w:szCs w:val="16"/>
          <w:color w:val="auto"/>
        </w:rPr>
        <w:t>The unaudited financial information in the table below summarizes our results of operations combined with DVS's as though the companies were combined as of the beginning of each of the periods presented. The unaudited pro forma information does not necessarily reflect the actual results of operations had the acquisition been consummated at the beginning of the fiscal reporting periods indicated nor is it indicative of future operating results.</w:t>
      </w:r>
    </w:p>
    <w:p>
      <w:pPr>
        <w:spacing w:after="0" w:line="300" w:lineRule="exact"/>
        <w:rPr>
          <w:sz w:val="20"/>
          <w:szCs w:val="20"/>
          <w:color w:val="auto"/>
        </w:rPr>
      </w:pPr>
    </w:p>
    <w:p>
      <w:pPr>
        <w:ind w:left="7040"/>
        <w:spacing w:after="0"/>
        <w:rPr>
          <w:sz w:val="20"/>
          <w:szCs w:val="20"/>
          <w:color w:val="auto"/>
        </w:rPr>
      </w:pPr>
      <w:r>
        <w:rPr>
          <w:rFonts w:ascii="Arial" w:cs="Arial" w:eastAsia="Arial" w:hAnsi="Arial"/>
          <w:sz w:val="14"/>
          <w:szCs w:val="14"/>
          <w:b w:val="1"/>
          <w:bCs w:val="1"/>
          <w:color w:val="auto"/>
        </w:rPr>
        <w:t>Six Months Ended June 30</w:t>
      </w:r>
    </w:p>
    <w:p>
      <w:pPr>
        <w:spacing w:after="0" w:line="1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21590</wp:posOffset>
            </wp:positionV>
            <wp:extent cx="1861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32" w:lineRule="exact"/>
        <w:rPr>
          <w:sz w:val="20"/>
          <w:szCs w:val="20"/>
          <w:color w:val="auto"/>
        </w:rPr>
      </w:pPr>
    </w:p>
    <w:tbl>
      <w:tblPr>
        <w:tblLayout w:type="fixed"/>
        <w:tblInd w:w="212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2013</w:t>
            </w:r>
          </w:p>
        </w:tc>
      </w:tr>
      <w:tr>
        <w:trPr>
          <w:trHeight w:val="228"/>
        </w:trPr>
        <w:tc>
          <w:tcPr>
            <w:tcW w:w="4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total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42,948</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(30,515)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(20,537)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Upon the acquisition of DVS, we acquired $104.2 million of goodwill. There were no changes in goodwill between the Acquisition Date and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details of our intangible assets related to the DVS acquisition as of June 30, 2014 (in thousands, except years):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3"/>
                <w:szCs w:val="13"/>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112,000</w:t>
            </w:r>
          </w:p>
        </w:tc>
        <w:tc>
          <w:tcPr>
            <w:tcW w:w="4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44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107,800</w:t>
            </w:r>
          </w:p>
        </w:tc>
        <w:tc>
          <w:tcPr>
            <w:tcW w:w="44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940" w:firstLine="432"/>
        <w:spacing w:after="0" w:line="308" w:lineRule="auto"/>
        <w:rPr>
          <w:sz w:val="20"/>
          <w:szCs w:val="20"/>
          <w:color w:val="auto"/>
        </w:rPr>
      </w:pPr>
      <w:r>
        <w:rPr>
          <w:rFonts w:ascii="Arial" w:cs="Arial" w:eastAsia="Arial" w:hAnsi="Arial"/>
          <w:sz w:val="17"/>
          <w:szCs w:val="17"/>
          <w:color w:val="auto"/>
        </w:rPr>
        <w:t>We recognized $2.8 million and $4.2 million in intangible asset amortization expense during the three and six months ended June 30, 2014, respectively. The estimated future amortization expense of intangible assets as of June 30, 2014 is as follows (in thousands):</w:t>
      </w:r>
    </w:p>
    <w:p>
      <w:pPr>
        <w:spacing w:after="0" w:line="341" w:lineRule="exact"/>
        <w:rPr>
          <w:sz w:val="20"/>
          <w:szCs w:val="20"/>
          <w:color w:val="auto"/>
        </w:rPr>
      </w:pPr>
    </w:p>
    <w:tbl>
      <w:tblPr>
        <w:tblLayout w:type="fixed"/>
        <w:tblInd w:w="1460" w:type="dxa"/>
        <w:tblCellMar>
          <w:top w:w="0" w:type="dxa"/>
          <w:left w:w="0" w:type="dxa"/>
          <w:bottom w:w="0" w:type="dxa"/>
          <w:right w:w="0" w:type="dxa"/>
        </w:tblCellMar>
      </w:tblPr>
      <w:tr>
        <w:trPr>
          <w:trHeight w:val="192"/>
        </w:trPr>
        <w:tc>
          <w:tcPr>
            <w:tcW w:w="300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 (remainder of year)</w:t>
            </w:r>
          </w:p>
        </w:tc>
        <w:tc>
          <w:tcPr>
            <w:tcW w:w="4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2015</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2017</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57,400</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shd w:val="clear" w:color="auto" w:fill="CCEEFF"/>
          </w:tcPr>
          <w:p>
            <w:pPr>
              <w:spacing w:after="0"/>
              <w:rPr>
                <w:sz w:val="22"/>
                <w:szCs w:val="22"/>
                <w:color w:val="auto"/>
              </w:rPr>
            </w:pPr>
          </w:p>
        </w:tc>
        <w:tc>
          <w:tcPr>
            <w:tcW w:w="4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240" w:type="dxa"/>
            <w:vAlign w:val="bottom"/>
            <w:vMerge w:val="restart"/>
          </w:tcPr>
          <w:p>
            <w:pPr>
              <w:jc w:val="right"/>
              <w:ind w:right="28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00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Details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56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2,650</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2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jc w:val="right"/>
              <w:ind w:right="16"/>
              <w:spacing w:after="0"/>
              <w:rPr>
                <w:sz w:val="20"/>
                <w:szCs w:val="20"/>
                <w:color w:val="auto"/>
              </w:rPr>
            </w:pPr>
            <w:r>
              <w:rPr>
                <w:rFonts w:ascii="Arial" w:cs="Arial" w:eastAsia="Arial" w:hAnsi="Arial"/>
                <w:sz w:val="18"/>
                <w:szCs w:val="18"/>
                <w:color w:val="auto"/>
              </w:rPr>
              <w:t>1,627</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8,815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3,871</w:t>
            </w:r>
          </w:p>
        </w:tc>
      </w:tr>
      <w:tr>
        <w:trPr>
          <w:trHeight w:val="237"/>
        </w:trPr>
        <w:tc>
          <w:tcPr>
            <w:tcW w:w="75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16,357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8,148</w:t>
            </w:r>
          </w:p>
        </w:tc>
      </w:tr>
      <w:tr>
        <w:trPr>
          <w:trHeight w:val="27"/>
        </w:trPr>
        <w:tc>
          <w:tcPr>
            <w:tcW w:w="7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Property and Equipment, net</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31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2,728</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Laboratory and manufacturing equipment</w:t>
            </w:r>
          </w:p>
        </w:tc>
        <w:tc>
          <w:tcPr>
            <w:tcW w:w="2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13,972</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2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822</w:t>
            </w:r>
          </w:p>
        </w:tc>
      </w:tr>
      <w:tr>
        <w:trPr>
          <w:trHeight w:val="27"/>
        </w:trPr>
        <w:tc>
          <w:tcPr>
            <w:tcW w:w="7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19,007</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(14,470)</w:t>
            </w:r>
          </w:p>
        </w:tc>
      </w:tr>
      <w:tr>
        <w:trPr>
          <w:trHeight w:val="27"/>
        </w:trPr>
        <w:tc>
          <w:tcPr>
            <w:tcW w:w="7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2,281</w:t>
            </w:r>
          </w:p>
        </w:tc>
      </w:tr>
      <w:tr>
        <w:trPr>
          <w:trHeight w:val="257"/>
        </w:trPr>
        <w:tc>
          <w:tcPr>
            <w:tcW w:w="7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6,818</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a basis for considering fair value, we follow a three-tier value hierarchy, which prioritizes the inputs used in measuring fair value as follows: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 observable inputs such as quoted prices in active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 inputs other than quoted prices in active markets that are observable either directly or indirectly; and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III: unobservable inputs in which there is little or no market data, which requires us to develop our own assumptions.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Our cash equivalents, which include money market funds, are classified as Level I because they are valued using quoted market prices. Our investments are generally classified as Level II because their value is based on valuations using significant inputs derived from or corroborated by observable market data. Depending on the security, the income and market approaches are used in the model driven valuations. Inputs of these models include recently executed transaction prices in securities of the issuer or comparable issuers and yield curves.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financial instruments that were measured at fair value by level within the fair value hierarchy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20" w:type="dxa"/>
            <w:vAlign w:val="bottom"/>
          </w:tcPr>
          <w:p>
            <w:pPr>
              <w:spacing w:after="0"/>
              <w:rPr>
                <w:sz w:val="22"/>
                <w:szCs w:val="22"/>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w:t>
            </w:r>
          </w:p>
        </w:tc>
        <w:tc>
          <w:tcPr>
            <w:tcW w:w="20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II</w:t>
            </w:r>
          </w:p>
        </w:tc>
        <w:tc>
          <w:tcPr>
            <w:tcW w:w="18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III</w:t>
            </w:r>
          </w:p>
        </w:tc>
        <w:tc>
          <w:tcPr>
            <w:tcW w:w="240" w:type="dxa"/>
            <w:vAlign w:val="bottom"/>
          </w:tcPr>
          <w:p>
            <w:pPr>
              <w:spacing w:after="0"/>
              <w:rPr>
                <w:sz w:val="22"/>
                <w:szCs w:val="22"/>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17,387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17,387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113,357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Total assets measured at fair</w:t>
            </w: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17,387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113,357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130,744</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17,547</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8"/>
                <w:szCs w:val="18"/>
                <w:color w:val="auto"/>
              </w:rPr>
              <w:t>51,025</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68,572</w:t>
            </w:r>
          </w:p>
        </w:tc>
        <w:tc>
          <w:tcPr>
            <w:tcW w:w="0" w:type="dxa"/>
            <w:vAlign w:val="bottom"/>
          </w:tcPr>
          <w:p>
            <w:pPr>
              <w:spacing w:after="0"/>
              <w:rPr>
                <w:sz w:val="1"/>
                <w:szCs w:val="1"/>
                <w:color w:val="auto"/>
              </w:rPr>
            </w:pPr>
          </w:p>
        </w:tc>
      </w:tr>
      <w:tr>
        <w:trPr>
          <w:trHeight w:val="246"/>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There were no significant transfers in and out of Level 1 and Level 2 fair value measurement categories during the three and six months ended June 30, 2014 and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investments at June 30, 2014 and December 31, 2013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664"/>
              <w:spacing w:after="0"/>
              <w:rPr>
                <w:sz w:val="20"/>
                <w:szCs w:val="20"/>
                <w:color w:val="auto"/>
              </w:rPr>
            </w:pPr>
            <w:r>
              <w:rPr>
                <w:rFonts w:ascii="Arial" w:cs="Arial" w:eastAsia="Arial" w:hAnsi="Arial"/>
                <w:sz w:val="14"/>
                <w:szCs w:val="14"/>
                <w:b w:val="1"/>
                <w:bCs w:val="1"/>
                <w:color w:val="auto"/>
                <w:w w:val="90"/>
              </w:rPr>
              <w:t>June 30, 2014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113,385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113,357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504"/>
              <w:spacing w:after="0"/>
              <w:rPr>
                <w:sz w:val="20"/>
                <w:szCs w:val="20"/>
                <w:color w:val="auto"/>
              </w:rPr>
            </w:pPr>
            <w:r>
              <w:rPr>
                <w:rFonts w:ascii="Arial" w:cs="Arial" w:eastAsia="Arial" w:hAnsi="Arial"/>
                <w:sz w:val="14"/>
                <w:szCs w:val="14"/>
                <w:b w:val="1"/>
                <w:bCs w:val="1"/>
                <w:color w:val="auto"/>
              </w:rPr>
              <w:t>December 31, 2013</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left="304"/>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Cost</w:t>
            </w:r>
          </w:p>
        </w:tc>
        <w:tc>
          <w:tcPr>
            <w:tcW w:w="1100" w:type="dxa"/>
            <w:vAlign w:val="bottom"/>
          </w:tcPr>
          <w:p>
            <w:pPr>
              <w:jc w:val="center"/>
              <w:ind w:left="324"/>
              <w:spacing w:after="0"/>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304"/>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5"/>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51,012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00" w:type="dxa"/>
            <w:vAlign w:val="bottom"/>
            <w:tcBorders>
              <w:top w:val="single" w:sz="8" w:color="auto"/>
              <w:bottom w:val="single" w:sz="8" w:color="CCEEFF"/>
            </w:tcBorders>
            <w:shd w:val="clear" w:color="auto" w:fill="CCEEFF"/>
          </w:tcPr>
          <w:p>
            <w:pPr>
              <w:jc w:val="right"/>
              <w:ind w:right="904"/>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51,025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contractual maturity dates of $51.1 million of our investments are within one year from June 30, 2014. The contractual maturity dates of our remaining securities are less than eighteen months from June 30, 2014.</w:t>
      </w:r>
    </w:p>
    <w:p>
      <w:pPr>
        <w:spacing w:after="0" w:line="3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Based on an evaluation of securities that were in a loss position, we did not recognize any other-than-temporary impairment charges for the three and six months ended June 30, 2014 and 2013. All of these investments have been in a continuous loss position for less than 12 months. Our conclusion that these losses are not “other-than-temporary” is based on the high credit quality of the securities, their short remaining maturity and our intent and ability to hold such securities until the date of recovery of their respective market values or maturity.</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our cash and cash equivalents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2014</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2013</w:t>
            </w: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17,714</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17,387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17,547</w:t>
            </w:r>
          </w:p>
        </w:tc>
      </w:tr>
      <w:tr>
        <w:trPr>
          <w:trHeight w:val="27"/>
        </w:trPr>
        <w:tc>
          <w:tcPr>
            <w:tcW w:w="8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43,681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35,261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At June 30, 2014, we had approximately $0.1 million in restricted cash which is included in other non-current assets on the condensed consolidated balance sheets.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 of Credit</w:t>
      </w:r>
    </w:p>
    <w:p>
      <w:pPr>
        <w:spacing w:after="0" w:line="17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 bank line of credit, as amended, provides us with the ability to borrow up to $10.0 million, of which $6.0 million is available on a non-formula basis, subject to certain covenants and other restrictions. The balance of $4.0 million is available based on eligible receivables. The line of credit expires in December 2014 and is collateralized by our assets, excluding our intellectual property, and bears interest at a rate equal to the greater of (i) 3.75% or (ii) the prime rate plus 0.50% per year. On May 9, 2014, we entered into a modification agreement with the lender to amend and waive certain financial covenants under the financing agreement, effective as of March 31, 2014. On July 31, 2014, we entered into a modification agreement with the lender to amend and waive the financial covenant under the financing agreement regarding our effective tangible net worth amount, which cannot at any time exceed a deficit of more than $100.0 million, effective as of June 30, 2014. Except to the extent specifically amended pursuant to the modification agreements, the financing agreement remains in full force and effect. As of June 30, 2014, there was no outstanding balance on the line of credit and we were in compliance with all applicable covenants under the financing agreement.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43"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Lease (the 2014 Amendment), which provided for an expansion of the premises covered under the Lease by approximately 13,000 square feet, effective October 1, 2014; payment of base rent with rent escalation; and payment of certain operating expenses during the term of the Lease. The 2014 Amendment also provided for an allowance of approximately $0.2 million for tenant improvements, which, to the extent not used by March 31, 2015, will be used to offset base rent obligations,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$2.5 million as of June 30, 2014.</w:t>
      </w:r>
    </w:p>
    <w:p>
      <w:pPr>
        <w:spacing w:after="0" w:line="13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In June 2014, Fluidigm Singapore leased additional space of approximately 2,400 square feet in the same building as the new facility on the same terms as the Lease. We completed the consolidation of our Singapore manufacturing operations in the new space in July 2014. The leases relating to our prior manufacturing facility in Singapore will terminate on August 31, 2014. The total future minimum lease payments for the additional space, which will be paid through June 2022, are approximately $330,000 as of June 30, 2014.</w:t>
      </w:r>
    </w:p>
    <w:p>
      <w:pPr>
        <w:spacing w:after="0" w:line="4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connection with our acquisition of DVS (See Note 4), we assumed the operating leases for facilities in Sunnyvale, California and Markham, Ontario, Canada, which expire in January 2016 and July 2016, respectively.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assumed operating leases in Sunnyvale, California and Markham, Ontario, Canada are approximately $640,000 as of June 30, 2014.</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w:t>
      </w:r>
    </w:p>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accrue for estimated warranty obligations at the time of product shipment. Management periodically reviews the estimated fair value of its warranty liability and records adjustments based on the terms of warranties provided to customers, historical and anticipated warranty claim experience. Activity for our warranty accrual for the three and six months ended June 30, 2014 and 2013, which is included in other accrued liabilities, is summarized below (in thousands):</w:t>
      </w:r>
    </w:p>
    <w:p>
      <w:pPr>
        <w:spacing w:after="0" w:line="35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8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257</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Acquired warranty obligation from DVS</w:t>
            </w:r>
          </w:p>
        </w:tc>
        <w:tc>
          <w:tcPr>
            <w:tcW w:w="10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expense, net</w:t>
            </w: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r>
      <w:tr>
        <w:trPr>
          <w:trHeight w:val="257"/>
        </w:trPr>
        <w:tc>
          <w:tcPr>
            <w:tcW w:w="48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288</w:t>
            </w:r>
          </w:p>
        </w:tc>
      </w:tr>
      <w:tr>
        <w:trPr>
          <w:trHeight w:val="20"/>
        </w:trPr>
        <w:tc>
          <w:tcPr>
            <w:tcW w:w="4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From time to time, we may be subject to various legal proceedings and claims arising in the ordinary course of business. We assess contingencies to determine the degree of probability and range of possible loss for potential accrual in our financial statements. An estimated loss contingency is accrued in the financial statements if it is probable that a liability has been incurred and the amount of the loss can be reasonably estimated.</w:t>
      </w:r>
    </w:p>
    <w:p>
      <w:pPr>
        <w:spacing w:after="0" w:line="93"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Pursuant to the terms of a patent cross license agreement with Applied Biosystems, LLC (a subsidiary of Life Technologies Corporation, or Life, and now part of Thermo Fisher Scientific), we were obligated to make a $1.0 million payment to Life upon satisfaction of certain conditions. We do not believe that the conditions triggering the payment obligation have been met; however, on October 16, 2013, Life provided notice that the $1.0 million payment was due and payable under the license agreement. We accrued a loss contingency of $1.0 million on September 30, 2013 and on January 30, 2014, we paid Life the amount due while reserving our rights with respect to such matter. Among other reasons, we made the payment to avoid what would have been, in our view, an improper termination of our license to certain Life patent filings under the agreement, which could have subjected our relevant product lines to risks associated with patent infringement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the three and six months ended June 30, 2014, we granted certain employees options to purchase 72,000 and 403,000 shares of common stock, respectively. The options granted during the three months ended June 30, 2014 had exercise prices ranging from $27.25 to $37.56 and a total grant date fair value of $1.1 million. The options granted during the six months ended June 30, 2014 had exercise prices ranging from $27.25 to $47.55 and a total grant date fair value of $9.8 million.</w:t>
      </w:r>
    </w:p>
    <w:p>
      <w:pPr>
        <w:spacing w:after="0" w:line="5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During the three and six months ended June 30, 2014, we granted certain employees 38,000 and 323,000 restricted stock units, respectively. The restricted stock units granted during the three months ended June 30, 2014 had fair market values ranging from $27.74 to $37.56 and a total grant date fair value of $1.2 million. The restricted stock units granted during the six months ended June 30, 2014 had fair market values ranging from $27.74 to $47.55 and a total grant date fair value of $14.7 million. The fair value of restricted stock units is determined based on the value of the underlying common stock on the date of grant.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expenses relating to these options and restricted stock units will be recognized over their respective four-year vesting periods.</w:t>
      </w:r>
    </w:p>
    <w:p>
      <w:pPr>
        <w:spacing w:after="0" w:line="171"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We recognized stock-based compensation expense of $5.9 million and $1.7 million during the three months ended June 30, 2014 and 2013, respectively. We recognized stock-based compensation expense of $9.3 million and $2.9 million during the six months ended June 30, 2014 and 2013, respectively. As of June 30, 2014, we had $23.0 million and $18.4 million of unrecognized stock-based compensation costs related to stock options and restricted stock units, respectively, which are expected to be recognized over a weighted average period of 2.6 years and 2.9 years, respectively.</w:t>
      </w:r>
    </w:p>
    <w:p>
      <w:pPr>
        <w:spacing w:after="0" w:line="117"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In conjunction with the DVS acquisition, we assumed all outstanding DVS stock options and unvested shares of restricted stock (See Note 4). As of June 30, 2014, we had $1.8 million and $4.7 million of unrecognized stock-based compensation costs related to the assumed stock options and restricted stock, respectively, which are expected to be recognized over a remaining weighted average period of 1.8 years and 0.6 years, respectively.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FLUIDIGM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Income taxes are primarily comprised of state and foreign income taxes. The provision or benefit for income taxes for the periods presented differs from the 34% U.S. Federal statutory rate primarily due to maintaining a valuation allowance for U.S. losses and tax assets, which we do not consider to be realizable. Income tax expense primarily consists of amounts payable in foreign jurisdictions. As a result of the intangible assets arising from the DVS acquisition (See Note 4), we recorded foreign and California deferred tax liabilities of approximately $30.0 million and approximately $2.0 million, respectively. The related valuation allowance associated with our California deferred tax assets was released and recorded as an income tax benefit in the quarter ended March 31, 2014. Additional tax benefit was recorded in the quarter ended June 30, 2014 attributable to the acquired entity's operating losses and its related deferred tax liabilities from the amortization of acquired intangible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Information About Geographic Areas</w:t>
      </w:r>
    </w:p>
    <w:p>
      <w:pPr>
        <w:spacing w:after="0" w:line="175"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operate in one reporting segment, which is the development, manufacturing, and commercialization of life science analytical and preparatory systems consisting of instruments and consumables for academic institutions, clinical laboratories, and pharmaceutical, biotechnology, and Ag-Bio companies in growth markets, such as single-cell biology and production genomics.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our product revenue by geography based on the billing address of our customers for each period presented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17,067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7,532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13,914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7,937</w:t>
            </w: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1,885</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3,478</w:t>
            </w: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w:t>
            </w: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27,479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52,928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31,522</w:t>
            </w:r>
          </w:p>
        </w:tc>
      </w:tr>
      <w:tr>
        <w:trPr>
          <w:trHeight w:val="27"/>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Our license and grant revenues are primarily generated in the United States. No individual customer represented more than 10% of our revenues for the three and six month periods ended June 30, 2014 and 2013.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i w:val="1"/>
          <w:iCs w:val="1"/>
          <w:color w:val="auto"/>
        </w:rPr>
        <w:t>The following discussion and analysis should be read together with our condensed consolidated financial statements and the notes to those statements included elsewhere in this Form 10-Q. This Form 10-Q contains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The forward-looking statements are contained principally in the section entitled “Risk Factors” and this Management’s Discussion and Analysis of Financial Condition and Results of Operations. Forward-looking statements include information concerning our possible or assumed future cash flow, revenue, sources of revenue and results of operations, operating and other expenses, unit sales, business strategies, financing plans, expansion of our business,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12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Form 10-Q, and in our Annual Report on Form 10-K filed with the Securities and Exchange Commission, or SEC. Given these uncertainties, you should not place undue reliance on these forward-looking statements. Also, forward-looking statements represent our management’s beliefs and assumptions only as of the date of this Form 10-Q.</w:t>
      </w:r>
    </w:p>
    <w:p>
      <w:pPr>
        <w:spacing w:after="0" w:line="104"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10-Q completely and with the understanding that our actual future results may be materially different from what we expect.</w:t>
      </w:r>
    </w:p>
    <w:p>
      <w:pPr>
        <w:spacing w:after="0" w:line="11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i w:val="1"/>
          <w:iCs w:val="1"/>
          <w:color w:val="auto"/>
        </w:rPr>
        <w:t>“Fluidigm,” the Fluidigm logo, “BioMark,” “Access Array,” “C</w:t>
      </w:r>
      <w:r>
        <w:rPr>
          <w:rFonts w:ascii="Arial" w:cs="Arial" w:eastAsia="Arial" w:hAnsi="Arial"/>
          <w:sz w:val="12"/>
          <w:szCs w:val="12"/>
          <w:i w:val="1"/>
          <w:iCs w:val="1"/>
          <w:color w:val="auto"/>
        </w:rPr>
        <w:t>1</w:t>
      </w:r>
      <w:r>
        <w:rPr>
          <w:rFonts w:ascii="Arial" w:cs="Arial" w:eastAsia="Arial" w:hAnsi="Arial"/>
          <w:sz w:val="18"/>
          <w:szCs w:val="18"/>
          <w:i w:val="1"/>
          <w:iCs w:val="1"/>
          <w:color w:val="auto"/>
        </w:rPr>
        <w:t>,” “CyTOF,” “EP1,” “SNPtype,” and “DELTAgene” are trademarks or registered trademarks of Fluidigm Corporation. Other service marks, trademarks, and trade names referred to in this Form 10-Q are the property of their respective owners.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 this Form 10-Q, “we,” “us” and “our” refer to Fluidigm Corporation and its subsidiaries.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develop, manufacture, and market life science analytical and preparatory systems for growth markets such as single-cell biology and production genomics. We sell to leading academic institutions, clinical laboratories, and pharmaceutical, biotechnology, and agricultural biotechnology, or Ag-Bio, companies worldwide. Our systems are based on proprietary microfluidics and multi-parameter mass cytometry technology, and are designed to significantly simplify experimental workflow, increase throughput, and reduce costs, while providing excellent data quality. We have sold approximately 1,075 systems to customers in over 30 countries worldwide.</w:t>
      </w:r>
    </w:p>
    <w:p>
      <w:pPr>
        <w:spacing w:after="0" w:line="134"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We have launched several product lines since 2006, including systems for gene expression analysis, genotyping, digital polymerase chain reaction, or digital PCR, single nucleotide polymorphism genotyping, or SNP genotyping, target enrichment, high-throughput gene expression analysis, targeted single-cell gene expression analysis, and single-cell sample preparation. In May 2011, we launched assay products for gene expression and genotyping, and primers for targeted next-generation DNA sequencing. Our genomics systems utilize one or more integrated fluidic circuits, or IFCs, designed for particular applications and include specialized instrumentation and software, as well as assays and other reagents for certain applications. Additionally, pursuant to our acquisition of DVS Sciences, Inc. (now Fluidigm Sciences Inc.), or DVS, on February 13, 2014, we now also develop, manufacture, market, and sell multi-parameter single-cell protein analysis systems and related reagents and data analysis tools.</w:t>
      </w:r>
    </w:p>
    <w:p>
      <w:pPr>
        <w:spacing w:after="0" w:line="12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primarily located in Singapore and Canada. Our facility in Singapore manufactures our genomics analytical and preparatory instruments, several of which are assembled at facilities of our contract manufacturers in Singapore, with testing and calibration of the assembled products performed at our Singapore facility. All of our IFCs for commercial sale and some IFCs for our research and development purposes are also fabricated at our Singapore facility. Our proteomics analytical instruments are manufactured at our facility in Canada, and our assays and reagents for commercial sale and IFCs for our research and development purposes are manufactured at our facilities in South San Francisco and Sunnyvale, California.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Our total revenue grew from $52.3 million in 2012 to $71.2 million in 2013, and for the six months ended June 30, 2014, our total revenue was $53.3 million. We have incurred significant net losses since our inception in 1999 and, as of June 30, 2014, our accumulated deficit was $285.4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Estimates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condensed consolidated financial statements and the related notes included elsewhere in this Form 10-Q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Changes in accounting estimates may occur from period to period. Accordingly, actual results could differ significantly from the estimates made by our management. We evaluate our estimates and assumptions on an ongoing basis. To the extent there are material differences between these estimates and actual results, our future financial statement presentation, financial condition, results of operations, and cash flows will be affected.</w:t>
      </w:r>
    </w:p>
    <w:p>
      <w:pPr>
        <w:spacing w:after="0" w:line="12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Except as otherwise disclosed, there have been no material changes in our critical accounting policies and estimates in the preparation of our condensed consolidated financial statements during the six months ended June 30, 2014 compared to those disclosed in our Annual Report on Form 10-K for the year ended December 31, 2013, as filed with the SEC on March 12,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six months ended June 30, 2014, we have revised or added the following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Accounting for business acquisitions requires management to make judgments as to whether a purchase transaction is a multiple element contract, meaning that it includes other transaction components such as a settlement of a preexisting relationship. This judgment and determination affects the amount of consideration paid that is allocable to assets and liabilities acquired in the business purchase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including Goodwill</w:t>
      </w:r>
    </w:p>
    <w:p>
      <w:pPr>
        <w:spacing w:after="0" w:line="175"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We first conduct an assessment of qualitative factors to determine whether it is more likely than not that the fair value of our reporting unit is less than its carrying amount. If we determine that it is more likely than not that the fair value of our reporting unit is less than its carrying amount, we then conduct a two-step test for impairment of goodwill. In the first step, we compare the fair value of our reporting unit to its carrying values. If the fair values of our reporting unit exceed the carrying value of the net assets, goodwill is not considered impaired and no further analysis is required. If the carrying values of the net assets exceed the fair values of the reporting unit, then the second step of the impairment test must be performed in order to determine the implied fair value of the goodwill. If the carrying value of the goodwill exceeds the implied fair value, then an impairment loss equal to the difference would be recorded.</w:t>
      </w:r>
    </w:p>
    <w:p>
      <w:pPr>
        <w:spacing w:after="0" w:line="11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evaluate our finite lived intangible assets for indicators of possible impairment when events or changes in circumstances indicate the carrying amount of an asset may not be recoverable. If any indicator of impairment exists, we assess the recoverability of the affected intangible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presents our historical condensed consolidated statements of operations data for the three and six months ended June 30, 2014 and 2013, and as a percentage of total revenue for the respective period ($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Pr>
          <w:p>
            <w:pPr>
              <w:spacing w:after="0"/>
              <w:rPr>
                <w:sz w:val="18"/>
                <w:szCs w:val="18"/>
                <w:color w:val="auto"/>
              </w:rPr>
            </w:pPr>
          </w:p>
        </w:tc>
      </w:tr>
      <w:tr>
        <w:trPr>
          <w:trHeight w:val="297"/>
        </w:trPr>
        <w:tc>
          <w:tcPr>
            <w:tcW w:w="25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5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27,607</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17,480</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53,331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32,015</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Cost of product revenue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9,955</w:t>
            </w:r>
          </w:p>
        </w:tc>
        <w:tc>
          <w:tcPr>
            <w:tcW w:w="120" w:type="dxa"/>
            <w:vAlign w:val="bottom"/>
          </w:tcPr>
          <w:p>
            <w:pPr>
              <w:spacing w:after="0"/>
              <w:rPr>
                <w:sz w:val="21"/>
                <w:szCs w:val="21"/>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4,876</w:t>
            </w:r>
          </w:p>
        </w:tc>
        <w:tc>
          <w:tcPr>
            <w:tcW w:w="12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18,659</w:t>
            </w:r>
          </w:p>
        </w:tc>
        <w:tc>
          <w:tcPr>
            <w:tcW w:w="100" w:type="dxa"/>
            <w:vAlign w:val="bottom"/>
          </w:tcPr>
          <w:p>
            <w:pPr>
              <w:spacing w:after="0"/>
              <w:rPr>
                <w:sz w:val="21"/>
                <w:szCs w:val="21"/>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9,135</w:t>
            </w:r>
          </w:p>
        </w:tc>
        <w:tc>
          <w:tcPr>
            <w:tcW w:w="12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29</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w:t>
            </w: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Selling, general and</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18,655</w:t>
            </w:r>
          </w:p>
        </w:tc>
        <w:tc>
          <w:tcPr>
            <w:tcW w:w="12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11,597</w:t>
            </w: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33,912</w:t>
            </w:r>
          </w:p>
        </w:tc>
        <w:tc>
          <w:tcPr>
            <w:tcW w:w="10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22,743</w:t>
            </w: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71</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Acquisition-related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7"/>
        </w:trPr>
        <w:tc>
          <w:tcPr>
            <w:tcW w:w="25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39,984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21,470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82,287</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41,072</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129</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21"/>
                <w:szCs w:val="21"/>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Gain from sale of investment in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Verinata</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w:t>
            </w:r>
          </w:p>
        </w:tc>
      </w:tr>
      <w:tr>
        <w:trPr>
          <w:trHeight w:val="243"/>
        </w:trPr>
        <w:tc>
          <w:tcPr>
            <w:tcW w:w="250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r>
      <w:tr>
        <w:trPr>
          <w:trHeight w:val="229"/>
        </w:trPr>
        <w:tc>
          <w:tcPr>
            <w:tcW w:w="2500" w:type="dxa"/>
            <w:vAlign w:val="bottom"/>
          </w:tcPr>
          <w:p>
            <w:pPr>
              <w:ind w:left="180"/>
              <w:spacing w:after="0"/>
              <w:rPr>
                <w:sz w:val="20"/>
                <w:szCs w:val="20"/>
                <w:color w:val="auto"/>
              </w:rPr>
            </w:pPr>
            <w:r>
              <w:rPr>
                <w:rFonts w:ascii="Arial" w:cs="Arial" w:eastAsia="Arial" w:hAnsi="Arial"/>
                <w:sz w:val="18"/>
                <w:szCs w:val="18"/>
                <w:color w:val="auto"/>
              </w:rPr>
              <w:t>Benefit from (provision for)</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5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0"/>
                <w:szCs w:val="20"/>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2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2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(28,096)</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generate revenue from sales of our products, license agreements, and government grants. Our product revenue consists of sales of instruments and related services, and consumables, including IFCs, assays, and other reagents. We have entered into license agreements and have received government grants to conduct research and development activities.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revenue by source for each period presented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1700" w:type="dxa"/>
            <w:vAlign w:val="bottom"/>
            <w:gridSpan w:val="4"/>
          </w:tcPr>
          <w:p>
            <w:pPr>
              <w:ind w:left="1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480"/>
              <w:spacing w:after="0"/>
              <w:rPr>
                <w:sz w:val="20"/>
                <w:szCs w:val="20"/>
                <w:color w:val="auto"/>
              </w:rPr>
            </w:pPr>
            <w:r>
              <w:rPr>
                <w:rFonts w:ascii="Arial" w:cs="Arial" w:eastAsia="Arial" w:hAnsi="Arial"/>
                <w:sz w:val="16"/>
                <w:szCs w:val="16"/>
                <w:b w:val="1"/>
                <w:bCs w:val="1"/>
                <w:color w:val="auto"/>
                <w:w w:val="90"/>
              </w:rPr>
              <w:t>June 30,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500" w:type="dxa"/>
            <w:vAlign w:val="bottom"/>
            <w:tcBorders>
              <w:bottom w:val="single" w:sz="8" w:color="CCEEFF"/>
            </w:tcBorders>
          </w:tcPr>
          <w:p>
            <w:pPr>
              <w:spacing w:after="0"/>
              <w:rPr>
                <w:sz w:val="22"/>
                <w:szCs w:val="22"/>
                <w:color w:val="auto"/>
              </w:rPr>
            </w:pPr>
          </w:p>
        </w:tc>
        <w:tc>
          <w:tcPr>
            <w:tcW w:w="39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3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380"/>
              <w:spacing w:after="0"/>
              <w:rPr>
                <w:sz w:val="20"/>
                <w:szCs w:val="20"/>
                <w:color w:val="auto"/>
              </w:rPr>
            </w:pPr>
            <w:r>
              <w:rPr>
                <w:rFonts w:ascii="Arial" w:cs="Arial" w:eastAsia="Arial" w:hAnsi="Arial"/>
                <w:sz w:val="18"/>
                <w:szCs w:val="18"/>
                <w:color w:val="auto"/>
              </w:rPr>
              <w:t>Instruments</w:t>
            </w:r>
          </w:p>
        </w:tc>
        <w:tc>
          <w:tcPr>
            <w:tcW w:w="4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15,370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w w:val="90"/>
              </w:rPr>
              <w:t>10,165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30,477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w w:val="90"/>
              </w:rPr>
              <w:t>18,070</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Consumables</w:t>
            </w:r>
          </w:p>
        </w:tc>
        <w:tc>
          <w:tcPr>
            <w:tcW w:w="39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13,452</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39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27,479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0"/>
              </w:rPr>
              <w:t>17,267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52,928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0"/>
              </w:rPr>
              <w:t>31,522</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revenue</w:t>
            </w:r>
          </w:p>
        </w:tc>
        <w:tc>
          <w:tcPr>
            <w:tcW w:w="39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Grant revenue</w:t>
            </w:r>
          </w:p>
        </w:tc>
        <w:tc>
          <w:tcPr>
            <w:tcW w:w="3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4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0"/>
              </w:rPr>
              <w:t>17,480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0"/>
              </w:rPr>
              <w:t>32,015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presents our product revenue by geography and as a percentage of total product revenue by geography based on the billing address of our customers for each period presented ($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9"/>
          </w:tcPr>
          <w:p>
            <w:pPr>
              <w:jc w:val="right"/>
              <w:ind w:right="160"/>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9"/>
          </w:tcPr>
          <w:p>
            <w:pPr>
              <w:jc w:val="right"/>
              <w:ind w:right="260"/>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Pr>
          <w:p>
            <w:pPr>
              <w:spacing w:after="0"/>
              <w:rPr>
                <w:sz w:val="18"/>
                <w:szCs w:val="18"/>
                <w:color w:val="auto"/>
              </w:rPr>
            </w:pPr>
          </w:p>
        </w:tc>
      </w:tr>
      <w:tr>
        <w:trPr>
          <w:trHeight w:val="33"/>
        </w:trPr>
        <w:tc>
          <w:tcPr>
            <w:tcW w:w="3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8"/>
        </w:trPr>
        <w:tc>
          <w:tcPr>
            <w:tcW w:w="39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7,532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13,914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Asia-Pacific</w:t>
            </w: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39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27,479</w:t>
            </w: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17,267</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52,928</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31,522</w:t>
            </w: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customers include academic research institutions, clinical laboratories, and pharmaceutical, biotechnology, and Ag-Bio companies worldwide.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Total revenue from our five largest customers in each of the periods presented comprised 21% and 17% of our total revenue in the three and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2014, respectively, and 19% and 20% of our total revenue in the three and six months ended June 30, 2013,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2014 and June 30, 2013</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Total revenue increased by $10.1 million, or 58%, to $27.6 million for the three months ended June 30, 2014, compared to $17.5 million for the three months ended June 30, 2013.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Product revenue increased by $10.2 million, or 59%, to $27.5 million for the three months ended June 30, 2014, compared to $17.3 million for the three months ended June 30, 2013.</w:t>
      </w:r>
    </w:p>
    <w:p>
      <w:pPr>
        <w:spacing w:after="0" w:line="116"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Instrument revenue increased by $5.2 million, or 51%, primarily driven by the impact of unit sales of our CyTOF 2 system which we commenced selling upon the acquisition of DVS, increased net unit sales of our preparatory systems, which include our C</w:t>
      </w:r>
      <w:r>
        <w:rPr>
          <w:rFonts w:ascii="Arial" w:cs="Arial" w:eastAsia="Arial" w:hAnsi="Arial"/>
          <w:sz w:val="12"/>
          <w:szCs w:val="12"/>
          <w:color w:val="auto"/>
        </w:rPr>
        <w:t>1</w:t>
      </w:r>
      <w:r>
        <w:rPr>
          <w:rFonts w:ascii="Arial" w:cs="Arial" w:eastAsia="Arial" w:hAnsi="Arial"/>
          <w:sz w:val="18"/>
          <w:szCs w:val="18"/>
          <w:color w:val="auto"/>
        </w:rPr>
        <w:t xml:space="preserve"> Single-Cell Auto Prep System, and to a lesser extent, increases in unit sales of our EP1 System. Higher sales of service offerings, including service related to CyTOF 2 systems also contributed to the increase in instrument revenue. The revenue increase was partially offset by lower unit sales of our BioMark HD and Access Array Systems. Instrument revenue growth, excluding revenue attributable to the recently acquired operations of DVS, was 20% for the three months ended June 30, 2014 compared to the comparable period in 2013.</w:t>
      </w:r>
    </w:p>
    <w:p>
      <w:pPr>
        <w:spacing w:after="0" w:line="13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Consumables revenue increased by $5.0 million, or 71%, primarily due to growth in overall IFC unit volume, driven mainly by increased sales to production genomics customers. Annualized IFC pull-through for our genomics analytical systems was within our historical range of $40,000 to $50,000 per system and slightly above our expected range of $15,000 to $25,000 per system for our genomics preparatory systems. Annualized IFC pull-through for our proteomics analytical systems was slightly above the historical range of $50,000 to $70,000 per system. To a lesser extent, sales from our recently acquired antibody consumables, and higher sales of our assays and reagents also contributed to the overall increase in consumables revenue. Consumables revenue growth, excluding revenue attributable to the recently acquired operations of DVS, was 51% for the three months ended June 30, 2014 compared to the comparable period in 2013.</w:t>
      </w:r>
    </w:p>
    <w:p>
      <w:pPr>
        <w:spacing w:after="0" w:line="13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Grant revenue consists of a grant from California Institute for Regenerative Medicine, or CIRM.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 revenue was $54,000 and $165,000 for the three months ended June 30, 2014 and 2013,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our cost of product revenue and product margin for each period presented (in thousands, other than percentages):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16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gridSpan w:val="3"/>
          </w:tcPr>
          <w:p>
            <w:pPr>
              <w:jc w:val="right"/>
              <w:ind w:right="37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9,955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4,876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bl>
    <w:p>
      <w:pPr>
        <w:spacing w:after="0" w:line="175"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Cost of product revenue increased by $5.1 million, or 104%, to $10.0 million for the three months ended June 30, 2014 from $4.9 million for the three months ended June 30, 2013. Overall cost of product revenue as a percentage of related revenue was 36% and 28% for the three months ended June 30, 2014 and 2013, respectively.</w:t>
      </w:r>
    </w:p>
    <w:p>
      <w:pPr>
        <w:spacing w:after="0" w:line="127"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The increase in cost of product revenue during the quarter ended June 30, 2014 was primarily driven by amortization of developed technology of approximately $2.8 million. Excluding this charge, non-GAAP product margin would be approximately 74%, and approximately 2 percentage points higher than the comparable period in the prior year. The unfavorable impact of this charge was partially offset by improved instrument margins mainly due to a higher sales mix of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Systems, which have a higher margin compared to other instruments; lower IFC costs resulting from higher production volumes related to higher sales volumes; and favorable sales volumes and average unit sales prices for our assays and reagents. In addition, there was an overall shift in the sales mix from instruments to consumables which have relatively higher margins.</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34"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rPr>
              <w:t>June 30,</w:t>
            </w:r>
          </w:p>
        </w:tc>
        <w:tc>
          <w:tcPr>
            <w:tcW w:w="1300" w:type="dxa"/>
            <w:vAlign w:val="bottom"/>
          </w:tcPr>
          <w:p>
            <w:pPr>
              <w:spacing w:after="0"/>
              <w:rPr>
                <w:sz w:val="18"/>
                <w:szCs w:val="18"/>
                <w:color w:val="auto"/>
              </w:rPr>
            </w:pPr>
          </w:p>
        </w:tc>
      </w:tr>
      <w:tr>
        <w:trPr>
          <w:trHeight w:val="25"/>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18,655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11,597</w:t>
            </w:r>
          </w:p>
        </w:tc>
      </w:tr>
      <w:tr>
        <w:trPr>
          <w:trHeight w:val="27"/>
        </w:trPr>
        <w:tc>
          <w:tcPr>
            <w:tcW w:w="76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30,029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16,594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Research and development expense increased $6.4 million, or 128%, to $11.4 million for the three months ended June 30, 2014, compared to $5.0 million for the three months ended June 30, 2013. The increase was mainly due to higher headcount and other compensation-related costs of $4.5 million, an increase in lab supplies and equipment costs of $1.1 million, and an increase in outside services of $0.4 million. We incurred these costs to support our development and commercialization of new and existing products and services. The total research and development costs attributable to the recently acquired operations of DVS were approximately $4.1 million for the quarter.</w:t>
      </w:r>
    </w:p>
    <w:p>
      <w:pPr>
        <w:spacing w:after="0" w:line="11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9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Selling, general and administrative expense increased $7.1 million, or 61%, to $18.7 million for the three months ended June 30, 2014, compared to $11.6 million for the three months ended June 30, 2013. The increase was mainly due to increased headcount and other compensation-related costs of $3.8 million, integration expense of approximately $1.1 million, an increase in legal and accounting fees of $1.0 million, and an increase in sales and marketing activities of $0.8 million. The increase was primarily driven by expansion of our worldwide commercial capabilities, and to a lesser extent, general and administrative expense to support our growth. The total selling, general and administrative costs attributable to the recently acquired operations of DVS were approximately $2.5 million.</w:t>
      </w:r>
    </w:p>
    <w:p>
      <w:pPr>
        <w:spacing w:after="0" w:line="139"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expense, net for each period presented (in thousands):</w:t>
      </w:r>
    </w:p>
    <w:p>
      <w:pPr>
        <w:spacing w:after="0" w:line="279"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2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17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Interest expense increased by $1.4 million for the three months ended June 30, 2014 compared to the three months ended June 30, 2013. The increase is due to accrued interest on the Notes and amortization of underwriting commission and other debt related costs.</w:t>
      </w:r>
    </w:p>
    <w:p>
      <w:pPr>
        <w:spacing w:after="0" w:line="11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Other expense, net decreased by $21,000 for the three months ended June 30, 2014 compared to the three months ended June 30, 2013. The decrease in loss in the three months ended June 30, 2014 compared to the comparable period in 2013 was due primarily to higher interest income from the investment of remaining proceeds from the issuance of the Notes.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recorded a tax benefit of $1.1 million, or an effective tax benefit of 8.2%, for the three months ended June 30, 2014. The tax benefit for the three months ended June 30, 2014 was primarily attributable to amortization of our acquisition-related deferred tax liability and income tax benefit from our foreign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2014 and June 30, 2013</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Total Revenue</w:t>
      </w:r>
    </w:p>
    <w:p>
      <w:pPr>
        <w:spacing w:after="0" w:line="9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Total revenue increased by $21.3 million, or 67%, to $53.3 million for the six months ended June 30, 2014, compared to $32.0 million for the six months ended June 30, 2013.</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Product Revenue</w:t>
      </w:r>
    </w:p>
    <w:p>
      <w:pPr>
        <w:spacing w:after="0" w:line="9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Product revenue increased by $21.4 million, or 68%, to $52.9 million for the six months ended June 30, 2014, compared to $31.5 million for the six months ended June 30,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Instrument revenue increased by $12.4 million, or 69%, primarily driven by increased net unit sales of our preparatory systems, which include our C</w:t>
      </w:r>
      <w:r>
        <w:rPr>
          <w:rFonts w:ascii="Arial" w:cs="Arial" w:eastAsia="Arial" w:hAnsi="Arial"/>
          <w:sz w:val="12"/>
          <w:szCs w:val="12"/>
          <w:color w:val="auto"/>
        </w:rPr>
        <w:t>1</w:t>
      </w:r>
      <w:r>
        <w:rPr>
          <w:rFonts w:ascii="Arial" w:cs="Arial" w:eastAsia="Arial" w:hAnsi="Arial"/>
          <w:sz w:val="18"/>
          <w:szCs w:val="18"/>
          <w:color w:val="auto"/>
        </w:rPr>
        <w:t xml:space="preserve"> Single-Cell Auto Prep System, the impact of unit sales of our CyTOF 2 system which we commenced selling upon the acquisition of DVS, and to a lesser extent, increases in unit sales of our BioMark HD System. Higher sales of service offerings, including service related to CyTOF 2 systems, also contributed to the increase in instrument revenue. The revenue increase was partially offset by lower unit sales of our Access Array System and lower accessory sales. Instrument revenue growth, excluding revenue attributable to the recently acquired operations of DVS, was 38% for the six months ended June 30, 2014 compared to the comparable period in 2013.</w:t>
      </w:r>
    </w:p>
    <w:p>
      <w:pPr>
        <w:spacing w:after="0" w:line="13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Consumables revenue increased by $9.0 million, or 67%, primarily due to growth in overall IFC unit volume, driven mainly by increased sales to production genomics customers. Annualized IFC pull-through for our genomics analytical systems was within our historical range of $40,000 to $50,000 per system and slightly above our expected range of $15,000 to $25,000 per system for our genomics preparatory systems. Annualized IFC pull-through for our proteomics analytical systems was slightly above the historical range of $50,000 to $70,000 per system. To a lesser extent, sales from our recently acquired antibody consumables, and higher sales of our assays and reagents also contributed to the overall increase in consumables revenue. Consumables revenue growth, excluding revenue attributable to the recently acquired operations of DVS, was 53% for the six months ended June 30, 2014 compared to the comparable period in 2013.</w:t>
      </w:r>
    </w:p>
    <w:p>
      <w:pPr>
        <w:spacing w:after="0" w:line="135"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We expect total unit sales of both instruments and consumables to increase over time as we continue our efforts to grow our customer base, expand our geographic market coverage, and launch new products. However, we expect the average selling prices of our products to fluctuate over time based on market conditions, product mix, and currency fluctuations.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Grant Revenue</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Grant revenue consists of a grant from CIRM. Our CIRM grant was awarded in 2011 in the amount of $1.9 million to be earned over a three-year period which ended in April 2014. The CIRM grant revenue is recognized as the related research and development services are performed and costs associated with the grants are recognized as research and development expense during the period incurred.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Grant revenue was $0.2 million and $0.3 million for the six months ended June 30, 2014 and 2013, respectively.</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our cost of product revenue and product margin for each period presented (in thousands, other than percentages):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Six Months Ended</w:t>
            </w:r>
          </w:p>
        </w:tc>
        <w:tc>
          <w:tcPr>
            <w:tcW w:w="1200" w:type="dxa"/>
            <w:vAlign w:val="bottom"/>
          </w:tcPr>
          <w:p>
            <w:pPr>
              <w:spacing w:after="0"/>
              <w:rPr>
                <w:sz w:val="17"/>
                <w:szCs w:val="17"/>
                <w:color w:val="auto"/>
              </w:rPr>
            </w:pPr>
          </w:p>
        </w:tc>
      </w:tr>
      <w:tr>
        <w:trPr>
          <w:trHeight w:val="210"/>
        </w:trPr>
        <w:tc>
          <w:tcPr>
            <w:tcW w:w="7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4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June 30,</w:t>
            </w:r>
          </w:p>
        </w:tc>
        <w:tc>
          <w:tcPr>
            <w:tcW w:w="120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8"/>
        </w:trPr>
        <w:tc>
          <w:tcPr>
            <w:tcW w:w="754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8"/>
              </w:rPr>
              <w:t>18,659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9,135</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Product margin</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Cost of product revenue includes manufacturing costs incurred in the production process, including component materials, labor and overhead, installation, packaging, and delivery costs. In addition, cost of product revenue includes royalty costs for licensed technologies included in our products, warranty, service, provisions for slow-moving and obsolete inventory, and stock-based compensation expense. Costs related to license and grant revenue are included in research and development expense.</w:t>
      </w:r>
    </w:p>
    <w:p>
      <w:pPr>
        <w:spacing w:after="0" w:line="13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Cost of product revenue increased by $9.5 million, or 104%, to $18.7 million for the six months ended June 30, 2014. Overall cost of product revenue as a percentage of related revenue was 35% and 29% for the six months ended June 30, 2014 and 2013, respectively.</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Non-cash charges attributable to the recently acquired operations of DVS increased the cost of product revenue by approximately $5.2 million and as a percentage of related revenue by approximately 10 percentage points. These charges included amortization of developed technology, depreciation and amortization, step-up in the basis of acquired inventory, and stock-based compensation expense.</w:t>
      </w:r>
    </w:p>
    <w:p>
      <w:pPr>
        <w:spacing w:after="0" w:line="12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unfavorable impact of these charges was partially offset by lower IFC costs resulting from higher production volumes related to higher sales volumes; inventory build-up in preparation for the transition of our Singapore manufacturing operations to a new site; and to a lesser extent, favorable average unit sales prices. Assays and reagent margins also improved mainly due to higher sales volumes. In addition, instrument margins improved mainly due to a higher mix of C</w:t>
      </w:r>
      <w:r>
        <w:rPr>
          <w:rFonts w:ascii="Arial" w:cs="Arial" w:eastAsia="Arial" w:hAnsi="Arial"/>
          <w:sz w:val="12"/>
          <w:szCs w:val="12"/>
          <w:color w:val="auto"/>
        </w:rPr>
        <w:t>1</w:t>
      </w:r>
      <w:r>
        <w:rPr>
          <w:rFonts w:ascii="Arial" w:cs="Arial" w:eastAsia="Arial" w:hAnsi="Arial"/>
          <w:sz w:val="18"/>
          <w:szCs w:val="18"/>
          <w:color w:val="auto"/>
        </w:rPr>
        <w:t xml:space="preserve"> Single-Cell Auto Prep Systems, which have a higher margin compared to other instruments, favorable average unit sales prices for instruments, and favorable freight costs.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operating expenses for each period presented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60" w:type="dxa"/>
            <w:vAlign w:val="bottom"/>
            <w:gridSpan w:val="3"/>
          </w:tcPr>
          <w:p>
            <w:pPr>
              <w:ind w:left="100"/>
              <w:spacing w:after="0"/>
              <w:rPr>
                <w:sz w:val="20"/>
                <w:szCs w:val="20"/>
                <w:color w:val="auto"/>
              </w:rPr>
            </w:pPr>
            <w:r>
              <w:rPr>
                <w:rFonts w:ascii="Arial" w:cs="Arial" w:eastAsia="Arial" w:hAnsi="Arial"/>
                <w:sz w:val="16"/>
                <w:szCs w:val="16"/>
                <w:b w:val="1"/>
                <w:bCs w:val="1"/>
                <w:color w:val="auto"/>
                <w:w w:val="96"/>
              </w:rPr>
              <w:t>Six Months Ended</w:t>
            </w:r>
          </w:p>
        </w:tc>
        <w:tc>
          <w:tcPr>
            <w:tcW w:w="1160" w:type="dxa"/>
            <w:vAlign w:val="bottom"/>
          </w:tcPr>
          <w:p>
            <w:pPr>
              <w:spacing w:after="0"/>
              <w:rPr>
                <w:sz w:val="17"/>
                <w:szCs w:val="17"/>
                <w:color w:val="auto"/>
              </w:rPr>
            </w:pPr>
          </w:p>
        </w:tc>
      </w:tr>
      <w:tr>
        <w:trPr>
          <w:trHeight w:val="210"/>
        </w:trPr>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3"/>
          </w:tcPr>
          <w:p>
            <w:pPr>
              <w:ind w:left="480"/>
              <w:spacing w:after="0"/>
              <w:rPr>
                <w:sz w:val="20"/>
                <w:szCs w:val="20"/>
                <w:color w:val="auto"/>
              </w:rPr>
            </w:pPr>
            <w:r>
              <w:rPr>
                <w:rFonts w:ascii="Arial" w:cs="Arial" w:eastAsia="Arial" w:hAnsi="Arial"/>
                <w:sz w:val="16"/>
                <w:szCs w:val="16"/>
                <w:b w:val="1"/>
                <w:bCs w:val="1"/>
                <w:color w:val="auto"/>
              </w:rPr>
              <w:t>June 30,</w:t>
            </w:r>
          </w:p>
        </w:tc>
        <w:tc>
          <w:tcPr>
            <w:tcW w:w="116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8"/>
        </w:trPr>
        <w:tc>
          <w:tcPr>
            <w:tcW w:w="766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19,020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33,912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22,743</w:t>
            </w:r>
          </w:p>
        </w:tc>
      </w:tr>
      <w:tr>
        <w:trPr>
          <w:trHeight w:val="27"/>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10,696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63,628</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31,937</w:t>
            </w:r>
          </w:p>
        </w:tc>
      </w:tr>
      <w:tr>
        <w:trPr>
          <w:trHeight w:val="27"/>
        </w:trPr>
        <w:tc>
          <w:tcPr>
            <w:tcW w:w="76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440" w:firstLine="432"/>
        <w:spacing w:after="0" w:line="259" w:lineRule="auto"/>
        <w:rPr>
          <w:sz w:val="20"/>
          <w:szCs w:val="20"/>
          <w:color w:val="auto"/>
        </w:rPr>
      </w:pPr>
      <w:r>
        <w:rPr>
          <w:rFonts w:ascii="Arial" w:cs="Arial" w:eastAsia="Arial" w:hAnsi="Arial"/>
          <w:sz w:val="18"/>
          <w:szCs w:val="18"/>
          <w:color w:val="auto"/>
        </w:rPr>
        <w:t>Research and development expense consists primarily of personnel and independent contractor costs, prototype and material expenses, and other allocated facilities and information technology expenses. We have made substantial investments in research and development since our inception. Our research and development efforts have focused primarily on enhancing our technologies and supporting development and commercialization of new and existing products and services.</w:t>
      </w:r>
    </w:p>
    <w:p>
      <w:pPr>
        <w:spacing w:after="0" w:line="13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Research and development expense increased $9.8 million, or 107%, to $19.0 million for the six months ended June 30, 2014, compared to $9.2 million for the six months ended June 30, 2013. The increase was mainly due to higher headcount and other compensation-related costs of $6.9 million, an increase in lab supplies and equipment costs of $1.6 million, an increase in facility expenses of $0.7 million, and an increase in outside services of $0.6 million. We incurred these costs to support our development and commercialization of new and existing products and services. The total research and development costs attributable to the recently acquired operations of DVS were approximately $6.1 million.</w:t>
      </w:r>
    </w:p>
    <w:p>
      <w:pPr>
        <w:spacing w:after="0" w:line="11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believe that our continued investment in research and development is essential to our long-term competitive position and these expenses may increase in future periods.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71"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color w:val="auto"/>
        </w:rPr>
        <w:t>Selling, general and administrative expense consists primarily of personnel costs for our sales and marketing, business development, finance, legal, human resources, and general management, as well as professional services, such as legal and accounting services.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Selling, general and administrative expense increased $11.2 million, or 49%, to $33.9 million for the six months ended June 30, 2014,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$22.7 million for the six months ended June 30, 2013. The increase was mainly due to higher headcount and other compensation-related costs of $6.3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legal and accounting fees of $1.7 million, integration expense of approximately $1.1 million, and an increase in sales and marketing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$0.9 million. The increase was primarily driven by expansion of our worldwide commercial capabilities, and to a lesser extent, 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to support our growth. The total selling, general and administrative costs attributable to the recently acquired operations of DVS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 million.</w:t>
      </w:r>
    </w:p>
    <w:p>
      <w:pPr>
        <w:spacing w:after="0" w:line="15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expect selling, general and administrative expense to increase in future periods as we continue to grow our sales, technical support, marketing, and administrative headcount, support increased product sales, broaden our customer base, and incur additional costs to support our expanding global footprint and the overall growth in our business.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Acquisition-Related Expenses</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Acquisition-related expenses were $10.7 million for the six months ended June 30, 2014 and primarily included accelerated vesting of certain DVS restricted stock and options and consulting, legal, and investment banking fees.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Other Income and Expense, Net</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We have incurred interest expense and amortization of debt discount related to our long-term debt. The following table presents interest expense and other income (expense), net for each period presented (in thousands):</w:t>
      </w:r>
    </w:p>
    <w:p>
      <w:pPr>
        <w:spacing w:after="0" w:line="279" w:lineRule="exact"/>
        <w:rPr>
          <w:sz w:val="20"/>
          <w:szCs w:val="20"/>
          <w:color w:val="auto"/>
        </w:rPr>
      </w:pPr>
    </w:p>
    <w:p>
      <w:pPr>
        <w:ind w:left="90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6"/>
                <w:szCs w:val="16"/>
                <w:b w:val="1"/>
                <w:bCs w:val="1"/>
                <w:color w:val="auto"/>
              </w:rPr>
              <w:t>June 30,</w:t>
            </w:r>
          </w:p>
        </w:tc>
        <w:tc>
          <w:tcPr>
            <w:tcW w:w="1220" w:type="dxa"/>
            <w:vAlign w:val="bottom"/>
          </w:tcPr>
          <w:p>
            <w:pPr>
              <w:spacing w:after="0"/>
              <w:rPr>
                <w:sz w:val="18"/>
                <w:szCs w:val="18"/>
                <w:color w:val="auto"/>
              </w:rPr>
            </w:pPr>
          </w:p>
        </w:tc>
      </w:tr>
      <w:tr>
        <w:trPr>
          <w:trHeight w:val="25"/>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Gain from sales of investment in Verinata</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1,777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79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On February 4, 2014, we closed an underwritten public offering of $201.3 million aggregate principal amount of our 2.75% Senior Convertible Notes due 2034, or the Notes. The Notes will accrue interest at a rate of 2.75% per year, payable semi-annually in arrears on February 1 and August 1 of each year, commencing August 1, 2014. The Notes will mature on February 1, 2034, unless earlier converted, redeemed, or repurchased in accordance with the terms of the Notes.</w:t>
      </w:r>
    </w:p>
    <w:p>
      <w:pPr>
        <w:spacing w:after="0" w:line="13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Interest expense increased by $2.4 million for the six months ended June 30, 2014 compared to the six months ended June 30, 2013. The increase is due to accrued interest on the Notes and amortization of underwriting commission and other debt related costs.</w:t>
      </w:r>
    </w:p>
    <w:p>
      <w:pPr>
        <w:spacing w:after="0" w:line="116" w:lineRule="exact"/>
        <w:rPr>
          <w:sz w:val="20"/>
          <w:szCs w:val="20"/>
          <w:color w:val="auto"/>
        </w:rPr>
      </w:pPr>
    </w:p>
    <w:p>
      <w:pPr>
        <w:ind w:right="200" w:firstLine="432"/>
        <w:spacing w:after="0" w:line="279" w:lineRule="auto"/>
        <w:rPr>
          <w:sz w:val="20"/>
          <w:szCs w:val="20"/>
          <w:color w:val="auto"/>
        </w:rPr>
      </w:pPr>
      <w:r>
        <w:rPr>
          <w:rFonts w:ascii="Arial" w:cs="Arial" w:eastAsia="Arial" w:hAnsi="Arial"/>
          <w:sz w:val="17"/>
          <w:szCs w:val="17"/>
          <w:color w:val="auto"/>
        </w:rPr>
        <w:t>In February 2013, Illumina, Inc. acquired Verinata Health, Inc. (Verinata) for $350 million in cash and up to an additional $100 million in milestone payments through 2015. In March 2013, we received cash proceeds of $3.1 million in exchange for our ownership interest in Verinata, resulting in a gain of $1.8 million. If the milestone payments become payable in the future, we could receive up to $3.2 million in additional proceeds. The $1.8 million gain we recognized did not include any amounts that may be received upon the achievement of future milestones.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Other income, net increased by $0.3 million for the six months ended June 30, 2014 compared to other expense, net of $0.3 million for the six months ended June 30, 2013. In 2013, the loss was due primarily to an unfavorable rate change in the Japanese Yen against the U.S. dollar, which did not recur in the current period.</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7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recorded a tax benefit of $3.3 million, or an effective tax benefit rate of 10.4%, for the six months ended June 30, 2014. Of the $3.3 million tax benefit, $2.0 million related to the valuation allowance released in the quarter ended March 31, 2014 and $1.3 million primarily consisted of net income tax benefit from foreign operations and deferred tax liabilities from the amortization of acquired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June 30, 2014, our principal sources of liquidity consisted of $43.7 million of cash and cash equivalents and $113.4 million of investments. As of June 30, 2014, our working capital excluding deferred revenue totaled $106.0 million.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our cash flow summary for each period presented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gridSpan w:val="3"/>
          </w:tcPr>
          <w:p>
            <w:pPr>
              <w:ind w:left="160"/>
              <w:spacing w:after="0"/>
              <w:rPr>
                <w:sz w:val="20"/>
                <w:szCs w:val="20"/>
                <w:color w:val="auto"/>
              </w:rPr>
            </w:pPr>
            <w:r>
              <w:rPr>
                <w:rFonts w:ascii="Arial" w:cs="Arial" w:eastAsia="Arial" w:hAnsi="Arial"/>
                <w:sz w:val="16"/>
                <w:szCs w:val="16"/>
                <w:b w:val="1"/>
                <w:bCs w:val="1"/>
                <w:color w:val="auto"/>
                <w:w w:val="98"/>
              </w:rPr>
              <w:t>Six Months Ended</w:t>
            </w:r>
          </w:p>
        </w:tc>
        <w:tc>
          <w:tcPr>
            <w:tcW w:w="1140" w:type="dxa"/>
            <w:vAlign w:val="bottom"/>
          </w:tcPr>
          <w:p>
            <w:pPr>
              <w:spacing w:after="0"/>
              <w:rPr>
                <w:sz w:val="17"/>
                <w:szCs w:val="17"/>
                <w:color w:val="auto"/>
              </w:rPr>
            </w:pPr>
          </w:p>
        </w:tc>
      </w:tr>
      <w:tr>
        <w:trPr>
          <w:trHeight w:val="210"/>
        </w:trPr>
        <w:tc>
          <w:tcPr>
            <w:tcW w:w="47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gridSpan w:val="3"/>
          </w:tcPr>
          <w:p>
            <w:pPr>
              <w:ind w:left="540"/>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spacing w:after="0"/>
              <w:rPr>
                <w:sz w:val="18"/>
                <w:szCs w:val="18"/>
                <w:color w:val="auto"/>
              </w:rPr>
            </w:pPr>
          </w:p>
        </w:tc>
      </w:tr>
      <w:tr>
        <w:trPr>
          <w:trHeight w:val="33"/>
        </w:trPr>
        <w:tc>
          <w:tcPr>
            <w:tcW w:w="4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4720" w:type="dxa"/>
            <w:vAlign w:val="bottom"/>
          </w:tcPr>
          <w:p>
            <w:pPr>
              <w:spacing w:after="0"/>
              <w:rPr>
                <w:sz w:val="22"/>
                <w:szCs w:val="22"/>
                <w:color w:val="auto"/>
              </w:rPr>
            </w:pPr>
          </w:p>
        </w:tc>
        <w:tc>
          <w:tcPr>
            <w:tcW w:w="4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40" w:type="dxa"/>
            <w:vAlign w:val="bottom"/>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4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Cash flow summary</w:t>
            </w:r>
          </w:p>
        </w:tc>
        <w:tc>
          <w:tcPr>
            <w:tcW w:w="29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40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(10,235)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(3,521)</w:t>
            </w:r>
          </w:p>
        </w:tc>
      </w:tr>
      <w:tr>
        <w:trPr>
          <w:trHeight w:val="27"/>
        </w:trPr>
        <w:tc>
          <w:tcPr>
            <w:tcW w:w="4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9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(180,085)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(25,123)</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9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w w:val="98"/>
              </w:rPr>
              <w:t>198,669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2,420</w:t>
            </w:r>
          </w:p>
        </w:tc>
      </w:tr>
      <w:tr>
        <w:trPr>
          <w:trHeight w:val="27"/>
        </w:trPr>
        <w:tc>
          <w:tcPr>
            <w:tcW w:w="47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9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(26,359)</w:t>
            </w:r>
          </w:p>
        </w:tc>
      </w:tr>
      <w:tr>
        <w:trPr>
          <w:trHeight w:val="459"/>
        </w:trPr>
        <w:tc>
          <w:tcPr>
            <w:tcW w:w="4720" w:type="dxa"/>
            <w:vAlign w:val="bottom"/>
          </w:tcPr>
          <w:p>
            <w:pPr>
              <w:spacing w:after="0"/>
              <w:rPr>
                <w:sz w:val="24"/>
                <w:szCs w:val="24"/>
                <w:color w:val="auto"/>
              </w:rPr>
            </w:pPr>
          </w:p>
        </w:tc>
        <w:tc>
          <w:tcPr>
            <w:tcW w:w="2940" w:type="dxa"/>
            <w:vAlign w:val="bottom"/>
          </w:tcPr>
          <w:p>
            <w:pPr>
              <w:jc w:val="right"/>
              <w:ind w:right="1776"/>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We derive cash flows from operations primarily from cash collected from the sale of our products, license agreements, and grants from certain government entities. Our cash flows from operating activities are also significantly influenced by our use of cash for operating expenses to support the growth of our business. We have historically experienced negative cash flows from operating activities as we have expanded our business and built our infrastructure domestically and internationally, and this may continue in the future.</w:t>
      </w:r>
    </w:p>
    <w:p>
      <w:pPr>
        <w:spacing w:after="0" w:line="133"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Net cash used in operating activities was $10.2 million for the six months ended June 30, 2014, compared to $3.5 million for the six months ended June 30, 2013, an increase of $6.7 million. The cash used in operations in the first six months of 2014 resulted from a net loss of $28.1 million, adjusted for $18.7 million in non-cash charges and a $0.8 million net change in assets and liabilities. The significant non-cash charges included stock-based compensation expense, amortization of intangible assets, depreciation and amortization, and acquisition-related share-based awards acceleration expense. The net change in assets and liabilities was driven primarily by higher inventory and long-term assets and lower long-term liabilities, partially offset by a decrease in accounts receivable and an increase in accounts payable and deferred revenue. Our net loss, adjusted for non-cash and non-operating items, for the six months ended June 30, 2014 increased by $8.1 million, compared to the same period in 2013 primarily due to acquisition-related expenses of $6.5 million paid in cash.</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90"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primary investing activities consist of purchases, sales, and maturities of our short-term and long-term investments, and capital expenditures for manufacturing, laboratory, and computer equipment and software to support our expanding infrastructure and work force. We expect to continue to expand our manufacturing capability, including improvements in manufacturing productivity, and expect to incur additional costs for capital expenditures related to these efforts in future periods. In addition, we expect to continue to incur costs for capital expenditures for demonstration units and loaner equipment to support our sales and service efforts, and computer equipment and software to support our growth.</w:t>
      </w:r>
    </w:p>
    <w:p>
      <w:pPr>
        <w:spacing w:after="0" w:line="3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Net cash used in investing activities was $180.1 million during the six months ended June 30, 2014. Net cash used in investing activities primarily consisted of $113.2 million related to the acquisition of DVS, net of acquired cash of $8.4 million, and excluding $4.1 million attributed to the acceleration of DVS share-based awards and classified as cash used in operating activities; purchases of investments of $86.8 million; and capital expenditures of $4.6 million primarily to support growth in our manufacturing operations; partially offset by proceeds from sales and maturities of investments of $24.5 million.</w:t>
      </w:r>
    </w:p>
    <w:p>
      <w:pPr>
        <w:spacing w:after="0" w:line="100" w:lineRule="exact"/>
        <w:rPr>
          <w:sz w:val="20"/>
          <w:szCs w:val="20"/>
          <w:color w:val="auto"/>
        </w:rPr>
      </w:pPr>
    </w:p>
    <w:p>
      <w:pPr>
        <w:ind w:right="520" w:firstLine="432"/>
        <w:spacing w:after="0" w:line="257" w:lineRule="auto"/>
        <w:rPr>
          <w:sz w:val="20"/>
          <w:szCs w:val="20"/>
          <w:color w:val="auto"/>
        </w:rPr>
      </w:pPr>
      <w:r>
        <w:rPr>
          <w:rFonts w:ascii="Arial" w:cs="Arial" w:eastAsia="Arial" w:hAnsi="Arial"/>
          <w:sz w:val="18"/>
          <w:szCs w:val="18"/>
          <w:color w:val="auto"/>
        </w:rPr>
        <w:t>Net cash used in investing activities was $25.1 million during the six months ended June 30, 2013. Net cash used in investing activities primarily consisted of purchases of investments of $40.6 million, purchase of intangible assets from Helicos Biosciences Corporation of $950,000 and related transaction costs of $200,000, and purchases of capital equipment of $0.9 million to support growth in our commercial and manufacturing operations, partially offset by proceeds from sales and maturities of investments of $14.4 million and proceeds from the sale of our investment in Verinata of $3.1 million.</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90"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Net cash provided by financing activities was $198.7 million during the six months ended June 30, 2014 and consists of net proceeds of $195.2 million from the issuance of senior convertible notes and proceeds received in connection with the exercise of options for our common stock of $3.5 million.</w:t>
      </w:r>
    </w:p>
    <w:p>
      <w:pPr>
        <w:spacing w:after="0" w:line="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Net cash provided by financing activities was $2.4 million during the six months ended June 30, 2013 from proceeds received in connection with the exercise of options for our common stock.</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At June 30, 2014, our working capital excluding deferred revenue was $106.0 million, including cash, cash equivalents, and short-term investments of $94.7 million. On February 4, 2014, we closed an underwritten public offering of approximately $201.3 million aggregate principal amount of our 2.75% Senior Convertible Notes due 2034, or the Notes. We received cash proceeds of $195.2 million, net of underwriting discounts. Debt issuance costs were approximately $1.1 million. We used $126.0 million of the net proceeds to fund the cash portion of the consideration payable by us in connection with our acquisition of DVS.</w:t>
      </w:r>
    </w:p>
    <w:p>
      <w:pPr>
        <w:spacing w:after="0" w:line="53" w:lineRule="exact"/>
        <w:rPr>
          <w:sz w:val="20"/>
          <w:szCs w:val="20"/>
          <w:color w:val="auto"/>
        </w:rPr>
      </w:pPr>
    </w:p>
    <w:p>
      <w:pPr>
        <w:jc w:val="both"/>
        <w:ind w:right="320" w:firstLine="432"/>
        <w:spacing w:after="0" w:line="286" w:lineRule="auto"/>
        <w:rPr>
          <w:sz w:val="20"/>
          <w:szCs w:val="20"/>
          <w:color w:val="auto"/>
        </w:rPr>
      </w:pPr>
      <w:r>
        <w:rPr>
          <w:rFonts w:ascii="Arial" w:cs="Arial" w:eastAsia="Arial" w:hAnsi="Arial"/>
          <w:sz w:val="17"/>
          <w:szCs w:val="17"/>
          <w:color w:val="auto"/>
        </w:rPr>
        <w:t>We have a bank line of credit agreement that is collateralized by our assets, excluding intellectual property, and provides us the ability to draw up to $10.0 million, of which $6.0 million is available on a non-formula basis, subject to certain covenants and other restrictions. The balance of $4.0 million is available based on eligible receivables. At June 30, 2014, we had no borrowing outstanding under the bank line of credit.</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We are estimating capital expenditures to be higher in 2014 primarily for leasehold improvements at our new Singapore manufacturing facility.</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believe our existing cash, cash equivalents, and investments will be sufficient to meet our working capital and capital expenditure needs for at least the next 18 months. However, we may experience lower than expected cash generated from operating activities or greater than expected capital expenditures, cost of revenue, or operating expenses, and we may need to raise additional capital to expand the commercialization of our products, expand and fund our operations, further our research and development activities, or acquire or invest in a business. Our future funding requirements will depend on many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and the effect of competing technological and market developments. In the future, we may acquire businesses or technologies from third parties, and we may decide to raise additional capital through debt or equity financing to the extent we believe this is necessary to successfully complete these acquisitions. We currently have no material commitments or agreements relating to any such acquisitions.</w:t>
      </w:r>
    </w:p>
    <w:p>
      <w:pPr>
        <w:spacing w:after="0" w:line="11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require additional funds in the future, we may not be able to obtain such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or delay, reduce the scope of or eliminate some or all of our development programs.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As of June 30, 2014, we did not have any off-balance sheet arrangements as defined in Item 303(a)(4) of Regulation S-K promulgated under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April 9, 2013, we entered into an amendment (the 2013 Amendment) to the lease agreement dated September 14, 2010 (as amended, the Lease) relating to the lease of office and laboratory space at our corporate headquarters located in South San Francisco, California. The 2013 Amendment provided for an expansion of the premises covered under the Lease, effective April 1, 2014; an extension of the term of the Lease to April 30, 2020 with an option to renew for an additional five years; payment of base rent with rent escalation; and payment of certain operating expenses during the term of the Lease. The 2013 Amendment also provided for an allowance of approximately $0.7 million for tenant improvements, which, to the extent not used by March 31, 2015, will be used to offset base rent obligations, and an additional allowance of approximately $0.5 million for tenant improvements, which, if used, will be repaid in equal monthly payments with interest at a rate of 9% per annum over the remaining term of the Lease.</w:t>
      </w:r>
    </w:p>
    <w:p>
      <w:pPr>
        <w:spacing w:after="0" w:line="43"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On June 4, 2014, we entered into an additional amendment to the Lease (the 2014 Amendment), which provided for an expansion of the premises covered under the Lease by approximately 13,000 square feet, effective October 1, 2014; payment of base rent with rent escalation; and payment of certain operating expenses during the term of the Lease. The 2014 Amendment also provided for an allowance of approximately $0.2 million for tenant improvements, which, to the extent not used by March 31, 2015, will be used to offset base rent obligations, and an additional allowance of approximately $0.1 million for tenant improvements, which, if used, will be repaid in equal monthly payments with interest at a rate of 9% per annum over the remaining term of the Lease. The total future minimum lease payments for the additional space, which will be paid through April 2020, are approximately $2.5 million as of June 30, 2014.</w:t>
      </w:r>
    </w:p>
    <w:p>
      <w:pPr>
        <w:spacing w:after="0" w:line="135"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October 14, 2013, Fluidigm Singapore Pte. Ltd., our wholly-owned subsidiary (Fluidigm Singapore), accepted an offer of tenancy (Lease) from HSBC Institutional Trust Services (Singapore) Limited, as trustee of Ascendas Real Estate Investment Trust (Landlord), relating to the lease of a new facility located in Singapore. Pursuant to the terms of the Lease, Fluidigm Singapore took possession of the facility commencing on March 3, 2014 for a term of 99 months, and the Lease and rental obligations thereunder commenced on June 3, 2014. The Lease also provides Fluidigm Singapore with an option to renew the Lease for an additional 60 months at the then prevailing market rent, and on similar terms as the existing Lease. In June 2014, Fluidigm Singapore leased additional space of approximately 2,400 square feet in the same building as the new facility on the same terms as the Lease. We completed the consolidation of our Singapore manufacturing operations in the new space in July 2014. The leases relating to our prior manufacturing facility in Singapore will terminate on August 31, 2014. The total future minimum lease payments for the additional space, which will be paid through June 2022, are approximately $330,000 as of June 30, 2014.</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connection with our acquisition of DVS (See Note 4), we assumed the operating leases for facilities in Sunnyvale, California and Markham, Ontario, Canada, which expire in January 2016 and July 2016, respectively. The Canada lease includes an option to renew the lease for an additional five years at the then prevailing market rent, and on similar terms as the existing lease. We recognize rent expense on a straight-line basis over the non-cancelable lease term. The total future minimum lease payments for the assumed operating leases in Sunnyvale, California and Markham, Ontario, Canada are approximately $640,000 as of June 30,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we expand internationally, our results of operations and cash flows will become increasingly subject to fluctuations due to changes in foreign currency exchange rates. Our revenue is generally denominated in the local currency of the contracting party. Historically, the majority of our revenue has been denominated in U.S. dollars. Our expenses are generally denominated in the currencies in which our operations are located, which is primarily in the United States, with a portion of expenses incurred in Singapore where our manufacturing facility is located. Our results of operations and cash flows are, therefore, subject to fluctuations due to changes in foreign currency exchange rates. Fluctuations in currency exchange rates could harm our business in the future. The effect of a 10% adverse change in exchange rates on foreign currency denominated cash, receivables and payables as of June 30, 2014 would not have been material. To date, we have not entered into any foreign currency hedging contracts although we may do so in the future.</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We had cash and cash equivalents of $43.7 million at June 30, 2014. These amounts were held primarily in cash on deposit with banks and cash equivalents. We had $113.4 million in investments at June 30, 2014 held primarily in U.S. government and agency securities. The contractual maturity dates of $51.1 million of our U.S. government and agency securities are within one year from June 30, 2014. The contractual maturity dates of our remaining U.S. government and agency securities are less than eighteen months from June 30, 2014. Cash and cash equivalents and investments are held for working capital purposes.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decreased by 10% during the periods presented, our interest income would not have been materially affected.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We do not use derivative financial instruments for speculative or trading purposes. However, we may adopt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June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2014, our Chief Executive Officer and Chief Financial Officer concluded that, as of such date, our disclosure controls and procedures were effective at the reasonable assurance level.</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2014 that have materially affected, or are reasonably likely to materially affect, our internal control over financial reporting. However, during the quarter ended March 31, 2014, we completed our acquisition of DVS Sciences Inc. (now Fluidigm Sciences Inc.), or DVS, which is now our wholly-owned subsidiary and a "significant subsidiary" as defined by Rule 1-02 of Regulation S-X promulgated by the Securities and Exchange Commission. We are in the process of integrating DVS's operations with our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operations, including integration of financial reporting processes and procedures and internal controls over financing reporting. In the course of integrating DVS's financial reporting processes and procedures with ours, we may implement changes to financial reporting processes and procedures and internal controls over financing reporting and will disclose any such changes if material as required by the rules of the SEC.</w:t>
      </w:r>
    </w:p>
    <w:p>
      <w:pPr>
        <w:spacing w:after="0" w:line="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125" w:right="4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currently engaged in any material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Form 10-Q. If any of the risks or uncertainties we face were to occur, the trading price of our securities could decline, and you may lose all or part of your investment.</w:t>
      </w:r>
    </w:p>
    <w:p>
      <w:pPr>
        <w:spacing w:after="0" w:line="52"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i w:val="1"/>
          <w:iCs w:val="1"/>
          <w:color w:val="auto"/>
        </w:rPr>
        <w:t>On February 13, 2014, we completed the acquisition of DVS Sciences, Inc., or DVS (now Fluidigm Sciences Inc., or Fluidigm Sciences), which develops, manufactures, markets, and sells multi-parameter single-cell protein analysis systems. For purposes of the risk factors below, Fluidigm Sciences refers to Fluidigm Sciences and its wholly-owned Canadian subsidiary, Fluidigm Canada Inc., or Fluidigm Canada (formerly DVS Sciences Inc.).</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17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Emerging market opportunities may not develop as quickly as we expect, limiting our ability to successfully market and sell our products, or our product development and strategic plans relating to such markets may change and our entry into these emerging markets may be delayed, if it occurs at all.</w:t>
      </w:r>
    </w:p>
    <w:p>
      <w:pPr>
        <w:spacing w:after="0" w:line="4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application of our technologies to single-cell biology (across genomics and proteomics) and production genomics applications are emerging market opportunities. We believe these opportunities will take several years to develop or mature and we cannot be certain that these market opportunities will develop as we expect. For example, we launched our C</w:t>
      </w:r>
      <w:r>
        <w:rPr>
          <w:rFonts w:ascii="Arial" w:cs="Arial" w:eastAsia="Arial" w:hAnsi="Arial"/>
          <w:sz w:val="11"/>
          <w:szCs w:val="11"/>
          <w:color w:val="auto"/>
        </w:rPr>
        <w:t>1</w:t>
      </w:r>
      <w:r>
        <w:rPr>
          <w:rFonts w:ascii="Arial" w:cs="Arial" w:eastAsia="Arial" w:hAnsi="Arial"/>
          <w:sz w:val="17"/>
          <w:szCs w:val="17"/>
          <w:color w:val="auto"/>
        </w:rPr>
        <w:t xml:space="preserve"> Single-Cell Auto Prep System in June 2012, which applies our technology to, among other things, improve single-cell analytic workflow for single-cell genomics. The future growth of the single-cell biology market and the success of our products depend on many factors beyond our control, including recognition and acceptance by the scientific community, and the growth, prevalence, and costs of competing methods of genetic and protein analysis. If the market for single-cell biology and production genomics do not develop as we expect, our business may be adversely affected. Additionally, our success in these emerging markets may depend to a large extent on our ability to successfully market and sell products using our technologies.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emerging markets.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may vary significantly from quarter-to-quarter due to a number of factors, which may lead to volatility in our stock price.</w:t>
      </w:r>
    </w:p>
    <w:p>
      <w:pPr>
        <w:spacing w:after="0" w:line="106"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Our quarterly revenue and results of operations have varied in the past and may continue to vary significantly from quarter-to-quarter. For example, in 2011 and 2012, we experienced higher sales in the fourth quarter than in the first quarter of the next fiscal year. In addition, revenue from sales of our instruments relative to sales of our consumables may fluctuate or deviate significantly from expectations. The variability in our quarterly results of operations, including revenue from sales of our instruments relative to our consumables, may lead to volatility in our stock price as research analysts and investors respond to these quarterly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changes in our pricing and sales policies or the pricing and sales policies of our competitors; our ability to design, manufacture and deliver products to our customers in a timely and cost-effective manner; quality control or yield problems in our manufacturing operations; our ability to timely obtain adequate quantities of the components used in our products;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quarter-to-quarter financial results could be significantly impacted.</w:t>
      </w:r>
    </w:p>
    <w:p>
      <w:pPr>
        <w:spacing w:after="0" w:line="131"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The foregoing factors, as well as other factors, could materially and adversely affect our quarterly and annual results of operations. In addition, a significant amount of our operating expenses are relatively fixed due to our manufacturing, research and development, and sales and general administrative efforts. Any failure to adjust spending quickly enough to compensate for a revenue shortfall could magnify the adverse impact of such revenue shortfall on our results of operations. We expect that our sales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will continue to fluctuate on a quarterly basis and that our financial results for some periods may be below those projected by securities analysts, which could significantly decrease the price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have a limited operating history and have incurred significant losses in each fiscal year since our inception, including net losses of $28.1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$16.5 million, $19.0 million, and $22.5 million during the six months ended June 30, 2014 and years 2013, 2012, and 2011, respectively. As of June 30,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had an accumulated deficit of $285.4 million. These losses have resulted principally from costs incurred in our research and development programs,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our manufacturing costs and selling, general, and administrative expenses. We may continue to incur substantial operating and net losses and negative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operations. We expect that our selling, general, and administrative expenses will continue to increase due to the additional operational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costs associated with being a public company. We anticipate that our business will generate operating losses until we successfully implement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development strategy and generate significant additional revenue to support our level of operating expenses. Because of the numerous risks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uncertainties associated with our commercialization efforts and future product development, we are unable to predict when we will become profitable, and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never become profitable. Even if we do achieve profitability, we may not be able to sustain or increase our profitability.</w:t>
      </w:r>
    </w:p>
    <w:p>
      <w:pPr>
        <w:spacing w:after="0" w:line="99"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Actual results relating to Fluidigm Sciences (formerly DVS Sciences, Inc.) may differ from any guidance issued by us concerning future revenue and revenue growth of Fluidigm Sciences or the anticipated impact of the acquisition on the operating results of the combined company, and these differences could be material.</w:t>
      </w:r>
    </w:p>
    <w:p>
      <w:pPr>
        <w:spacing w:after="0" w:line="45"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We cannot provide assurances with respect to the future revenues or revenue growth rates we may realize as a result of our acquisition of DVS and sales of its CyTOF mass spectrometer and associated consumables for the proteomics market. Fluidigm Sciences’ revenues increased substantially through fiscal 2013, but we recently reduced our revenue expectations for 2014 and do not expect revenue from sales of Fluidigm Sciences’ proteomics products to grow, if at all, at the same rates experienced in recent periods. We currently expect 2014 revenues from sales of our proteomics products to be less than DVS's 2013 revenues for such products. In addition, although its revenues have grown on an annual basis in recent years, Fluidigm Sciences has experienced substantial quarter-to-quarter variations in levels of demand and revenue growth for its instruments and consumables, and we expect that these variances may continue in the future. Additional risks and uncertainties that could cause actual results from our proteomics product line to differ materially from currently anticipated results include, but are not limited to, risks relating to our ability to successfully integrate Fluidigm Sciences; our ability to commercialize Fluidigm Sciences products; market acceptance of Fluidigm Sciences products; our ability to successfully launch new products and applications in Fluidigm Sciences’ target markets; competition; our sales, marketing and distribution capabilities; our planned sales, marketing, and research and development activities; reduction in research and development spending or changes in budget priorities by customers; interruptions or delays in the supply of components or materials for, or manufacturing of, Fluidigm Sciences’ products, which in certain cases are purchased through sole and single source suppliers; seasonal variations in customer operations; unanticipated increases in costs or expenses; risks associated with international operations; and the other risks identified in this report. Other unknown or unpredictable factors also could harm our results. Consequently, actual results or developments from our proteomics product line that are currently anticipated by us may not be realized or, even if substantially realized, may not have the expected consequences to, or effects on, us. Any failure to meet any proteomics guidance that we have provided or may provide in the future could have a material adverse effect on the trading price or volume of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certain assumptions relating to our recent acquisition which may prove to be materially inaccurate.</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made certain assumptions relating to the acquisition of DVS, which assumptions may be inaccurate, including as the result of the failure to realize the expected benefits of the acquisition, failure to realize expected revenue growth rates, higher than expected operating, transaction and integration costs, as well as general economic and business conditions that adversely affect the combined company following the acquisition. These assumptions relate to numerous matters, including:</w:t>
      </w:r>
    </w:p>
    <w:p>
      <w:pPr>
        <w:spacing w:after="0" w:line="79"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projections of Fluidigm Sciences’ revenue growth, if any, and future revenues;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goodwill and intangibles that will result from the acquisition;</w:t>
      </w:r>
    </w:p>
    <w:p>
      <w:pPr>
        <w:spacing w:after="0" w:line="117" w:lineRule="exact"/>
        <w:rPr>
          <w:rFonts w:ascii="Arial" w:cs="Arial" w:eastAsia="Arial" w:hAnsi="Arial"/>
          <w:sz w:val="18"/>
          <w:szCs w:val="18"/>
          <w:color w:val="auto"/>
        </w:rPr>
      </w:pPr>
    </w:p>
    <w:p>
      <w:pPr>
        <w:ind w:left="1300" w:right="8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other purchase accounting adjustments that we expect may be recorded in our financial statements in connection with the acquisition;</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develop and deepen relationships with customers of Fluidigm Sciences;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financial and strategic risks of the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carrying value of long-lived and intangible assets may become impaired and result in an impairment charge.</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June 30, 2014, we had approximately $212.0 million of net intangible assets, net of amortization, and goodwill, all of which relates to the acquisition. In addition, if in the future we acquire additional complementary businesses or technologies, a substantial portion of the value of such assets may be recorded as intangible assets or goodwill. The carrying amounts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intangible assets and goodwill are affected whenever events or changes in circumstances indicate that the carrying amount of any asset may not be recoverable. Such events or changes might include a significant decline in market share, a significant decline in revenues, a significant increase in losses or decrease in profits, rapid changes in technology, failure to achieve the benefits of capacity increases and utilization, significant litigation arising out of an acquisition or other matters. Adverse events or changes in circumstances may affect the estimated undiscounted future operating cash flows expected to be derived from intangible assets and goodwill. If at any time we determine that an impairment has occurred, we will be required to reflect the impaired value as a charge, resulting in a reduction in earnings in the quarter such impairment is identified and a corresponding reduction in our net asset value. The potential recognition of impairment in the carrying value, if any, could have a material and adverse effect on our financial condition and results of operations.</w:t>
      </w:r>
    </w:p>
    <w:p>
      <w:pPr>
        <w:spacing w:after="0" w:line="10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31"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new products or enhance existing products would have a substantial adverse effect on our business and results of operations.</w:t>
      </w:r>
    </w:p>
    <w:p>
      <w:pPr>
        <w:spacing w:after="0" w:line="12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one or more of our manufacturing facilities become unavailable or inoperable, we will be unable to continue manufacturing our instruments, IFCs, and/or assays and, as a result, our business will be harmed until we are able to secure a new facility.</w:t>
      </w:r>
    </w:p>
    <w:p>
      <w:pPr>
        <w:spacing w:after="0" w:line="3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manufacture all of our genomics analytical and preparatory instruments and integrated fluidic circuits, or IFCs, for commercial sale at our facility in Singapore, our proteomics analytical instruments for commercial sale at our facility in Canada, and our assays for commercial sale at our facilities in South San Francisco and Sunnyvale, California. No other manufacturing facilities are currently available to us, particularly facilities of the size and scope required by our Singapore and Canada operations. Our facilities and the equipment we use to manufacture our instruments, IFCs, and assays would be costly to replace and could require substantial lead time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w:t>
      </w:r>
    </w:p>
    <w:p>
      <w:pPr>
        <w:spacing w:after="0" w:line="34"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The current leases for our manufacturing facility in Singapore will terminate on August 31, 2014. On October 14, 2013, Fluidigm Singapore Pte. Ltd., or Fluidigm Singapore, our wholly-owned subsidiary, accepted an offer of tenancy relating to the lease of a new manufacturing facility in Singapore, which expires on June 1, 2022. We completed the consolidation of our manufacturing operations in the new space in July 2014, and expect to complete the site qualification in August 2014. Such a move involved significant efforts in connection with the establishment of new clean rooms and the recommissioning of key manufacturing equipment. A delay in the site qualification process could adversely affect our manufacturing activities. If our manufacturing capabilities are impaired, we may not be able to manufacture and ship our products in a timely manner, which would adversely impact our business.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development or manufacturing problems or delays that could limit the growth of our revenue or increase our losses.</w:t>
      </w:r>
    </w:p>
    <w:p>
      <w:pPr>
        <w:spacing w:after="0" w:line="10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For example, we completed the consolidation of our manufacturing operations in the new space in July 2014, and expect to complete the site qualification in August 2014. A delay in the site qualification process could adversely affect our manufacturing activities. In addition, our production processes and assembly methods may have to change to accommodate any significant future expansion of our manufacturing capacity, which may increase our manufacturing costs, delay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production of our products, reduce our product margin, and adversely impact our business. If our manufacturing activities are adversely impacted by our move,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5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23"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In addition,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dependent on single source suppliers for some of the components and materials used in our products, and the loss of any of these suppliers could harm our business.</w:t>
      </w:r>
    </w:p>
    <w:p>
      <w:pPr>
        <w:spacing w:after="0" w:line="3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rely on single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the single source suppliers of any of the following components and/or materials would require significant time and effort to locate and qualify an alternative source of supply:</w:t>
      </w:r>
    </w:p>
    <w:p>
      <w:pPr>
        <w:spacing w:after="0" w:line="79" w:lineRule="exact"/>
        <w:rPr>
          <w:sz w:val="20"/>
          <w:szCs w:val="20"/>
          <w:color w:val="auto"/>
        </w:rPr>
      </w:pPr>
    </w:p>
    <w:p>
      <w:pPr>
        <w:ind w:left="1300" w:right="2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Specialized pneumatic and electronic components for our C</w:t>
      </w:r>
      <w:r>
        <w:rPr>
          <w:rFonts w:ascii="Arial" w:cs="Arial" w:eastAsia="Arial" w:hAnsi="Arial"/>
          <w:sz w:val="11"/>
          <w:szCs w:val="11"/>
          <w:color w:val="auto"/>
        </w:rPr>
        <w:t>1</w:t>
      </w:r>
      <w:r>
        <w:rPr>
          <w:rFonts w:ascii="Arial" w:cs="Arial" w:eastAsia="Arial" w:hAnsi="Arial"/>
          <w:sz w:val="16"/>
          <w:szCs w:val="16"/>
          <w:color w:val="auto"/>
        </w:rPr>
        <w:t xml:space="preserve"> Single-Cell Auto Prep System are available from a limited number of sources.</w:t>
      </w:r>
    </w:p>
    <w:p>
      <w:pPr>
        <w:spacing w:after="0" w:line="140" w:lineRule="exact"/>
        <w:rPr>
          <w:rFonts w:ascii="Arial" w:cs="Arial" w:eastAsia="Arial" w:hAnsi="Arial"/>
          <w:sz w:val="16"/>
          <w:szCs w:val="16"/>
          <w:color w:val="auto"/>
        </w:rPr>
      </w:pPr>
    </w:p>
    <w:p>
      <w:pPr>
        <w:ind w:left="1300" w:right="56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electron multiplier included in the CyTOF system, and the nickel sampler cone and certain metal isotopes used with the CyTOF system, are purchased from single source suppliers and are available from a limited number of sources.</w:t>
      </w:r>
    </w:p>
    <w:p>
      <w:pPr>
        <w:spacing w:after="0" w:line="6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raw materials for our DELTAgene and SNPtype assays and Access Array Target-Specific primers are available from a limited number of sources.</w:t>
      </w:r>
    </w:p>
    <w:p>
      <w:pPr>
        <w:spacing w:after="0" w:line="3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Our reliance on single source suppliers and assembly service providers also subjects us to other risks that could harm our business, including the following:</w:t>
      </w:r>
    </w:p>
    <w:p>
      <w:pPr>
        <w:spacing w:after="0" w:line="62"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117"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make errors in manufacturing or assembly of components that could negatively affect the efficacy of our products or cause delays in shipment of our products; and</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suppliers or service providers may encounter capacity constraints or financial hardships unrelated to our demand for components or services, which could inhibit their ability to fulfill our orders and meet our requirements.</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94"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Our success depends, in part,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w:t>
      </w:r>
    </w:p>
    <w:p>
      <w:pPr>
        <w:spacing w:after="0" w:line="13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9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customer base is primarily composed of academic institutions, clinical laboratories that use our technology to develop tests, and pharmaceutical, biotechnology and agricultural biotechnology, or Ag-Bio, companies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requires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relationships, including customer relationships, may be subject to disruption due to uncertainty associated with our recent acquisition.</w:t>
      </w:r>
    </w:p>
    <w:p>
      <w:pPr>
        <w:spacing w:after="0" w:line="117" w:lineRule="exact"/>
        <w:rPr>
          <w:sz w:val="20"/>
          <w:szCs w:val="20"/>
          <w:color w:val="auto"/>
        </w:rPr>
      </w:pPr>
    </w:p>
    <w:p>
      <w:pPr>
        <w:jc w:val="both"/>
        <w:ind w:right="260" w:firstLine="432"/>
        <w:spacing w:after="0" w:line="276" w:lineRule="auto"/>
        <w:rPr>
          <w:sz w:val="20"/>
          <w:szCs w:val="20"/>
          <w:color w:val="auto"/>
        </w:rPr>
      </w:pPr>
      <w:r>
        <w:rPr>
          <w:rFonts w:ascii="Arial" w:cs="Arial" w:eastAsia="Arial" w:hAnsi="Arial"/>
          <w:sz w:val="17"/>
          <w:szCs w:val="17"/>
          <w:color w:val="auto"/>
        </w:rPr>
        <w:t>Parties with which we or Fluidigm Sciences do business may experience uncertainty associated with the recent acquisition, including with respect to current or future business relationships with us, Fluidigm Sciences, or the combined business. These business relationships may be subject to disruption as customers and others may attempt to negotiate changes in existing business relationships or consider entering into business relationships with parties other than us, Fluidigm Sciences, or the combined business, including our competitors. These disruptions could have a material adverse effect on the businesses, operating results, and financial condition of the combined business.</w:t>
      </w:r>
    </w:p>
    <w:p>
      <w:pPr>
        <w:spacing w:after="0" w:line="115"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The life science research and applied markets are highly competitive and subject to rapid technological change, and we may not be able to successfully compete.</w:t>
      </w:r>
    </w:p>
    <w:p>
      <w:pPr>
        <w:spacing w:after="0" w:line="31" w:lineRule="exact"/>
        <w:rPr>
          <w:sz w:val="20"/>
          <w:szCs w:val="20"/>
          <w:color w:val="auto"/>
        </w:rPr>
      </w:pPr>
    </w:p>
    <w:p>
      <w:pPr>
        <w:ind w:right="60" w:firstLine="432"/>
        <w:spacing w:after="0" w:line="268" w:lineRule="auto"/>
        <w:rPr>
          <w:sz w:val="20"/>
          <w:szCs w:val="20"/>
          <w:color w:val="auto"/>
        </w:rPr>
      </w:pPr>
      <w:r>
        <w:rPr>
          <w:rFonts w:ascii="Arial" w:cs="Arial" w:eastAsia="Arial" w:hAnsi="Arial"/>
          <w:sz w:val="17"/>
          <w:szCs w:val="17"/>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or protein analysis, single nucleotide polymorphism genotyping, or SNP genotyping, polymerase chain reaction, or PCR, digital PCR, other nucleic acid detection, flow cytometry, cell imaging, and additional applications using well established laboratory techniques, as well as newer technologies such as bead encoded arrays, microfluidics, nanotechnology, high-throughput DNA sequencing, microdroplets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 For example, companies such as Affymetrix, Inc., Agilent Technologies, Inc., Becton, Dickinson and Company, Bio-Rad Laboratories, Inc., Danaher Corporation, Illumina, Inc., Life Technologies Corporation (now part of Thermo Fisher Scientific), LGC Limited, Luminex Corporation, Millipore Corporation, NanoString Technologies, Inc., PerkinElmer, Inc. (through its acquisition of Caliper Life Sciences, Inc.), RainDance Technologies, Inc., Roche Diagnostics Corporation, Sequenom, Inc., Sony Corporation, Thermo Fisher Scientific Inc., and WaferGen Bio-systems, Inc. have products that compete in certain segments of the market in which we sell our products.</w:t>
      </w:r>
    </w:p>
    <w:p>
      <w:pPr>
        <w:spacing w:after="0" w:line="13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face increased competition in the future as existing companies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2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business depends on research and development spending levels of academic, clinical, and governmental research institutions, and pharmaceutical, biotechnology, and Ag-Bio companies, a reduction in which could limit our ability to sell our products and adversely affect our business.</w:t>
      </w:r>
    </w:p>
    <w:p>
      <w:pPr>
        <w:spacing w:after="0" w:line="45"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systems and IFCs to academic institutions, clinical laboratories that use our technology to develop tests, and pharmaceutical, biotechnology, and Ag-Bio companies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and IFCs. These reductions and delays may result from factors that are not within our control, such as:</w:t>
      </w:r>
    </w:p>
    <w:p>
      <w:pPr>
        <w:spacing w:after="0" w:line="6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the regulatory environment affecting life science and Ag-Bio companies engaged in research and commercial activities;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112"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single-cell biology and production genomics, as well as potential markets for our products such as high-throughput DNA sequencing and molecular diagnostics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products could become subject to regulation as medical devices by the U.S. Food and Drug Administration, or FDA, or other regulatory agencies in the future.</w:t>
      </w:r>
    </w:p>
    <w:p>
      <w:pPr>
        <w:spacing w:after="0" w:line="31"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products are currently labeled, promoted and sold to academic institutions, life sciences laboratories, and pharmaceutical, biotechnology, and Ag-Bio companies for research purposes only, and not as diagnostic tests or medical devices. As products labeled, promoted and intended for research use only, or RUO, they are not subject to regulation as medical devices by the FDA. Products labeled and intended for research use only are not currently subject to regulation as medical devices by comparable agencies of other countries. However, the FDA could disagree with our conclusion that our products are for research use only or deem our current marketing and promotional efforts as being inconsistent with research use only products. In addition, if we change the labeling or promotion of our products in the future to include indications for human diagnostic applications or medical uses, including treatment of diseases or medical conditions, or we have knowledge that our customers are using our products for clinical diagnostic or therapeutic purposes, our products or related applications could be subject to additional regulation as in vitro diagnostic devices, such as under the FDA’s pre- and post-market regulations for medical devices. For example, if we wish to label, promote or advertise our products for use in performing clinical diagnostics, we would first need to obtain FDA pre-market clearance or approval (depending on any product’s specific intended use and any such modified labeling claims), unless otherwise exempt from clearance or approval requirements. Obtaining FDA clearance or approval can be expensive and uncertain, and generally takes several months to years to obtain, and may require detailed and comprehensive scientific and clinical data. Notwithstanding the expense, these efforts may never result in FDA clearance or approval. Even if we were to obtain regulatory approval or clearance, it may not be for the uses we believe are important or commercially attractive.</w:t>
      </w:r>
    </w:p>
    <w:p>
      <w:pPr>
        <w:spacing w:after="0" w:line="4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Further, the FDA may expand its regulatory oversight of our products or the products of our customers, which could impose restrictions on our ability to market and sell our products. For example, our customers may elect to use our research use only labeled products in their own laboratory developed tests, or LDTs, for clinical diagnostic use. The FDA has historically exercised enforcement discretion in not enforcing the medical device regulations against laboratories offering LDTs. However, the FDA could modify its enforcement discretion for some or all LDTs. On July 31, 2014, the FDA notified Congress (as required by the Food and Drug Administration Safety and Innovation Act of 2012) of its intent to publish a proposed risk-based framework for LDTs, which are designed, manufactured, and used within a single laboratory. The notice to Congress provides the anticipated details of the draft guidance through which the FDA would propose to establish an LDT oversight framework, including premarket review for higher-risk LDTs, such as those that have the same intended use as FDA-approved or cleared companion diagnostics currently on the market. Such guidance, if and when finalized, may significantly impact the sales of our products and how customers use our products, and may require us to change our business model in order to maintain compliance with these laws. We cannot predict the ultimate timing or form of any FDA guidance or regulation on LTDs.</w:t>
      </w:r>
    </w:p>
    <w:p>
      <w:pPr>
        <w:spacing w:after="0" w:line="34"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of the product indicate that the manufacturer knows its product is, or intends for its product to be, offered for clinical diagnostic uses. These circumstances may include written or verbal marketing claims or links to articles regarding a product’s performance in clinical applications and a manufacturer’s provision of technical support for clinical applications. If the FDA imposes significant changes to the regulation of LDTs, or modifies its approach to our products labeled and intended for research use only, it could reduce our revenue or increase our costs and adversely affect our business, prospects, results of operations or financial condition. In addition, if the FDA determined that our products labeled for research use only were intended, based on a review of the totality of circumstances, for use in clinical investigation or diagnosis, those products could be considered misbranded or adulterated under the Federal Food, Drug, and Cosmetic Act and subject to recall or other enforcement action.</w:t>
      </w:r>
    </w:p>
    <w:p>
      <w:pPr>
        <w:spacing w:after="0" w:line="38"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may be required to proactively achieve compliance with certain FDA regulations and to conform our manufacturing operations to the FDA’s good manufacturing practice regulations for medical devices, known as the Quality System Regulation, or QSR, as part of our contracts with customers or as part of our collaborations with third parties. In addition, we may voluntarily seek to conform our manufacturing operations to QSR requirements. For clinical diagnostic products that are regulated as medical devices, the FDA enforces the QSR through pre-approved inspections and periodic unannounced inspections of registered manufacturing facilities. If we are subject to QSR requirements, the failure to comply with those requirements or take satisfactory corrective action in response to an adverse QSR inspection could result in enforcement actions, including a public warning letter or an untitled letter, a delay in approving or clearing, or a refusal to approve or clear, our products, a shutdown of manufacturing operations, a product recall, civil or criminal penalties or other sanctions, which could in turn cause our sales and business to suffer.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Compliance or the failure to comply with current and future regulations, such as environmental regulations enacted in the European Union, could cause us significant expense and adversely impact our business.</w:t>
      </w:r>
    </w:p>
    <w:p>
      <w:pPr>
        <w:spacing w:after="0" w:line="31"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or RoHS, and the Waste Electrical and Electronic Equipment Directive, or WEEE, enacted in the European Union, regulates the use of certain hazardous substances in, and require the collection, reuse and recycling of waste from, products we manufacture. Certain of our products sold in these countries are or will become subject to RoHS and WEEE requirements.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 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74" w:lineRule="exact"/>
        <w:rPr>
          <w:sz w:val="20"/>
          <w:szCs w:val="20"/>
          <w:color w:val="auto"/>
        </w:rPr>
      </w:pPr>
    </w:p>
    <w:p>
      <w:pPr>
        <w:ind w:right="340"/>
        <w:spacing w:after="0" w:line="313" w:lineRule="auto"/>
        <w:rPr>
          <w:sz w:val="20"/>
          <w:szCs w:val="20"/>
          <w:color w:val="auto"/>
        </w:rPr>
      </w:pPr>
      <w:r>
        <w:rPr>
          <w:rFonts w:ascii="Arial" w:cs="Arial" w:eastAsia="Arial" w:hAnsi="Arial"/>
          <w:sz w:val="17"/>
          <w:szCs w:val="17"/>
          <w:b w:val="1"/>
          <w:bCs w:val="1"/>
          <w:color w:val="auto"/>
        </w:rPr>
        <w:t>If we are unable to recruit and retain key executives, scientists and technical support personnel, we may be unable to achieve our goals. We may have difficulty attracting, motivating and retaining executives and other key employees in light of our recent acquisition.</w:t>
      </w:r>
    </w:p>
    <w:p>
      <w:pPr>
        <w:spacing w:after="0" w:line="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performance is substantially dependent on the performance of our senior management, particularly Gajus V. Worthington, our president and chief executive officer. Additionally, to expand our research and product development efforts, we need key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11" w:lineRule="exact"/>
        <w:rPr>
          <w:sz w:val="20"/>
          <w:szCs w:val="20"/>
          <w:color w:val="auto"/>
        </w:rPr>
      </w:pPr>
    </w:p>
    <w:p>
      <w:pPr>
        <w:ind w:right="260" w:firstLine="432"/>
        <w:spacing w:after="0" w:line="276" w:lineRule="auto"/>
        <w:rPr>
          <w:sz w:val="20"/>
          <w:szCs w:val="20"/>
          <w:color w:val="auto"/>
        </w:rPr>
      </w:pPr>
      <w:r>
        <w:rPr>
          <w:rFonts w:ascii="Arial" w:cs="Arial" w:eastAsia="Arial" w:hAnsi="Arial"/>
          <w:sz w:val="17"/>
          <w:szCs w:val="17"/>
          <w:color w:val="auto"/>
        </w:rPr>
        <w:t>The loss of the services of any member of our senior management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In addition, our research and product development efforts could be delayed or curtailed if we are unable to attract, train and retain highly skilled employees, particularly, senior scientists and engineers. We do not maintain fixed term employment contracts or significant key man life insurance with any of our employees.</w:t>
      </w:r>
    </w:p>
    <w:p>
      <w:pPr>
        <w:spacing w:after="0" w:line="119" w:lineRule="exact"/>
        <w:rPr>
          <w:sz w:val="20"/>
          <w:szCs w:val="20"/>
          <w:color w:val="auto"/>
        </w:rPr>
      </w:pPr>
    </w:p>
    <w:p>
      <w:pPr>
        <w:ind w:right="140" w:firstLine="432"/>
        <w:spacing w:after="0" w:line="287" w:lineRule="auto"/>
        <w:rPr>
          <w:sz w:val="20"/>
          <w:szCs w:val="20"/>
          <w:color w:val="auto"/>
        </w:rPr>
      </w:pPr>
      <w:r>
        <w:rPr>
          <w:rFonts w:ascii="Arial" w:cs="Arial" w:eastAsia="Arial" w:hAnsi="Arial"/>
          <w:sz w:val="16"/>
          <w:szCs w:val="16"/>
          <w:color w:val="auto"/>
        </w:rPr>
        <w:t>Uncertainty about the effect of the recent acquisition on our employees may have an adverse effect on us and, consequently, the combined business resulting from the acquisition. This uncertainty may impair our ability to attract, retain and motivate key personnel in the months after the merger for the combined entity. Employee retention may be particularly challenging as employees may experience uncertainty about their future roles with the combined business. Additionally, as a result of the acquisition, key Fluidigm Sciences employees became entitled to receive a portion of the acquisition consideration, the payment of which could provide sufficient financial incentive for certain officers and employees to no longer pursue employment with the combined business. In particular, we have identified several key Fluidigm Sciences employees, including key scientific and technical employees, who have been important to the development of Fluidigm Sciences’ products and technologies, and we have implemented employment compensation arrangements in connection with the acquisition to ensure these individuals’ continued employment with us. We cannot provide assurances that these arrangements will sufficiently incentivize these key employees to remain with us. If key employees depart because of issues relating to the uncertainty and difficulty of integration, financial incentives or a desire not to remain employees of the combined business, we may incur significant costs in identifying, hiring and retaining replacements for departing employees, which could substantially reduce or delay our ability to realize the anticipated benefits of the acquisition.</w:t>
      </w:r>
    </w:p>
    <w:p>
      <w:pPr>
        <w:spacing w:after="0" w:line="169"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Any failure to successfully integrate Fluidigm Sciences’ business and operations or fully realize potential synergies from the acquisition in the expected time frame would adversely affect our business, operating results, and financial condition.</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We do not have a history of acquiring other companies, and the success of our recent acquisition will depend, in part, on our ability to successfully integrate the acquired business and operations and fully realize the anticipated benefits and potential synergies from the combined business. If we are unable to achieve these objectives, the anticipated benefits and potential synergies from the acquisition may not be realized fully or at all, or may take longer to realize than expected. Any failure to timely realize these anticipated benefits would have a material adverse effect on our business, operating results, and financial condition.</w:t>
      </w:r>
    </w:p>
    <w:p>
      <w:pPr>
        <w:spacing w:after="0" w:line="5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completed our acquisition of DVS in February 2014 and the integration process is underway. In connection with the integration process, we could experience the loss of key employees, loss of key customers, decreases in revenues and increases in operating costs, as well as the disruption of our ongoing businesses, any or all of which could limit our ability to achieve the anticipated benefits and potential synergies from the acquisition and have a material adverse effect on our business, operating results,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significant acquisition-related integration costs in connection with the acquisition.</w:t>
      </w:r>
    </w:p>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We have developed and are executing on a plan to integrate the operations of Fluidigm Sciences with our business. In connection with the integration, we anticipate that we will incur certain non-recurring charges; however, we cannot identify the timing, nature and amount of all such charges as of the date of this report. These integration costs will be charged as an expense in the period incurred and could materially affect our results of operations in the period in which such charges are recorded. Although we believe that the elimination of duplicative costs, as well as the realization of other efficiencies related to the integration of the business, will offset incremental acquisition-related costs over time, this net benefit may not be achieved in the near term, or at all.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integrate future acquisitions successfully, our operating results and prospects could be harmed.</w:t>
      </w:r>
    </w:p>
    <w:p>
      <w:pPr>
        <w:spacing w:after="0" w:line="94"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addition to our recent acquisition, we may make additional acquisitions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Our acquisition of DVS was our first acquisition of another company. Any merger or acquisition we may pursue would involve numerous risks, including but not limited to the following:</w:t>
      </w:r>
    </w:p>
    <w:p>
      <w:pPr>
        <w:spacing w:after="0" w:line="8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171"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8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3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Significant government investment and allocation of resources to assist the economic recovery of sectors which do not include our customers may reduce the resources available for government grants and related funding for life science, Ag-Bio, and clinical research and development. Continuation or further deterioration of these financial and macroeconomic conditions could significantly harm our sales, profitability and results of operations.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We generate a substantial portion of our revenue internationally and are subject to various risks relating to such international activities, which could adversely affect our sales and operating performance. In addition, any disruption or delay in the shipping or off-loading of our products, whether domestically or internationally, may have an adverse effect on our financial condition and results of operations.</w:t>
      </w:r>
    </w:p>
    <w:p>
      <w:pPr>
        <w:spacing w:after="0" w:line="10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During the six months ended June 30, 2014 and years 2013, 2012, and 2011, approximately 52%, 48%, 47%, and 47%, respectively, of our product revenue was generated from sales to customers located outside of the United States. We believe that a significant percentage of our future revenue will come from international sources as we expand our international operations and develop opportunities in other countries. Engaging in international business inherently involves a number of difficulties and risks, including:</w:t>
      </w:r>
    </w:p>
    <w:p>
      <w:pPr>
        <w:spacing w:after="0" w:line="79" w:lineRule="exact"/>
        <w:rPr>
          <w:sz w:val="20"/>
          <w:szCs w:val="20"/>
          <w:color w:val="auto"/>
        </w:rPr>
      </w:pPr>
    </w:p>
    <w:p>
      <w:pPr>
        <w:ind w:left="1300" w:right="40" w:hanging="644"/>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such as the RoHs and WEEE directives, which regulate the use of certain hazardous substances in, and require the collection, reuse and recycling of waste from, products we manufacture;</w:t>
      </w:r>
    </w:p>
    <w:p>
      <w:pPr>
        <w:spacing w:after="0" w:line="15" w:lineRule="exact"/>
        <w:rPr>
          <w:rFonts w:ascii="Arial" w:cs="Arial" w:eastAsia="Arial" w:hAnsi="Arial"/>
          <w:sz w:val="16"/>
          <w:szCs w:val="16"/>
          <w:color w:val="auto"/>
        </w:rPr>
      </w:pPr>
    </w:p>
    <w:p>
      <w:pPr>
        <w:ind w:left="1300" w:right="9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required compliance with anti-bribery laws, such as the U.S. Foreign Corrupt Practices Act and U.K. Bribery Act, data privacy requirements, labor laws and anti-competition regulations;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longer payment cycles and difficulties in enforcing agreements and collecting receivables through certain foreign legal systems;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unstable economic, political, and regulatory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1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it would become more costly in U.S. dollars for us to manufacture our products in Singapore.</w:t>
      </w:r>
    </w:p>
    <w:p>
      <w:pPr>
        <w:spacing w:after="0" w:line="134"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our anticipated growth effectively, our business could be harmed.</w:t>
      </w:r>
    </w:p>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rapid growth of our business has placed a significant strain on our managerial, operational, and financial resources and systems. To execute our anticipated growth successfully, we must continue to attract and retain qualified personnel and manage and train them effectively. We must also upgrade our internal business processes and capabilities to create the scalability that a growing business demands.</w:t>
      </w:r>
    </w:p>
    <w:p>
      <w:pPr>
        <w:spacing w:after="0" w:line="12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believe our facilities located in Singapore, Canada, and California, are sufficient to meet our short-term manufacturing needs. The current leases for our facilities in Singapore will terminate on August 31, 2014. On October 14, 2013, Fluidigm Singapore accepted an offer of tenancy relating to the lease of a new manufacturing facility in Singapore, which expires on June 1, 2022. We completed the consolidation of our manufacturing operations in the new space in July 2014, and expect to complete the site qualification in August 2014. Such a move involved significant efforts in connection with the establishment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new clean rooms and the recommissioning of key manufacturing equipment. A delay in the site qualification process could adversely affect our manufacturing activities. If our ability to utilize the new facility for manufacturing operations is delayed, we may not be able to meet demand for our microfluidic systems, which could adversely impact our business. We cannot provide assurances that we will be able to secure a lease on a different manufacturing facility on acceptable terms and on a timely basis, if at all, to meet our future manufacturing needs.</w:t>
      </w:r>
    </w:p>
    <w:p>
      <w:pPr>
        <w:spacing w:after="0" w:line="117"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2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products could have unknown defects or errors, which may give rise to claims against us, adversely affect market adoption of our systems, and adversely affect our business, financial condition, and results of operations.</w:t>
      </w:r>
    </w:p>
    <w:p>
      <w:pPr>
        <w:spacing w:after="0" w:line="31" w:lineRule="exact"/>
        <w:rPr>
          <w:sz w:val="20"/>
          <w:szCs w:val="20"/>
          <w:color w:val="auto"/>
        </w:rPr>
      </w:pPr>
    </w:p>
    <w:p>
      <w:pPr>
        <w:jc w:val="both"/>
        <w:ind w:right="60" w:firstLine="432"/>
        <w:spacing w:after="0" w:line="302"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We also provide warranties relating to other parts of our systems. The costs incurred in correcting any defects or errors may be substantial and could adversely affect our operating margins.</w:t>
      </w:r>
    </w:p>
    <w:p>
      <w:pPr>
        <w:spacing w:after="0" w:line="10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our products contain defects, we may experience:</w:t>
      </w:r>
    </w:p>
    <w:p>
      <w:pPr>
        <w:spacing w:after="0" w:line="117"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17"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claims against us, including product liability claims, which could be costly and time consuming to defend and result in substantial damages.</w:t>
      </w:r>
    </w:p>
    <w:p>
      <w:pPr>
        <w:spacing w:after="0" w:line="116"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our Access Array System is marketed as compatible with all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16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To use our products, our BioMark and CyTOF systems in particular, customers typically need to purchase specialized reagents. Any interruption in the availability of these reagents for use in our products could limit our ability to market our products.</w:t>
      </w:r>
    </w:p>
    <w:p>
      <w:pPr>
        <w:spacing w:after="0" w:line="3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products, our BioMark and CyTOF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to become unavailable or were reformulated, our ability to market and sell our products could be materially and adversely affected.</w:t>
      </w:r>
    </w:p>
    <w:p>
      <w:pPr>
        <w:spacing w:after="0" w:line="17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PCR, or qPCR. Leading suppliers of reagents for real-time qPCR reactions include Life Technologies Corporation (now part of Thermo Fisher Scientific) and Roche Applied Science,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have limited experience in marketing, selling, and distributing our products, and if we are unable to expand our direct sales and marketing force or distribution capabilities to adequately address our customers’ needs, our business may be adversely affected.</w:t>
      </w:r>
    </w:p>
    <w:p>
      <w:pPr>
        <w:spacing w:after="0" w:line="31"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color w:val="auto"/>
        </w:rPr>
        <w:t>We have limited experience in marketing, selling, and distributing our products. We may not be able to market, sell, and distribute our products effectively enough to support our planned growth. We sell our products primarily through our own sales force and through distributors in certain territories. Our future sales will depend in large part on our ability to develop and substantially expand our direct sales force and to increase the scope of our marketing efforts. Our products are technically complex and used for highly specialized applications. As a result, we believe it is necessary to develop a direct sales force that includes people with specific scientific backgrounds and expertise, and a marketing group with technical sophistication. Competition for such employees is intense. We may not be able to attract and retain personnel or be able to build an efficient and effective sales and marketing force, which could negatively impact sales of our products and reduce our revenue and profitability.</w:t>
      </w:r>
    </w:p>
    <w:p>
      <w:pPr>
        <w:spacing w:after="0" w:line="12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30"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12"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 Additionally, on February 13, 2014 we completed our acquisition of DVS, which is now our wholly-owned subsidiary and a "significant subsidiary" as defined by Rule 1-02 of Regulation S-X promulgated by the Securities and Exchange Commission. DVS was a private company and was not required to maintain internal controls over financial reporting to the same degree as public companies subject to the Sarbanes- Oxley Act. We are in the process of integrating DVS's operations with ours, including integration of financial reporting processes and procedures and internal controls over financing reporting. In the course of integration, we may identify internal control deficiencies or material weaknesses that require remediation.</w:t>
      </w:r>
    </w:p>
    <w:p>
      <w:pPr>
        <w:spacing w:after="0" w:line="128"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Global Market, or NASDAQ, the SEC or other regulatory authorities, which would require additional financial and management resources.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Risks associated with a company-wide implementation of an enterprise resource planning, or ERP, system may adversely affect our business and results of operations or the effectiveness of internal control over financial reporting.</w:t>
      </w:r>
    </w:p>
    <w:p>
      <w:pPr>
        <w:spacing w:after="0" w:line="3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have been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we are in the process of integrating DVS's operations with our operations, including transitioning of DVS's business and financial processes to our ERP system. If we do not effectively implement the ERP system as planned, if the system does not operate as intended, or if we fail to properly integrate DVS's business and financial processes into our ERP system, our business, results of operations, and internal controls over financial reporting may be adversely affected.</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believe that our existing cash and cash equivalents will be sufficient to meet our anticipated cash requirements for at least the next 18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substantial additional capital for various purposes, including:</w:t>
      </w:r>
    </w:p>
    <w:p>
      <w:pPr>
        <w:spacing w:after="0" w:line="49"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10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acquiring other businesses or assets and licensing technologies.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17"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 of defending, in litigation or otherwise, any claims that we infringe third-party patents or violate other intellectual property rights;</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17"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22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operating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general, under Section 382 of the Internal Revenue Code, a corporation that undergoes an “ownership change” is subject to limitations on its ability to utilize its pre-change net operating losses, or NOLs, to offset future taxable income. If we undergo one or more ownership changes, our ability to utilize NOLs could be limited by Section 382 of the Internal Revenue Code. Future changes in our stock ownership, some of which are outside of our control, could result in an ownership change under Section 382 of the Internal Revenue Code.</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67"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2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6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18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1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2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gross margins or financial position. Further, we could encounter delays in product introductions, or interruptions in product sales, as we develop alternative methods or products.</w:t>
      </w:r>
    </w:p>
    <w:p>
      <w:pPr>
        <w:spacing w:after="0" w:line="12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For example, on June 4, 2008 we received a letter from Applied Biosystems, Inc., a wholly-owned subsidiary of Life Technologies Corporation (now part of Thermo Fisher Scientific and collectively referred to as Life), asserting that our BioMark System for gene expression analysis infringes upon U.S. Patent No. 6,814,934, or the ‘934 patent, and its foreign counterparts in Europe and Canada. In June 2011, we resolved this dispute by entering into license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agreements with Life which, among other matters, granted us a non-exclusive license to the ‘934 patent and its foreign counterparts.</w:t>
      </w:r>
    </w:p>
    <w:p>
      <w:pPr>
        <w:spacing w:after="0" w:line="17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2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3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w:t>
      </w:r>
    </w:p>
    <w:p>
      <w:pPr>
        <w:spacing w:after="0" w:line="127"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Our rights to use the technology we license are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For example, pursuant to the terms of a license agreement entered into with Life in June 2011, we were obligated to make a $1.0 million payment to Life upon satisfaction of certain conditions. On October 16, 2013, Life provided notice that the $1.0 million payment was due and payable under the license agreement. We believe that at least one of the conditions of the milestone payment remains unmet; however, we paid Life the amount due while reserving our rights with respect to such matter to, among other reasons, avoid what would have been, in our view, an improper termination of our license to certain Life patent filings under the agreement, which could have subjected our relevant product lines to risks associated with patent infringement litigation.</w:t>
      </w:r>
    </w:p>
    <w:p>
      <w:pPr>
        <w:spacing w:after="0" w:line="18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Fluidigm Sciences licenses core intellectual property rights covering its products under agreements with several third parties. Termination of or disputes relating to any of these license agreements would have a material adverse effect on our business, operating results, and financial condition and could result in our inability to sell Fluidigm Sciences’ mass cytometry products and otherwise to realize the benefits associated with the acquisition.</w:t>
      </w:r>
    </w:p>
    <w:p>
      <w:pPr>
        <w:spacing w:after="0" w:line="49"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intellectual property rights covering Fluidigm Sciences’ products depend in substantial part on license agreements with third parties, in particular MDS, Inc., or MDS, and also with other third parties such as Nodality, Inc., or Nodality. The licensed intellectual property rights of MDS as well as MDS’s rights and obligations under the license agreement between Fluidigm Canada and MDS were subsequently assigned to and are now held by PerkinElmer Health Sciences, Inc., or PerkinElmer. Under the PerkinElmer license agreement, Fluidigm Canada received an exclusive, royalty bearing, worldwide license to certain patents that are now owned by PerkinElmer in the field of ICP-based mass cytometry, including the analysis of elemental tagged materials in connection therewith, and a non-exclusive license for reagents outside the field of ICP-based mass cytometry. Fluidigm Canada was also party to an interim license agreement, now expired, under which Nodality granted Fluidigm Canada a worldwide, non-exclusive, research use only, royalty bearing license to certain cytometric reagents, instruments, and other products. Fluidigm Canada and Nodality are currently in negotiations with respect to reinstating the license agreement and we cannot provide assurances that we will be able to reinstate or secure a new license agreement on acceptable terms, if at all. In addition, Fluidigm Sciences is party to additional in-license agreements with parties such as Stanford University that relate to significant intellectual property rights, and Fluidigm Sciences’ business and product development plans anticipate and will substantially depend on future in-license agreements with additional third parties, some of which are currently in the early discussion phase.</w:t>
      </w:r>
    </w:p>
    <w:p>
      <w:pPr>
        <w:spacing w:after="0" w:line="4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In-licensed intellectual property rights that are fundamental to the business being operated present numerous risks relating to ownership and enforcement of intellectual property rights. For example, under the PerkinElmer license, Fluidigm Canada is not granted any right, and we do not have any right to bring enforcement actions with respect to the patents licensed from PerkinElmer, which could materially impair our ability to preclude competitors and other third parties from activities that we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consider to infringe on our exclusively licensed rights. In other cases such as with Nodality,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46"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In addition, Fluidigm Sciences’ licensors may generally terminate the applicable license agreement for uncured material breaches or if Fluidigm Sciences becomes insolvent, makes an assignment for the benefit of creditors, or has a petition in bankruptcy filed against it. In the case of Nodality, the existing license has expired and our acquisition of Fluidigm Sciences could adversely affect Fluidigm Sciences’ ability to negotiate a definitive license on commercially acceptable terms. Termination of material license agreements for any reason, including as a result of failure to obtain a required consent to assignment or as a result of an inability to negotiate a new or extended license where required, would result in a material loss of rights by us and Fluidigm Sciences and would be expected to have a material adverse effect on our business, operating results, and financial condition. In particular, any such termination could prevent us from manufacturing and selling Fluidigm Sciences’ products unless we can negotiate new license terms or develop or acquire alternative intellectual property rights that cover or enable similar functionality. While we do not believe that any existing material in-license agreements require the consent of the licensor in order for us to rely on these licenses, the question is not free from doubt, and one or more of Fluidigm Sciences’ licensors could contend that the failure to obtain their consent constituted a breach or default under the applicable license agreement or require the negotiation of a new license. In particular, in May 2014, we received a written notice of PerkinElmer’s position that the license agreement between Fluidigm Canada and PerkinElmer requires, as a result of the acquisition, that PerkinElmer consent to negotiate a commercially reasonable license to Fluidigm. We expect negotiations with PerkinElmer to ensue.</w:t>
      </w:r>
    </w:p>
    <w:p>
      <w:pPr>
        <w:spacing w:after="0" w:line="52" w:lineRule="exact"/>
        <w:rPr>
          <w:sz w:val="20"/>
          <w:szCs w:val="20"/>
          <w:color w:val="auto"/>
        </w:rPr>
      </w:pPr>
    </w:p>
    <w:p>
      <w:pPr>
        <w:ind w:right="100" w:firstLine="432"/>
        <w:spacing w:after="0" w:line="270" w:lineRule="auto"/>
        <w:rPr>
          <w:sz w:val="20"/>
          <w:szCs w:val="20"/>
          <w:color w:val="auto"/>
        </w:rPr>
      </w:pPr>
      <w:r>
        <w:rPr>
          <w:rFonts w:ascii="Arial" w:cs="Arial" w:eastAsia="Arial" w:hAnsi="Arial"/>
          <w:sz w:val="17"/>
          <w:szCs w:val="17"/>
          <w:color w:val="auto"/>
        </w:rPr>
        <w:t>In the case of a dispute over these or other terms of the applicable license agreements with any of Fluidigm Sciences’ licensors, including with respect to the license with PerkinElmer, we cannot provide assurances that we will be able to negotiate a new or amended license on commercially reasonable terms, if at all. Our potential dispute with PerkinElmer as well as any other disputes between us and one of Fluidigm Sciences’ existing licensors concerning the terms or conditions of the applicable license agreement, including with respect to its continued application following the acquisition, could result, among other risks, in substantial management distraction at a time when our management needs to focus on the integration of Fluidigm and Fluidigm Sciences; increased expenses associated with litigation or efforts to resolve disputes; substantial customer uncertainty concerning the direction of our proteomics product line; potential infringement claims against us and/or our customers, which could include efforts by a licensor to enjoin sales of Fluidigm Sciences products; customer requests for indemnification by Fluidigm; and, in the event of an adverse determination, our inability to operate the business of Fluidigm Sciences as currently operated or at all. Any of these factors would be expected to have a material adverse effect on our business, operating results, and financial condition and could result in a substantial decline in our stock price.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certain manufacturing restrictions related to licensed technologies that were developed with the financial assistance of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grants.</w:t>
      </w:r>
    </w:p>
    <w:p>
      <w:pPr>
        <w:spacing w:after="0" w:line="157"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All of our instruments, including microfluidic systems, and IFCs for commercial sale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Fluidigm Sciences is subject to certain obligations and restrictions relating to technologies developed in cooperation with Canadian government agencies.</w:t>
      </w:r>
    </w:p>
    <w:p>
      <w:pPr>
        <w:spacing w:after="0" w:line="31" w:lineRule="exact"/>
        <w:rPr>
          <w:sz w:val="20"/>
          <w:szCs w:val="20"/>
          <w:color w:val="auto"/>
        </w:rPr>
      </w:pPr>
    </w:p>
    <w:p>
      <w:pPr>
        <w:ind w:right="40" w:firstLine="405"/>
        <w:spacing w:after="0" w:line="285" w:lineRule="auto"/>
        <w:rPr>
          <w:sz w:val="20"/>
          <w:szCs w:val="20"/>
          <w:color w:val="auto"/>
        </w:rPr>
      </w:pPr>
      <w:r>
        <w:rPr>
          <w:rFonts w:ascii="Arial" w:cs="Arial" w:eastAsia="Arial" w:hAnsi="Arial"/>
          <w:sz w:val="16"/>
          <w:szCs w:val="16"/>
          <w:color w:val="auto"/>
        </w:rPr>
        <w:t>Some of Fluidigm Sciences’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Fluidigm Sciences’ intellectual property, including confidential information, and may reduce its competitive advantage in commercializing intellectual property developed through these projects. In certain projects Fluidigm Sciences has also agreed to use commercially reasonable efforts to commercialize intellectual property in Canada, or more specifically in the province of Ontario, for the economic benefit of Canada and the province of Ontario. These restrictions will limit its choice of business and manufacturing locations, business partners and corporate structure and may, in certain circumstances, restrict its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Fluidigm Sciences’ Canadian government funded projects is also subject to certain limited “march-in” rights in favor of the government of the Province of Ontario, under which Fluidigm Sciences may be required to grant a license to its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Fluidigm Sciences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Fluidigm Sciences’ business, operations and financial condition.</w:t>
      </w:r>
    </w:p>
    <w:p>
      <w:pPr>
        <w:spacing w:after="0" w:line="336" w:lineRule="exact"/>
        <w:rPr>
          <w:sz w:val="20"/>
          <w:szCs w:val="20"/>
          <w:color w:val="auto"/>
        </w:rPr>
      </w:pPr>
    </w:p>
    <w:p>
      <w:pPr>
        <w:ind w:right="620"/>
        <w:spacing w:after="0" w:line="33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Many of our employees were previously employed at universities or other life science or Ag-Bio companies, including our competitors or potential competitors. Although no claims against us are currently pending, Fluidigm Sciences has in the past received notices from third parties alleging potential disclosures of confidential information. We may become subject to claims that our employees or we have inadvertently or otherwise used or disclosed trade secrets or other proprietary information of their former employers or other third parties or institutions with whom Fluidigm Sciences employees may have been previously affiliated.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Common Stock</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4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including affiliated stockholders, who hold substantial blocks of our stock. As of June 30, 2014, we had 28,158,833 shares of common stock outstanding, and stockholders holding at least 5% of our stock, individually or with affiliated persons or entities, collectively beneficially owned or controlled approximately 45%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w:t>
      </w:r>
    </w:p>
    <w:p>
      <w:pPr>
        <w:spacing w:after="0" w:line="112"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62" w:lineRule="exact"/>
        <w:rPr>
          <w:sz w:val="20"/>
          <w:szCs w:val="20"/>
          <w:color w:val="auto"/>
        </w:rPr>
      </w:pPr>
    </w:p>
    <w:p>
      <w:pPr>
        <w:ind w:left="5620" w:right="2860" w:hanging="4964"/>
        <w:spacing w:after="0" w:line="559" w:lineRule="auto"/>
        <w:tabs>
          <w:tab w:leader="none" w:pos="130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 47</w:t>
      </w:r>
    </w:p>
    <w:p>
      <w:pPr>
        <w:sectPr>
          <w:pgSz w:w="11900" w:h="16838" w:orient="portrait"/>
          <w:cols w:equalWidth="0" w:num="1">
            <w:col w:w="11380"/>
          </w:cols>
          <w:pgMar w:left="240" w:top="12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hanging="644"/>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life science, Ag-Bio, and clinical research sectors;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manufacturing disruptions that could occur if we were unable to successfully expand our production in our current or an alternative facility;</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71"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3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3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3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directors, executive officers, and large stockholders have substantial control over and could limit your ability to influence the outcome of key transactions, including changes of control.</w:t>
      </w:r>
    </w:p>
    <w:p>
      <w:pPr>
        <w:spacing w:after="0" w:line="31"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As of June 30, 2014, our current executive officers, directors, stockholders holding at least 5% of our outstanding stock, and their respective affiliates, collectively beneficially owned or controlled approximately 45% of the outstanding shares of our common stock. Accordingly, these executive officers, directors, large stockholders, and their respective affiliates, acting as a group, can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w:t>
      </w:r>
    </w:p>
    <w:p>
      <w:pPr>
        <w:spacing w:after="0" w:line="13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45"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62" w:lineRule="exact"/>
        <w:rPr>
          <w:sz w:val="20"/>
          <w:szCs w:val="20"/>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10,000,000 shares of undesignated preferred stock;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 year terms;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71"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never paid dividends on our capital stock, and we do not anticipate paying any cash dividends in the foreseeable future.</w:t>
      </w:r>
    </w:p>
    <w:p>
      <w:pPr>
        <w:spacing w:after="0" w:line="9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have contractual restrictions against paying cash dividends, and currently intend to retain our future earnings to fund the development and growth of our business. As a result, capital appreciation, if any, of our common stock will be stockholders’ sole source of gain for the foreseeable future.</w:t>
      </w:r>
    </w:p>
    <w:p>
      <w:pPr>
        <w:spacing w:after="0" w:line="39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Risks Related to Our Outstanding 2.75% Senior Convertible Notes due 2034</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outstanding 2.75% senior convertible notes due 2034 are effectively subordinated to our secured debt and any liabilities of our subsidiaries.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outstanding 2.75% senior convertible notes due 2034, which we refer to as our “notes”, rank:</w:t>
      </w:r>
    </w:p>
    <w:p>
      <w:pPr>
        <w:spacing w:after="0" w:line="11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senior in right of payment to any of our indebtedness that is expressly subordinated in right of payment to the notes;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equal in right of payment to all of our liabilities that are not so subordinated;</w:t>
      </w:r>
    </w:p>
    <w:p>
      <w:pPr>
        <w:spacing w:after="0" w:line="117"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junior in right of payment to any of our secured indebtedness to the extent of the value of the assets securing such indebtedness; and</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structurally junior to all indebtedness and other liabilities (including trade payables) of our subsidiaries.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In February 2014, we completed our offering of notes with an aggregate outstanding principal amount of $201.3 million. In the event of our bankruptcy, liquidation, reorganization, or other winding up, our assets that secure debt ranking senior in right of payment to the notes will be available to pay obligations on the notes only after the secured debt has been repaid in full from these assets, and the assets of our subsidiaries will be available to pay obligations on the notes only after all claims senior to the notes have been repaid in full. There may not be sufficient assets remaining to pay amounts due on any or all of the notes then outstanding. The indenture governing the notes does not prohibit us from incurring additional senior debt or secured debt, nor does it prohibit our subsidiaries from incurring additional liabilities.</w:t>
      </w:r>
    </w:p>
    <w:p>
      <w:pPr>
        <w:spacing w:after="0" w:line="18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notes are our obligations only and some of our operations are conducted through, and a portion of our consolidated assets are held by, our subsidiaries.</w:t>
      </w:r>
    </w:p>
    <w:p>
      <w:pPr>
        <w:spacing w:after="0" w:line="3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notes are our obligations exclusively and are not guaranteed by any of our operating subsidiaries. A portion of our consolidated assets is held by our subsidiaries. Accordingly, our ability to service our debt, including the notes, depends in part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and tax considerations.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future regulatory actions and other events may adversely affect the trading price and liquidity of the notes.</w:t>
      </w:r>
    </w:p>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We expect that many investors in, and potential purchasers of, the notes will employ, or seek to employ, a convertible arbitrage strategy with respect to the notes. Investors would typically implement such a strategy by selling short the common stock underlying the notes and dynamically adjusting their short position while continuing to hold the notes. Investors may also implement this type of strategy by entering into swaps on our common stock in lieu of or in addition to short selling the common stock. As a result, any specific rules regulating equity swaps or short selling of securities or other governmental action that interferes with the ability of market participants to effect short sales or equity swaps with respect to our common stock could adversely affect the ability of investors in, or potential purchasers of, the notes to conduct the convertible arbitrage strategy that we believe they will employ, or seek to employ, with respect to the notes. This could, in turn, adversely affect the trading price and liquidity of the notes.</w:t>
      </w:r>
    </w:p>
    <w:p>
      <w:pPr>
        <w:spacing w:after="0" w:line="32"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SEC and other regulatory and self-regulatory authorities have implemented various rules and taken certain actions, and may in the future adopt additional rules and take other actions, that may impact those engaging in short selling activity involving equity securities (including our common stock). Such rules and actions include Rule 201 of SEC Regulation SHO, the adoption by the Financial Industry Regulatory Authority, Inc. and the national securities exchanges of a “Limit Up-Limit Down” program, the imposition of market-wide circuit breakers that halt trading of securities for certain periods following specific market declines, and the implementation of certain regulatory reforms required by the Dodd-Frank Wall Street Reform and Consumer Protection Act of 2010. Although the direction and magnitude of the effect that Regulation SHO, FINRA, securities exchange rule changes and implementation of the Dodd-Frank Act may have on the trading price and the liquidity of the notes will depend on a variety of factors, many of which cannot be determined at the date of the prospectus, past regulatory actions (such as certain emergency orders issued by the SEC in 2008 prohibiting short sales of stock of certain financial services companies) have had a significant impact on the trading prices and liquidity of convertible debt instruments. Any governmental or regulatory action that restricts the ability of investors in, or potential purchasers of, the notes to effect short sales of our common stock, borrow our common stock or enter into swaps on our common stock or increases the costs of implementing an arbitrage strategy could adversely affect the trading price and the liquidity of the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in the market price and trading volume of our common stock could adversely impact the trading price of the notes.</w:t>
      </w:r>
    </w:p>
    <w:p>
      <w:pPr>
        <w:spacing w:after="0" w:line="9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stock market in recent years has experienced significant price and volume fluctuations that have often been unrelated to the operating performance of companies. The market price of our common stock could fluctuate significantly for many reasons, including in response to the risks described in this report,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The market price of our common stock could also decline as a result of sales of a large number of shares of our common stock in the market, particularly sales by our directors, executive officers, employees, and significant stockholders, and the perception that these sales could occur may also depress the market price of our common stock. A decrease in the market price of our common stock would likely adversely impact the trading price of the notes. The market price of our common stock could also be affected by possible sales of our common stock by investors who view the notes as a more attractive means of equity participation in us and by hedging or arbitrage trading activity that we expect to develop involving our common stock. This trading activity could, in turn, affect the trading price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still incur substantially more debt or take other actions which would intensify the risks discussed above.</w:t>
      </w:r>
    </w:p>
    <w:p>
      <w:pPr>
        <w:spacing w:after="0" w:line="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currently have a financing arrangement pursuant to which we may incur up to $10 million of revolver borrowings and our subsidiaries may be able to incur substantial additional debt, subject to the restrictions contained in such arrangement or our future debt instruments, some of which may be secured debt. 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Any failure by us or any of our significant subsidiaries to make any payment at maturity of indebtedness for borrowed money in excess of $15 million or the acceleration of any such indebtedness in excess of $15 million would, subject to the terms of the indenture governing the notes, constitute a default under the indenture. If the repayment of the related indebtedness were to be accelerated after any applicable notice or grace periods, we may not have sufficient funds to repay the notes when required.</w:t>
      </w:r>
    </w:p>
    <w:p>
      <w:pPr>
        <w:spacing w:after="0" w:line="17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not have the ability to raise the funds necessary to repurchase the notes upon specified dates or upon a fundamental change, and our future debt may contain limitations on our ability to repurchase the notes.</w:t>
      </w:r>
    </w:p>
    <w:p>
      <w:pPr>
        <w:spacing w:after="0" w:line="3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Holders of the notes have the right to require us to repurchase all or a portion of their notes on certain dates or upon the occurrence of a fundamental change at a repurchase price equal to 100% of the principal amount of the notes to be repurchased,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plus accrued and unpaid interest, if any. We may not have enough available cash or be able to obtain financing at the time we are required to make repurchases of notes surrendered therefor.</w:t>
      </w:r>
    </w:p>
    <w:p>
      <w:pPr>
        <w:spacing w:after="0" w:line="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addition, our ability to repurchase the notes may be limited by law, regulatory authority or agreements governing our future indebtedness. Our failure to repurchase notes at a time when the repurchase is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notes when required.</w:t>
      </w:r>
    </w:p>
    <w:p>
      <w:pPr>
        <w:spacing w:after="0" w:line="18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Holders of notes are not entitled to any rights with respect to our common stock, but they are subject to all changes made with respect to them to the extent our conversion obligation includes shares of our common stock.</w:t>
      </w:r>
    </w:p>
    <w:p>
      <w:pPr>
        <w:spacing w:after="0" w:line="31"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Holders of notes are not entitled to any rights with respect to our common stock (including, without limitation, voting rights and rights to receive any dividends or other distributions on our common stock) prior to the conversion date with respect to any notes they surrender for conversion, but they are subject to all changes affecting our common stock. For example, if an amendment is proposed to our certificate of incorporation or bylaws requiring stockholder approval and the record date for determining the stockholders of record entitled to vote on the amendment occurs prior to the conversion date with respect to any notes surrendered for conversion, then the holder surrendering such notes will not be entitled to vote on the amendment, although such holder will nevertheless be subject to any changes affecting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made only limited covenants in the indenture governing the notes, and these limited covenants may not protect a noteholder's investment.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indenture governing the notes does not:</w:t>
      </w:r>
    </w:p>
    <w:p>
      <w:pPr>
        <w:spacing w:after="0" w:line="117" w:lineRule="exact"/>
        <w:rPr>
          <w:sz w:val="20"/>
          <w:szCs w:val="20"/>
          <w:color w:val="auto"/>
        </w:rPr>
      </w:pPr>
    </w:p>
    <w:p>
      <w:pPr>
        <w:ind w:left="1300" w:right="180" w:hanging="644"/>
        <w:spacing w:after="0" w:line="342"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flows or liquidity and, accordingly, does not protect holders of the notes in the event that we experience adverse changes in our financial condition or results of operations;</w:t>
      </w:r>
    </w:p>
    <w:p>
      <w:pPr>
        <w:spacing w:after="0" w:line="15" w:lineRule="exact"/>
        <w:rPr>
          <w:rFonts w:ascii="Arial" w:cs="Arial" w:eastAsia="Arial" w:hAnsi="Arial"/>
          <w:sz w:val="16"/>
          <w:szCs w:val="16"/>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subsidiaries’ ability to guarantee or incur indebtedness that would rank structurally senior to the notes;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ability to incur additional indebtedness, including secured indebtedness;</w:t>
      </w:r>
    </w:p>
    <w:p>
      <w:pPr>
        <w:spacing w:after="0" w:line="117"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subsidiaries’ ability to issue securities that would be senior to our equity interests in our subsidiaries and therefore would be structurally senior to the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repurchase our securities;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 our ability to pledge our assets or those of our subsidiaries; 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 our ability to make investments or pay dividends or make other payments in respect of our common stock or our other indebtedness.</w:t>
      </w:r>
    </w:p>
    <w:p>
      <w:pPr>
        <w:spacing w:after="0" w:line="113"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Furthermore, the indenture governing the notes contains only limited protections in the event of a change of control. We could engage in many types of transactions, such as acquisitions, refinancings or certain recapitalizations, that could substantially affect our capital structure and the value of the notes and our common stock but may not constitute a “fundamental change” that permits holders to require us to repurchase their notes or a “make-whole fundamental change” that permits holders to convert their notes at an increased conversion rate. For these reasons, the limited covenants in the indenture governing the notes may not protect a noteholder's investment in the notes.</w:t>
      </w:r>
    </w:p>
    <w:p>
      <w:pPr>
        <w:spacing w:after="0" w:line="184" w:lineRule="exact"/>
        <w:rPr>
          <w:sz w:val="20"/>
          <w:szCs w:val="20"/>
          <w:color w:val="auto"/>
        </w:rPr>
      </w:pPr>
    </w:p>
    <w:p>
      <w:pPr>
        <w:ind w:right="280"/>
        <w:spacing w:after="0" w:line="313" w:lineRule="auto"/>
        <w:rPr>
          <w:sz w:val="20"/>
          <w:szCs w:val="20"/>
          <w:color w:val="auto"/>
        </w:rPr>
      </w:pPr>
      <w:r>
        <w:rPr>
          <w:rFonts w:ascii="Arial" w:cs="Arial" w:eastAsia="Arial" w:hAnsi="Arial"/>
          <w:sz w:val="17"/>
          <w:szCs w:val="17"/>
          <w:b w:val="1"/>
          <w:bCs w:val="1"/>
          <w:color w:val="auto"/>
        </w:rPr>
        <w:t>The increase in the conversion rate for notes converted in connection with a make-whole fundamental change or provisional redemption may not adequately compensate noteholders for any lost value of the notes as a result of such transaction or redemption.</w:t>
      </w:r>
    </w:p>
    <w:p>
      <w:pPr>
        <w:spacing w:after="0" w:line="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If a make-whole fundamental change occurs prior to February 6, 2021 or upon our issuance of a notice of provisional redemption, under certain circumstances, we will increase the conversion rate by a number of additional shares of our common stock for notes converted in connection such events. The increase in the conversion rate for notes converted in connection with such events may not adequately compensate noteholders for any lost value of the notes as a result of such transaction or redemption. In addition, if the price of our common stock in the transaction is greater than $180.00 per share or less than $39.96 per share (in each case, subject to adjustment), no additional shares will be added to the conversion rate. Moreover, in no event will the conversion rate per $1,000 principal amount of notes as a result of this adjustment exceed 25.0250 shares of common stock, subject to adjustment.</w:t>
      </w:r>
    </w:p>
    <w:p>
      <w:pPr>
        <w:spacing w:after="0" w:line="3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Our obligation to increase the conversion rate for notes converted in connection with such events could be considered a penalty, in which case the enforceability thereof would be subject to general principles of reasonableness and equitable remedies.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conversion rate of the notes may not be adjusted for all dilutive events.</w:t>
      </w:r>
    </w:p>
    <w:p>
      <w:pPr>
        <w:spacing w:after="0" w:line="9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conversion rate of the notes is subject to adjustment for certain events, including, but not limited to, the issuance of certain stock dividends on our common stock, the issuance of certain rights or warrants, subdivisions, combinations, distributions of capital stock, indebtedness, or assets, cash dividends and certain issuer tender or exchange offers. However, the conversion rate will not be adjusted for other events, such as a third-party tender or exchange offer or an issuance of common stock for cash, that may adversely affect the trading price of the notes or our common stock. An event that adversely affects the value of the notes may occur, and that event may not result in an adjustment to the conversion rate.</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Some significant restructuring transactions may not constitute a fundamental change, in which case we would not be obligated to offer to repurchase the notes.</w:t>
      </w:r>
    </w:p>
    <w:p>
      <w:pPr>
        <w:spacing w:after="0" w:line="3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Upon the occurrence of a fundamental change, a holder of notes has the right to require us to repurchase the notes. However, the fundamental change provisions will not afford protection to holders of notes in the event of other transactions that could adversely affect the notes. For example, transactions such as leveraged recapitalizations, refinancings, restructurings, or acquisitions initiated by us may not constitute a fundamental change requiring us to repurchase the notes. In the event of any such transaction, the holders would not have the right to require us to repurchase the notes, even though each of these transactions could increase the amount of our indebtedness, or otherwise adversely affect our capital structure or any credit ratings, thereby adversely affecting the holders of notes.</w:t>
      </w:r>
    </w:p>
    <w:p>
      <w:pPr>
        <w:spacing w:after="0" w:line="58"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addition, absent the occurrence of a fundamental change or a make-whole fundamental change as described under changes in the composition of our board of directors will not provide holders with the right to require us to repurchase the notes or to an increase in the conversion rate upon conversion.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noteholders that an active trading market will develop or be maintained for the notes.</w:t>
      </w:r>
    </w:p>
    <w:p>
      <w:pPr>
        <w:spacing w:after="0" w:line="9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do not intend to apply to list our outstanding convertible notes on any securities exchange or to arrange for quotation on any automated dealer quotation system. In addition, the liquidity of the trading market in the notes and the market price quoted for the notes may be adversely affected by changes in the overall market for this type of security and by changes in our financial performance or prospects or in the prospects for companies in our industry generally. As a result, we cannot assure noteholders that an active trading market will develop or be maintained for the notes. If an active trading market does not develop or is not maintained, the market price and liquidity of the notes may be adversely affected. In that case, noteholders may not be able to sell the notes at a particular time or at a favorable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adverse rating of the notes may cause their trading price to fall.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We do not intend to seek a rating on the notes. However, if a rating service were to rate the notes and if such rating service were to lower its rating on the notes below the rating initially assigned to the notes or otherwise announces its intention to put the notes on credit watch, the trading price of the notes could decline.</w:t>
      </w:r>
    </w:p>
    <w:p>
      <w:pPr>
        <w:spacing w:after="0" w:line="17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Holders of notes may be subject to tax if we make or fail to make certain adjustments to the conversion rate of the notes even though they do not receive a corresponding cash distribution.</w:t>
      </w:r>
    </w:p>
    <w:p>
      <w:pPr>
        <w:spacing w:after="0" w:line="31"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conversion rate of the notes is subject to adjustment in certain circumstances, including the payment of cash dividends. If the conversion rate is adjusted as a result of a distribution that is taxable to our common stockholders, such as a cash dividend, a noteholder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you. If a make-whole fundamental change occurs prior to February 6, 2021 or we provide notice of a provisional redemption, under some circumstances, we will increase the conversion rate for notes converted in connection with the make-whole fundamental change or provisional redemption. Such increase may also be treated as a distribution subject to U.S. federal income tax as a dividend. For a non-U.S. holder, any deemed dividend would be subject to U.S. federal withholding tax at a 30% rate, or such lower rate as may be specified by an applicable treaty, which may be set off against subsequent payments on the notes.</w:t>
      </w:r>
    </w:p>
    <w:p>
      <w:pPr>
        <w:spacing w:after="0" w:line="162"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Any conversions of the notes will dilute the ownership interest of our existing stockholders, including holders who had previously converted their notes.</w:t>
      </w:r>
    </w:p>
    <w:p>
      <w:pPr>
        <w:spacing w:after="0" w:line="31"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Any conversion of some or all of the notes will dilute the ownership interests of our existing stockholders.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depress the price of our common stock.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Incorporated</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From</w:t>
            </w:r>
          </w:p>
        </w:tc>
        <w:tc>
          <w:tcPr>
            <w:tcW w:w="10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49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360" w:type="dxa"/>
            <w:vAlign w:val="bottom"/>
            <w:vMerge w:val="restart"/>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Exhibit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Business Financing Modification Agreement dated May 9, 2014, by and between Bridge Bank, National Association and Fluidigm Corporation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Financing Modification Agreement dated July 31, 2014, by and between Bridge Bank, National Association and Fluidigm Corporation</w:t>
      </w:r>
    </w:p>
    <w:p>
      <w:pPr>
        <w:spacing w:after="0" w:line="10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Fourth Amendment to Lease Agreement between ARE-San Francisco No. 17, LLC and the registrant, dated June 4, 2014</w:t>
      </w:r>
    </w:p>
    <w:p>
      <w:pPr>
        <w:spacing w:after="0" w:line="17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Certification Pursuant to 18 U.S.C. Section 1350, as Adopted Pursuant to Section 302 of the Sarbanes-Oxley Act of 2002 of President and Chief Executive Officer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340"/>
        <w:spacing w:after="0"/>
        <w:tabs>
          <w:tab w:leader="none" w:pos="1980" w:val="left"/>
          <w:tab w:leader="none" w:pos="312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5/12/2014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16" w:lineRule="exact"/>
        <w:rPr>
          <w:sz w:val="20"/>
          <w:szCs w:val="20"/>
          <w:color w:val="auto"/>
        </w:rPr>
      </w:pPr>
    </w:p>
    <w:p>
      <w:pPr>
        <w:sectPr>
          <w:pgSz w:w="11900" w:h="16838" w:orient="portrait"/>
          <w:cols w:equalWidth="0" w:num="3">
            <w:col w:w="1280" w:space="720"/>
            <w:col w:w="4720" w:space="680"/>
            <w:col w:w="402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302 of the Sarbanes-Oxley Act of 2002 of</w:t>
            </w:r>
          </w:p>
        </w:tc>
        <w:tc>
          <w:tcPr>
            <w:tcW w:w="15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32.1(1)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32.2(1)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tcPr>
          <w:p>
            <w:pPr>
              <w:ind w:left="640"/>
              <w:spacing w:after="0"/>
              <w:rPr>
                <w:sz w:val="20"/>
                <w:szCs w:val="20"/>
                <w:color w:val="auto"/>
              </w:rPr>
            </w:pPr>
            <w:r>
              <w:rPr>
                <w:rFonts w:ascii="Arial" w:cs="Arial" w:eastAsia="Arial" w:hAnsi="Arial"/>
                <w:sz w:val="18"/>
                <w:szCs w:val="18"/>
                <w:color w:val="auto"/>
              </w:rPr>
              <w:t>XBRL Instance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Definition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bl>
    <w:p>
      <w:pPr>
        <w:spacing w:after="0" w:line="179" w:lineRule="exact"/>
        <w:rPr>
          <w:sz w:val="20"/>
          <w:szCs w:val="20"/>
          <w:color w:val="auto"/>
        </w:rPr>
      </w:pPr>
    </w:p>
    <w:p>
      <w:pPr>
        <w:ind w:left="600" w:right="240" w:hanging="565"/>
        <w:spacing w:after="0" w:line="271" w:lineRule="auto"/>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FLUIDIGM CORPORATION</w:t>
      </w:r>
    </w:p>
    <w:p>
      <w:pPr>
        <w:spacing w:after="0" w:line="185"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7"/>
          <w:szCs w:val="17"/>
          <w:color w:val="auto"/>
        </w:rPr>
        <w:t>President and Chief Executive Officer</w:t>
      </w:r>
    </w:p>
    <w:p>
      <w:pPr>
        <w:spacing w:after="0" w:line="196" w:lineRule="exact"/>
        <w:rPr>
          <w:sz w:val="20"/>
          <w:szCs w:val="20"/>
          <w:color w:val="auto"/>
        </w:rPr>
      </w:pPr>
    </w:p>
    <w:p>
      <w:pPr>
        <w:ind w:left="40"/>
        <w:spacing w:after="0"/>
        <w:tabs>
          <w:tab w:leader="none" w:pos="7100" w:val="left"/>
          <w:tab w:leader="none" w:pos="7780" w:val="left"/>
        </w:tabs>
        <w:rPr>
          <w:sz w:val="20"/>
          <w:szCs w:val="20"/>
          <w:color w:val="auto"/>
        </w:rPr>
      </w:pPr>
      <w:r>
        <w:rPr>
          <w:rFonts w:ascii="Arial" w:cs="Arial" w:eastAsia="Arial" w:hAnsi="Arial"/>
          <w:sz w:val="18"/>
          <w:szCs w:val="18"/>
          <w:color w:val="auto"/>
        </w:rPr>
        <w:t>Dated: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720"/>
          </w:cols>
          <w:pgMar w:left="240" w:top="125" w:right="9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20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3121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Business Financing Modification Agreement dated May 9, 2014, by and between Bridge Bank, National Association and Fluidigm Corporation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Business Financing Modification Agreement dated July 31, 2014, by and between Bridge Bank, National Association and Fluidigm Corporation</w:t>
      </w:r>
    </w:p>
    <w:p>
      <w:pPr>
        <w:spacing w:after="0" w:line="10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Fourth Amendment to Lease Agreement between ARE-San Francisco No. 17, LLC and the registrant, dated June 4, 2014</w:t>
      </w:r>
    </w:p>
    <w:p>
      <w:pPr>
        <w:spacing w:after="0" w:line="17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Certification Pursuant to 18 U.S.C. Section 1350, as Adopted Pursuant to Section 302 of the Sarbanes-Oxley Act of 2002 of President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Incorporated by</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gridSpan w:val="2"/>
            <w:vMerge w:val="continue"/>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From</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9"/>
        </w:trPr>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Reference From</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Exhibit</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3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364"/>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5/12/2014</w:t>
            </w:r>
          </w:p>
        </w:tc>
        <w:tc>
          <w:tcPr>
            <w:tcW w:w="0" w:type="dxa"/>
            <w:vAlign w:val="bottom"/>
          </w:tcPr>
          <w:p>
            <w:pPr>
              <w:spacing w:after="0"/>
              <w:rPr>
                <w:sz w:val="1"/>
                <w:szCs w:val="1"/>
                <w:color w:val="auto"/>
              </w:rPr>
            </w:pPr>
          </w:p>
        </w:tc>
      </w:tr>
      <w:tr>
        <w:trPr>
          <w:trHeight w:val="864"/>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Filed herewith</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93" w:lineRule="exact"/>
        <w:rPr>
          <w:sz w:val="20"/>
          <w:szCs w:val="20"/>
          <w:color w:val="auto"/>
        </w:rPr>
      </w:pPr>
    </w:p>
    <w:p>
      <w:pPr>
        <w:sectPr>
          <w:pgSz w:w="11900" w:h="16838" w:orient="portrait"/>
          <w:cols w:equalWidth="0" w:num="3">
            <w:col w:w="1280" w:space="720"/>
            <w:col w:w="4720" w:space="520"/>
            <w:col w:w="418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31.2</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302 of the Sarbanes-Oxley Act of 2002 of</w:t>
            </w:r>
          </w:p>
        </w:tc>
        <w:tc>
          <w:tcPr>
            <w:tcW w:w="15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32.1(1)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President and Chief Executive Officer</w:t>
            </w:r>
          </w:p>
        </w:tc>
        <w:tc>
          <w:tcPr>
            <w:tcW w:w="1500" w:type="dxa"/>
            <w:vAlign w:val="bottom"/>
          </w:tcPr>
          <w:p>
            <w:pPr>
              <w:spacing w:after="0"/>
              <w:rPr>
                <w:sz w:val="20"/>
                <w:szCs w:val="20"/>
                <w:color w:val="auto"/>
              </w:rPr>
            </w:pPr>
          </w:p>
        </w:tc>
      </w:tr>
      <w:tr>
        <w:trPr>
          <w:trHeight w:val="377"/>
        </w:trPr>
        <w:tc>
          <w:tcPr>
            <w:tcW w:w="1320" w:type="dxa"/>
            <w:vAlign w:val="bottom"/>
          </w:tcPr>
          <w:p>
            <w:pPr>
              <w:spacing w:after="0"/>
              <w:rPr>
                <w:sz w:val="20"/>
                <w:szCs w:val="20"/>
                <w:color w:val="auto"/>
              </w:rPr>
            </w:pPr>
            <w:r>
              <w:rPr>
                <w:rFonts w:ascii="Arial" w:cs="Arial" w:eastAsia="Arial" w:hAnsi="Arial"/>
                <w:sz w:val="18"/>
                <w:szCs w:val="18"/>
                <w:color w:val="auto"/>
              </w:rPr>
              <w:t>32.2(1)</w:t>
            </w:r>
          </w:p>
        </w:tc>
        <w:tc>
          <w:tcPr>
            <w:tcW w:w="5580" w:type="dxa"/>
            <w:vAlign w:val="bottom"/>
          </w:tcPr>
          <w:p>
            <w:pPr>
              <w:ind w:left="640"/>
              <w:spacing w:after="0"/>
              <w:rPr>
                <w:sz w:val="20"/>
                <w:szCs w:val="20"/>
                <w:color w:val="auto"/>
              </w:rPr>
            </w:pPr>
            <w:r>
              <w:rPr>
                <w:rFonts w:ascii="Arial" w:cs="Arial" w:eastAsia="Arial" w:hAnsi="Arial"/>
                <w:sz w:val="18"/>
                <w:szCs w:val="18"/>
                <w:color w:val="auto"/>
              </w:rPr>
              <w:t>Certification Pursuant to 18 U.S.C. Section 1350, as Adopted</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89"/>
              </w:rPr>
              <w:t>Furnished</w:t>
            </w:r>
          </w:p>
        </w:tc>
      </w:tr>
      <w:tr>
        <w:trPr>
          <w:trHeight w:val="216"/>
        </w:trPr>
        <w:tc>
          <w:tcPr>
            <w:tcW w:w="1320" w:type="dxa"/>
            <w:vAlign w:val="bottom"/>
          </w:tcPr>
          <w:p>
            <w:pPr>
              <w:spacing w:after="0"/>
              <w:rPr>
                <w:sz w:val="18"/>
                <w:szCs w:val="18"/>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w w:val="99"/>
              </w:rPr>
              <w:t>Pursuant to Section 906 of the Sarbanes-Oxley Act of 2002 of</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4"/>
              </w:rPr>
              <w:t>herewith</w:t>
            </w:r>
          </w:p>
        </w:tc>
      </w:tr>
      <w:tr>
        <w:trPr>
          <w:trHeight w:val="230"/>
        </w:trPr>
        <w:tc>
          <w:tcPr>
            <w:tcW w:w="1320" w:type="dxa"/>
            <w:vAlign w:val="bottom"/>
          </w:tcPr>
          <w:p>
            <w:pPr>
              <w:spacing w:after="0"/>
              <w:rPr>
                <w:sz w:val="20"/>
                <w:szCs w:val="20"/>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Chief Financial Officer</w:t>
            </w:r>
          </w:p>
        </w:tc>
        <w:tc>
          <w:tcPr>
            <w:tcW w:w="1500" w:type="dxa"/>
            <w:vAlign w:val="bottom"/>
          </w:tcPr>
          <w:p>
            <w:pPr>
              <w:spacing w:after="0"/>
              <w:rPr>
                <w:sz w:val="20"/>
                <w:szCs w:val="20"/>
                <w:color w:val="auto"/>
              </w:rPr>
            </w:pP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5580" w:type="dxa"/>
            <w:vAlign w:val="bottom"/>
          </w:tcPr>
          <w:p>
            <w:pPr>
              <w:ind w:left="640"/>
              <w:spacing w:after="0"/>
              <w:rPr>
                <w:sz w:val="20"/>
                <w:szCs w:val="20"/>
                <w:color w:val="auto"/>
              </w:rPr>
            </w:pPr>
            <w:r>
              <w:rPr>
                <w:rFonts w:ascii="Arial" w:cs="Arial" w:eastAsia="Arial" w:hAnsi="Arial"/>
                <w:sz w:val="18"/>
                <w:szCs w:val="18"/>
                <w:color w:val="auto"/>
              </w:rPr>
              <w:t>XBRL Instance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Schema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Calculation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Label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Presentation Linkbase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r>
        <w:trPr>
          <w:trHeight w:val="392"/>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5580" w:type="dxa"/>
            <w:vAlign w:val="bottom"/>
          </w:tcPr>
          <w:p>
            <w:pPr>
              <w:ind w:left="640"/>
              <w:spacing w:after="0"/>
              <w:rPr>
                <w:sz w:val="20"/>
                <w:szCs w:val="20"/>
                <w:color w:val="auto"/>
              </w:rPr>
            </w:pPr>
            <w:r>
              <w:rPr>
                <w:rFonts w:ascii="Arial" w:cs="Arial" w:eastAsia="Arial" w:hAnsi="Arial"/>
                <w:sz w:val="18"/>
                <w:szCs w:val="18"/>
                <w:color w:val="auto"/>
              </w:rPr>
              <w:t>XBRL Taxonomy Extension Definition Document</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2"/>
              </w:rPr>
              <w:t>Filed herewith</w:t>
            </w:r>
          </w:p>
        </w:tc>
      </w:tr>
    </w:tbl>
    <w:p>
      <w:pPr>
        <w:spacing w:after="0" w:line="395" w:lineRule="exact"/>
        <w:rPr>
          <w:sz w:val="20"/>
          <w:szCs w:val="20"/>
          <w:color w:val="auto"/>
        </w:rPr>
      </w:pPr>
    </w:p>
    <w:p>
      <w:pPr>
        <w:ind w:left="600" w:right="440" w:hanging="565"/>
        <w:spacing w:after="0" w:line="271"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BUSINESS FINANCING MODIFICATION AND WAIVER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Business Financing Modification and Waiver Agreement is entered into as of July 31, 2014, by and between Fluidigm Corporation, a Delaware corporation (the “Borrower”), and Bridge Bank, National Association (“Lender”), and is effective as of June 30, 2014.</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DESCRIPTION OF EXISTING DOCUMENTS:</w:t>
      </w:r>
      <w:r>
        <w:rPr>
          <w:rFonts w:ascii="Arial" w:cs="Arial" w:eastAsia="Arial" w:hAnsi="Arial"/>
          <w:sz w:val="19"/>
          <w:szCs w:val="19"/>
          <w:color w:val="auto"/>
        </w:rPr>
        <w:t xml:space="preserve"> Borrower and Lender are parties to a Business Financing Agreement, dated December 16, 2010, as amended on February 8, 2011, March 31, 2011, December 21, 2012, January 29, 2014, and May 9, 2014 (as may be further amended from time to time, the “Business Financing Agreement”). Capitalized terms used without definition herein shall have the meanings assigned to them in the Business Financing Agreement.</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Hereinafter, all indebtedness owing by Borrower to Lender shall be referred to as the “Indebtedness” and the Business Financing Agreement and any and all other documents executed by Borrower in favor of Lender shall be referred to as the “Existing Documents.”</w:t>
      </w:r>
    </w:p>
    <w:p>
      <w:pPr>
        <w:spacing w:after="0" w:line="186"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u w:val="single" w:color="auto"/>
          <w:color w:val="auto"/>
        </w:rPr>
        <w:t>DESCRIPTION OF CHANGE IN TERMS</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28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u w:val="single" w:color="auto"/>
          <w:color w:val="auto"/>
        </w:rPr>
        <w:t>Modifications to Business Financing Agreement</w:t>
      </w:r>
      <w:r>
        <w:rPr>
          <w:rFonts w:ascii="Arial" w:cs="Arial" w:eastAsia="Arial" w:hAnsi="Arial"/>
          <w:sz w:val="22"/>
          <w:szCs w:val="22"/>
          <w:color w:val="auto"/>
        </w:rPr>
        <w:t>:</w:t>
      </w:r>
    </w:p>
    <w:p>
      <w:pPr>
        <w:spacing w:after="0" w:line="220" w:lineRule="exact"/>
        <w:rPr>
          <w:sz w:val="20"/>
          <w:szCs w:val="20"/>
          <w:color w:val="auto"/>
        </w:rPr>
      </w:pPr>
    </w:p>
    <w:p>
      <w:pPr>
        <w:ind w:left="3340" w:right="20" w:hanging="1387"/>
        <w:spacing w:after="0" w:line="253" w:lineRule="auto"/>
        <w:tabs>
          <w:tab w:leader="none" w:pos="2611"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order to account for new assets acquired by Borrower through Borrower’s acquisition of DVS Sciences, Inc., a Delaware corporation, Section 4.14(b) is hereby amended restated to read as follows:</w:t>
      </w:r>
    </w:p>
    <w:p>
      <w:pPr>
        <w:spacing w:after="0" w:line="186" w:lineRule="exact"/>
        <w:rPr>
          <w:sz w:val="20"/>
          <w:szCs w:val="20"/>
          <w:color w:val="auto"/>
        </w:rPr>
      </w:pPr>
    </w:p>
    <w:p>
      <w:pPr>
        <w:ind w:left="4240" w:hanging="1633"/>
        <w:spacing w:after="0" w:line="263" w:lineRule="auto"/>
        <w:rPr>
          <w:sz w:val="20"/>
          <w:szCs w:val="20"/>
          <w:color w:val="auto"/>
        </w:rPr>
      </w:pPr>
      <w:r>
        <w:rPr>
          <w:rFonts w:ascii="Arial" w:cs="Arial" w:eastAsia="Arial" w:hAnsi="Arial"/>
          <w:sz w:val="22"/>
          <w:szCs w:val="22"/>
          <w:color w:val="auto"/>
        </w:rPr>
        <w:t>(b)Effective Tangible Net Worth not at any time exceeding a deficit of more than $100,000,000 with compliance determined on a quarterly basis.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3. </w:t>
      </w:r>
      <w:r>
        <w:rPr>
          <w:rFonts w:ascii="Arial" w:cs="Arial" w:eastAsia="Arial" w:hAnsi="Arial"/>
          <w:sz w:val="21"/>
          <w:szCs w:val="21"/>
          <w:u w:val="single" w:color="auto"/>
          <w:color w:val="auto"/>
        </w:rPr>
        <w:t>WAIVER</w:t>
      </w:r>
      <w:r>
        <w:rPr>
          <w:rFonts w:ascii="Arial" w:cs="Arial" w:eastAsia="Arial" w:hAnsi="Arial"/>
          <w:sz w:val="21"/>
          <w:szCs w:val="21"/>
          <w:color w:val="auto"/>
        </w:rPr>
        <w:t>. Lender hereby waives the Tangible Net Worth covenant set forth in Section 4.14(b) of the Business Financing Agreement for the fiscal quarter ended June 30, 2014; provided, however, that nothing herein, nor any communications among Borrower and Lender shall be deemed a waiver with respect to any other provision of the Business Financing Agreement, or any Default or Events of Default or any failure of Borrower to comply with any other provision of the Agreement or any other Existing Document, and in no event shall this waiver be deemed to be a waiver of enforcement of any of the rights or remedies of Lender under the Business Financing Agreement or any other Existing Document, at law, in equity, or otherwise, with respect to any Default or Event of Default now existing or hereafter arising. Except as expressly provided herein, Lender hereby reserves and preserves all of their rights and remedies against Borrower under the Business Financing Agreement and the other Existing Documents, at law, in equity, or otherwise.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60" w:type="dxa"/>
            <w:vAlign w:val="bottom"/>
          </w:tcPr>
          <w:p>
            <w:pPr>
              <w:jc w:val="right"/>
              <w:ind w:right="1832"/>
              <w:spacing w:after="0"/>
              <w:rPr>
                <w:sz w:val="20"/>
                <w:szCs w:val="20"/>
                <w:color w:val="auto"/>
              </w:rPr>
            </w:pPr>
            <w:r>
              <w:rPr>
                <w:rFonts w:ascii="Arial" w:cs="Arial" w:eastAsia="Arial" w:hAnsi="Arial"/>
                <w:sz w:val="22"/>
                <w:szCs w:val="22"/>
                <w:color w:val="auto"/>
              </w:rPr>
              <w:t>4.</w:t>
            </w:r>
          </w:p>
        </w:tc>
        <w:tc>
          <w:tcPr>
            <w:tcW w:w="8660" w:type="dxa"/>
            <w:vAlign w:val="bottom"/>
            <w:gridSpan w:val="3"/>
          </w:tcPr>
          <w:p>
            <w:pPr>
              <w:spacing w:after="0"/>
              <w:rPr>
                <w:sz w:val="20"/>
                <w:szCs w:val="20"/>
                <w:color w:val="auto"/>
              </w:rPr>
            </w:pPr>
            <w:r>
              <w:rPr>
                <w:rFonts w:ascii="Arial" w:cs="Arial" w:eastAsia="Arial" w:hAnsi="Arial"/>
                <w:sz w:val="22"/>
                <w:szCs w:val="22"/>
                <w:color w:val="auto"/>
                <w:w w:val="88"/>
              </w:rPr>
              <w:t>CONSISTENT CHANGES. The Existing Documents are each hereby amended wherever necessary</w:t>
            </w:r>
          </w:p>
        </w:tc>
      </w:tr>
      <w:tr>
        <w:trPr>
          <w:trHeight w:val="20"/>
        </w:trPr>
        <w:tc>
          <w:tcPr>
            <w:tcW w:w="27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87"/>
        </w:trPr>
        <w:tc>
          <w:tcPr>
            <w:tcW w:w="11420" w:type="dxa"/>
            <w:vAlign w:val="bottom"/>
            <w:gridSpan w:val="4"/>
          </w:tcPr>
          <w:p>
            <w:pPr>
              <w:spacing w:after="0"/>
              <w:rPr>
                <w:sz w:val="20"/>
                <w:szCs w:val="20"/>
                <w:color w:val="auto"/>
              </w:rPr>
            </w:pPr>
            <w:r>
              <w:rPr>
                <w:rFonts w:ascii="Arial" w:cs="Arial" w:eastAsia="Arial" w:hAnsi="Arial"/>
                <w:sz w:val="22"/>
                <w:szCs w:val="22"/>
                <w:color w:val="auto"/>
              </w:rPr>
              <w:t>to reflect the changes described above.</w:t>
            </w:r>
          </w:p>
        </w:tc>
      </w:tr>
      <w:tr>
        <w:trPr>
          <w:trHeight w:val="422"/>
        </w:trPr>
        <w:tc>
          <w:tcPr>
            <w:tcW w:w="2760" w:type="dxa"/>
            <w:vAlign w:val="bottom"/>
          </w:tcPr>
          <w:p>
            <w:pPr>
              <w:jc w:val="right"/>
              <w:ind w:right="1832"/>
              <w:spacing w:after="0"/>
              <w:rPr>
                <w:sz w:val="20"/>
                <w:szCs w:val="20"/>
                <w:color w:val="auto"/>
              </w:rPr>
            </w:pPr>
            <w:r>
              <w:rPr>
                <w:rFonts w:ascii="Arial" w:cs="Arial" w:eastAsia="Arial" w:hAnsi="Arial"/>
                <w:sz w:val="22"/>
                <w:szCs w:val="22"/>
                <w:color w:val="auto"/>
              </w:rPr>
              <w:t>5.</w:t>
            </w:r>
          </w:p>
        </w:tc>
        <w:tc>
          <w:tcPr>
            <w:tcW w:w="8660" w:type="dxa"/>
            <w:vAlign w:val="bottom"/>
            <w:gridSpan w:val="3"/>
          </w:tcPr>
          <w:p>
            <w:pPr>
              <w:spacing w:after="0"/>
              <w:rPr>
                <w:sz w:val="20"/>
                <w:szCs w:val="20"/>
                <w:color w:val="auto"/>
              </w:rPr>
            </w:pPr>
            <w:r>
              <w:rPr>
                <w:rFonts w:ascii="Arial" w:cs="Arial" w:eastAsia="Arial" w:hAnsi="Arial"/>
                <w:sz w:val="22"/>
                <w:szCs w:val="22"/>
                <w:color w:val="auto"/>
                <w:w w:val="91"/>
              </w:rPr>
              <w:t>NO DEFENSES OF BORROWER/GENERAL RELEASE. Borrower agrees that, as of this date, it</w:t>
            </w:r>
          </w:p>
        </w:tc>
      </w:tr>
      <w:tr>
        <w:trPr>
          <w:trHeight w:val="20"/>
        </w:trPr>
        <w:tc>
          <w:tcPr>
            <w:tcW w:w="27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has no defenses against the obligations to pay any amounts under the Indebtedness. Borrower (“Releasing Party”) acknowledges that Lender would not enter into this Business Financing Modification and Waiver Agreement without Releasing Party’s assurance that it has no claims against Lender or any of Lender’s officers, directors, employees or agents. Except for the obligations arising hereafter under this Business Financing Modification and Waiver Agreement, each Releasing Party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57" w:right="239" w:bottom="1440" w:gutter="0" w:footer="0" w:header="0"/>
        </w:sectPr>
      </w:pPr>
    </w:p>
    <w:bookmarkStart w:id="56" w:name="page57"/>
    <w:bookmarkEnd w:id="56"/>
    <w:p>
      <w:pPr>
        <w:jc w:val="both"/>
        <w:spacing w:after="0" w:line="247" w:lineRule="auto"/>
        <w:rPr>
          <w:sz w:val="20"/>
          <w:szCs w:val="20"/>
          <w:color w:val="auto"/>
        </w:rPr>
      </w:pPr>
      <w:r>
        <w:rPr>
          <w:rFonts w:ascii="Arial" w:cs="Arial" w:eastAsia="Arial" w:hAnsi="Arial"/>
          <w:sz w:val="22"/>
          <w:szCs w:val="22"/>
          <w:color w:val="auto"/>
        </w:rPr>
        <w:t>releases Lender, and each of Lender’s and entity’s officers, directors and employees from any known or unknown claims that Releasing Party now has against Lender of any nature, including any claims that Releasing Party, its successors, counsel, and advisors may in the future discover they would have now if they had known facts not now known to them, whether founded in contract, in tort or pursuant to any other theory of liability, including but not limited to any claims arising out of or related to the Agreement or the transactions contemplated thereby. Releasing Party waives the provisions of California Civil Code section 1542, which states:</w:t>
      </w:r>
    </w:p>
    <w:p>
      <w:pPr>
        <w:spacing w:after="0" w:line="194"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provisions, waivers and releases set forth in this section are binding upon each Releasing Party and its shareholders, agents, employees, assigns and successors in interest. The provisions, waivers and releases of this section shall inure to the benefit of Lender and its agents, employees, officers, directors, assigns and successors in interest. The provisions of this section shall survive payment in full of the Obligations, full performance of all the terms of this Business Financing Modification and Waiver Agreement and the Business Financing Agreement, and/or Lender’s actions to exercise any remedy available under the Business Financing Agreement or otherwise.</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6. </w:t>
      </w:r>
      <w:r>
        <w:rPr>
          <w:rFonts w:ascii="Arial" w:cs="Arial" w:eastAsia="Arial" w:hAnsi="Arial"/>
          <w:sz w:val="21"/>
          <w:szCs w:val="21"/>
          <w:u w:val="single" w:color="auto"/>
          <w:color w:val="auto"/>
        </w:rPr>
        <w:t>CONTINUING VALIDITY</w:t>
      </w:r>
      <w:r>
        <w:rPr>
          <w:rFonts w:ascii="Arial" w:cs="Arial" w:eastAsia="Arial" w:hAnsi="Arial"/>
          <w:sz w:val="21"/>
          <w:szCs w:val="21"/>
          <w:color w:val="auto"/>
        </w:rPr>
        <w:t>. Borrower understands and agrees that in modifying the Existing Documents, Lender is relying upon Borrower’s representations, warranties, and agreements, as set forth therein. Except as expressly modified pursuant to this Business Financing Modification and Waiver Agreement, the terms of the Existing Documents remain unchanged and in full force and effect. Lender’s agreement to modifications to the Existing Documents pursuant to this Business Financing Modification and Waiver Agreement in no way shall obligate Lender to make any future modifications to the Existing Documents or the Indebtedness. Nothing in this Business Financing Modification and Waiver Agreement shall constitute a satisfaction of the Indebtedness. It is the intention of Lender and Borrower to retain as liable parties all makers and endorsers of Existing Documents, unless the party is expressly released by Lender in writing. No maker, endorser, or guarantor will be released by virtue of this Business Financing Modification and Waiver Agreement. The terms of this paragraph apply not only to this Business Financing Modification and Waiver Agreement, but also to any subsequent modification agreements relating to the Business Financing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signatures follow</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07" w:right="23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IN WITNESS WHEREOF, Borrower and Lender have executed this Agreement on the day and year above written.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200" w:type="dxa"/>
        <w:tblCellMar>
          <w:top w:w="0" w:type="dxa"/>
          <w:left w:w="0" w:type="dxa"/>
          <w:bottom w:w="0" w:type="dxa"/>
          <w:right w:w="0" w:type="dxa"/>
        </w:tblCellMar>
      </w:tblPr>
      <w:tr>
        <w:trPr>
          <w:trHeight w:val="275"/>
        </w:trPr>
        <w:tc>
          <w:tcPr>
            <w:tcW w:w="4080" w:type="dxa"/>
            <w:vAlign w:val="bottom"/>
            <w:gridSpan w:val="2"/>
          </w:tcPr>
          <w:p>
            <w:pPr>
              <w:spacing w:after="0"/>
              <w:rPr>
                <w:sz w:val="20"/>
                <w:szCs w:val="20"/>
                <w:color w:val="auto"/>
              </w:rPr>
            </w:pPr>
            <w:r>
              <w:rPr>
                <w:rFonts w:ascii="Arial" w:cs="Arial" w:eastAsia="Arial" w:hAnsi="Arial"/>
                <w:sz w:val="22"/>
                <w:szCs w:val="22"/>
                <w:color w:val="auto"/>
              </w:rPr>
              <w:t>BORROWER:</w:t>
            </w:r>
          </w:p>
        </w:tc>
        <w:tc>
          <w:tcPr>
            <w:tcW w:w="4980" w:type="dxa"/>
            <w:vAlign w:val="bottom"/>
            <w:gridSpan w:val="2"/>
          </w:tcPr>
          <w:p>
            <w:pPr>
              <w:ind w:left="740"/>
              <w:spacing w:after="0"/>
              <w:rPr>
                <w:sz w:val="20"/>
                <w:szCs w:val="20"/>
                <w:color w:val="auto"/>
              </w:rPr>
            </w:pPr>
            <w:r>
              <w:rPr>
                <w:rFonts w:ascii="Arial" w:cs="Arial" w:eastAsia="Arial" w:hAnsi="Arial"/>
                <w:sz w:val="22"/>
                <w:szCs w:val="22"/>
                <w:color w:val="auto"/>
              </w:rPr>
              <w:t>LENDER:</w:t>
            </w:r>
          </w:p>
        </w:tc>
      </w:tr>
      <w:tr>
        <w:trPr>
          <w:trHeight w:val="297"/>
        </w:trPr>
        <w:tc>
          <w:tcPr>
            <w:tcW w:w="4080" w:type="dxa"/>
            <w:vAlign w:val="bottom"/>
            <w:gridSpan w:val="2"/>
          </w:tcPr>
          <w:p>
            <w:pPr>
              <w:spacing w:after="0"/>
              <w:rPr>
                <w:sz w:val="20"/>
                <w:szCs w:val="20"/>
                <w:color w:val="auto"/>
              </w:rPr>
            </w:pPr>
            <w:r>
              <w:rPr>
                <w:rFonts w:ascii="Arial" w:cs="Arial" w:eastAsia="Arial" w:hAnsi="Arial"/>
                <w:sz w:val="22"/>
                <w:szCs w:val="22"/>
                <w:color w:val="auto"/>
              </w:rPr>
              <w:t>FLUIDIGM CORPORATION</w:t>
            </w:r>
          </w:p>
        </w:tc>
        <w:tc>
          <w:tcPr>
            <w:tcW w:w="4980" w:type="dxa"/>
            <w:vAlign w:val="bottom"/>
            <w:gridSpan w:val="2"/>
          </w:tcPr>
          <w:p>
            <w:pPr>
              <w:ind w:left="740"/>
              <w:spacing w:after="0"/>
              <w:rPr>
                <w:sz w:val="20"/>
                <w:szCs w:val="20"/>
                <w:color w:val="auto"/>
              </w:rPr>
            </w:pPr>
            <w:r>
              <w:rPr>
                <w:rFonts w:ascii="Arial" w:cs="Arial" w:eastAsia="Arial" w:hAnsi="Arial"/>
                <w:sz w:val="22"/>
                <w:szCs w:val="22"/>
                <w:color w:val="auto"/>
                <w:w w:val="98"/>
              </w:rPr>
              <w:t>BRIDGE BANK, NATIONAL ASSOCIATION</w:t>
            </w:r>
          </w:p>
        </w:tc>
      </w:tr>
      <w:tr>
        <w:trPr>
          <w:trHeight w:val="794"/>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3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Vikram Jog</w:t>
            </w:r>
          </w:p>
        </w:tc>
        <w:tc>
          <w:tcPr>
            <w:tcW w:w="1420" w:type="dxa"/>
            <w:vAlign w:val="bottom"/>
          </w:tcPr>
          <w:p>
            <w:pPr>
              <w:ind w:left="740"/>
              <w:spacing w:after="0"/>
              <w:rPr>
                <w:sz w:val="20"/>
                <w:szCs w:val="20"/>
                <w:color w:val="auto"/>
              </w:rPr>
            </w:pPr>
            <w:r>
              <w:rPr>
                <w:rFonts w:ascii="Arial" w:cs="Arial" w:eastAsia="Arial" w:hAnsi="Arial"/>
                <w:sz w:val="22"/>
                <w:szCs w:val="22"/>
                <w:color w:val="auto"/>
              </w:rPr>
              <w:t>By:</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Christopher Hill</w:t>
            </w:r>
          </w:p>
        </w:tc>
      </w:tr>
      <w:tr>
        <w:trPr>
          <w:trHeight w:val="291"/>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380" w:type="dxa"/>
            <w:vAlign w:val="bottom"/>
          </w:tcPr>
          <w:p>
            <w:pPr>
              <w:ind w:left="20"/>
              <w:spacing w:after="0"/>
              <w:rPr>
                <w:sz w:val="20"/>
                <w:szCs w:val="20"/>
                <w:color w:val="auto"/>
              </w:rPr>
            </w:pPr>
            <w:r>
              <w:rPr>
                <w:rFonts w:ascii="Arial" w:cs="Arial" w:eastAsia="Arial" w:hAnsi="Arial"/>
                <w:sz w:val="22"/>
                <w:szCs w:val="22"/>
                <w:color w:val="auto"/>
              </w:rPr>
              <w:t>Vikram Jog</w:t>
            </w:r>
          </w:p>
        </w:tc>
        <w:tc>
          <w:tcPr>
            <w:tcW w:w="1420" w:type="dxa"/>
            <w:vAlign w:val="bottom"/>
          </w:tcPr>
          <w:p>
            <w:pPr>
              <w:ind w:left="740"/>
              <w:spacing w:after="0"/>
              <w:rPr>
                <w:sz w:val="20"/>
                <w:szCs w:val="20"/>
                <w:color w:val="auto"/>
              </w:rPr>
            </w:pPr>
            <w:r>
              <w:rPr>
                <w:rFonts w:ascii="Arial" w:cs="Arial" w:eastAsia="Arial" w:hAnsi="Arial"/>
                <w:sz w:val="22"/>
                <w:szCs w:val="22"/>
                <w:color w:val="auto"/>
              </w:rPr>
              <w:t>Name:</w:t>
            </w: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Christopher Hill</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Its:</w:t>
            </w:r>
          </w:p>
        </w:tc>
        <w:tc>
          <w:tcPr>
            <w:tcW w:w="3380" w:type="dxa"/>
            <w:vAlign w:val="bottom"/>
          </w:tcPr>
          <w:p>
            <w:pPr>
              <w:ind w:left="20"/>
              <w:spacing w:after="0"/>
              <w:rPr>
                <w:sz w:val="20"/>
                <w:szCs w:val="20"/>
                <w:color w:val="auto"/>
              </w:rPr>
            </w:pPr>
            <w:r>
              <w:rPr>
                <w:rFonts w:ascii="Arial" w:cs="Arial" w:eastAsia="Arial" w:hAnsi="Arial"/>
                <w:sz w:val="22"/>
                <w:szCs w:val="22"/>
                <w:color w:val="auto"/>
              </w:rPr>
              <w:t>Chief Financial Officer</w:t>
            </w:r>
          </w:p>
        </w:tc>
        <w:tc>
          <w:tcPr>
            <w:tcW w:w="1420" w:type="dxa"/>
            <w:vAlign w:val="bottom"/>
          </w:tcPr>
          <w:p>
            <w:pPr>
              <w:ind w:left="740"/>
              <w:spacing w:after="0"/>
              <w:rPr>
                <w:sz w:val="20"/>
                <w:szCs w:val="20"/>
                <w:color w:val="auto"/>
              </w:rPr>
            </w:pPr>
            <w:r>
              <w:rPr>
                <w:rFonts w:ascii="Arial" w:cs="Arial" w:eastAsia="Arial" w:hAnsi="Arial"/>
                <w:sz w:val="22"/>
                <w:szCs w:val="22"/>
                <w:color w:val="auto"/>
              </w:rPr>
              <w:t>Its:</w:t>
            </w:r>
          </w:p>
        </w:tc>
        <w:tc>
          <w:tcPr>
            <w:tcW w:w="3560" w:type="dxa"/>
            <w:vAlign w:val="bottom"/>
          </w:tcPr>
          <w:p>
            <w:pPr>
              <w:ind w:left="20"/>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60"/>
          </w:cols>
          <w:pgMar w:left="240" w:top="807" w:right="139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FOURTH AMENDMENT TO LEASE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THIS FOURTH AMENDMENT TO LEASE (this "</w:t>
      </w:r>
      <w:r>
        <w:rPr>
          <w:rFonts w:ascii="Arial" w:cs="Arial" w:eastAsia="Arial" w:hAnsi="Arial"/>
          <w:sz w:val="18"/>
          <w:szCs w:val="18"/>
          <w:b w:val="1"/>
          <w:bCs w:val="1"/>
          <w:color w:val="auto"/>
        </w:rPr>
        <w:t>Fourth Amendment</w:t>
      </w:r>
      <w:r>
        <w:rPr>
          <w:rFonts w:ascii="Arial" w:cs="Arial" w:eastAsia="Arial" w:hAnsi="Arial"/>
          <w:sz w:val="18"/>
          <w:szCs w:val="18"/>
          <w:color w:val="auto"/>
        </w:rPr>
        <w:t xml:space="preserve">") is made as of June 4, 2014, by and between </w:t>
      </w:r>
      <w:r>
        <w:rPr>
          <w:rFonts w:ascii="Arial" w:cs="Arial" w:eastAsia="Arial" w:hAnsi="Arial"/>
          <w:sz w:val="18"/>
          <w:szCs w:val="18"/>
          <w:b w:val="1"/>
          <w:bCs w:val="1"/>
          <w:color w:val="auto"/>
        </w:rPr>
        <w:t>ARE-SAN</w:t>
      </w:r>
      <w:r>
        <w:rPr>
          <w:rFonts w:ascii="Arial" w:cs="Arial" w:eastAsia="Arial" w:hAnsi="Arial"/>
          <w:sz w:val="18"/>
          <w:szCs w:val="18"/>
          <w:color w:val="auto"/>
        </w:rPr>
        <w:t xml:space="preserve"> </w:t>
      </w:r>
      <w:r>
        <w:rPr>
          <w:rFonts w:ascii="Arial" w:cs="Arial" w:eastAsia="Arial" w:hAnsi="Arial"/>
          <w:sz w:val="18"/>
          <w:szCs w:val="18"/>
          <w:b w:val="1"/>
          <w:bCs w:val="1"/>
          <w:color w:val="auto"/>
        </w:rPr>
        <w:t>FRANCISCO NO. 17,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47" w:lineRule="exact"/>
        <w:rPr>
          <w:sz w:val="20"/>
          <w:szCs w:val="20"/>
          <w:color w:val="auto"/>
        </w:rPr>
      </w:pPr>
    </w:p>
    <w:p>
      <w:pPr>
        <w:jc w:val="both"/>
        <w:ind w:firstLine="656"/>
        <w:spacing w:after="0" w:line="252" w:lineRule="auto"/>
        <w:tabs>
          <w:tab w:leader="none" w:pos="1103"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Landlord and Tenant are now parties to that certain Lease Agreement dated as of September 14, 2010, as amended by that certain First Amendment to Lease dated as of September 22, 2010, as further amended by that certain letter agreement dated August 2, 2012, as further amended by that certain Second Amendment to Lease dated as of April 9, 2013 (“</w:t>
      </w:r>
      <w:r>
        <w:rPr>
          <w:rFonts w:ascii="Arial" w:cs="Arial" w:eastAsia="Arial" w:hAnsi="Arial"/>
          <w:sz w:val="18"/>
          <w:szCs w:val="18"/>
          <w:b w:val="1"/>
          <w:bCs w:val="1"/>
          <w:color w:val="auto"/>
        </w:rPr>
        <w:t>Second Amendment</w:t>
      </w:r>
      <w:r>
        <w:rPr>
          <w:rFonts w:ascii="Arial" w:cs="Arial" w:eastAsia="Arial" w:hAnsi="Arial"/>
          <w:sz w:val="18"/>
          <w:szCs w:val="18"/>
          <w:color w:val="auto"/>
        </w:rPr>
        <w:t>”), and as further amended by that certain Third Amendment to Lease dated as of June 25, 2013 (“</w:t>
      </w:r>
      <w:r>
        <w:rPr>
          <w:rFonts w:ascii="Arial" w:cs="Arial" w:eastAsia="Arial" w:hAnsi="Arial"/>
          <w:sz w:val="18"/>
          <w:szCs w:val="18"/>
          <w:b w:val="1"/>
          <w:bCs w:val="1"/>
          <w:color w:val="auto"/>
        </w:rPr>
        <w:t>Third Amendment</w:t>
      </w:r>
      <w:r>
        <w:rPr>
          <w:rFonts w:ascii="Arial" w:cs="Arial" w:eastAsia="Arial" w:hAnsi="Arial"/>
          <w:sz w:val="18"/>
          <w:szCs w:val="18"/>
          <w:color w:val="auto"/>
        </w:rPr>
        <w:t>”)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premises consisting of approximately 48,405 rentable square feet ("</w:t>
      </w:r>
      <w:r>
        <w:rPr>
          <w:rFonts w:ascii="Arial" w:cs="Arial" w:eastAsia="Arial" w:hAnsi="Arial"/>
          <w:sz w:val="18"/>
          <w:szCs w:val="18"/>
          <w:b w:val="1"/>
          <w:bCs w:val="1"/>
          <w:color w:val="auto"/>
        </w:rPr>
        <w:t>Existing Premises</w:t>
      </w:r>
      <w:r>
        <w:rPr>
          <w:rFonts w:ascii="Arial" w:cs="Arial" w:eastAsia="Arial" w:hAnsi="Arial"/>
          <w:sz w:val="18"/>
          <w:szCs w:val="18"/>
          <w:color w:val="auto"/>
        </w:rPr>
        <w:t>") in a building located at 7000 Shoreline Court, South San Francisco, California. The Premises are more particularly described in the Lease. Capitalized terms used herein without definition shall have the meanings defined for such terms in the Lease.</w:t>
      </w:r>
    </w:p>
    <w:p>
      <w:pPr>
        <w:spacing w:after="0" w:line="207" w:lineRule="exact"/>
        <w:rPr>
          <w:rFonts w:ascii="Arial" w:cs="Arial" w:eastAsia="Arial" w:hAnsi="Arial"/>
          <w:sz w:val="18"/>
          <w:szCs w:val="18"/>
          <w:b w:val="1"/>
          <w:bCs w:val="1"/>
          <w:color w:val="auto"/>
        </w:rPr>
      </w:pPr>
    </w:p>
    <w:p>
      <w:pPr>
        <w:jc w:val="both"/>
        <w:ind w:firstLine="656"/>
        <w:spacing w:after="0" w:line="250" w:lineRule="auto"/>
        <w:tabs>
          <w:tab w:leader="none" w:pos="1089" w:val="left"/>
        </w:tabs>
        <w:numPr>
          <w:ilvl w:val="1"/>
          <w:numId w:val="24"/>
        </w:numPr>
        <w:rPr>
          <w:rFonts w:ascii="Arial" w:cs="Arial" w:eastAsia="Arial" w:hAnsi="Arial"/>
          <w:sz w:val="18"/>
          <w:szCs w:val="18"/>
          <w:b w:val="1"/>
          <w:bCs w:val="1"/>
          <w:color w:val="auto"/>
        </w:rPr>
      </w:pPr>
      <w:r>
        <w:rPr>
          <w:rFonts w:ascii="Arial" w:cs="Arial" w:eastAsia="Arial" w:hAnsi="Arial"/>
          <w:sz w:val="18"/>
          <w:szCs w:val="18"/>
          <w:color w:val="auto"/>
        </w:rPr>
        <w:t>Landlord and Tenant desire, subject to the terms and conditions set forth below, to amend the Lease to, among other things, expand the size of the Existing Premises by adding (i) approximately 12,928 rentable square feet of space on the third floor of the Building, and</w:t>
      </w:r>
    </w:p>
    <w:p>
      <w:pPr>
        <w:ind w:right="20" w:firstLine="8"/>
        <w:spacing w:after="0" w:line="262" w:lineRule="auto"/>
        <w:tabs>
          <w:tab w:leader="none" w:pos="2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approximately 460 rentable square feet of space on the ground floor of the Building, all as set forth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Fourth Amendment (collectively, the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 mutual promises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contained herein, and for other good and valuable consideration, the receipt and sufficiency of which are hereby acknowledged, Landlord and Tenant hereby agree as follows:</w:t>
      </w:r>
    </w:p>
    <w:p>
      <w:pPr>
        <w:spacing w:after="0" w:line="168" w:lineRule="exact"/>
        <w:rPr>
          <w:sz w:val="20"/>
          <w:szCs w:val="20"/>
          <w:color w:val="auto"/>
        </w:rPr>
      </w:pPr>
    </w:p>
    <w:p>
      <w:pPr>
        <w:jc w:val="both"/>
        <w:ind w:left="660" w:hanging="652"/>
        <w:spacing w:after="0" w:line="26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Second Expansion Premises</w:t>
      </w:r>
      <w:r>
        <w:rPr>
          <w:rFonts w:ascii="Arial" w:cs="Arial" w:eastAsia="Arial" w:hAnsi="Arial"/>
          <w:sz w:val="18"/>
          <w:szCs w:val="18"/>
          <w:color w:val="auto"/>
        </w:rPr>
        <w:t>. In addition to the Existing Premises, commencing on the Second Expansion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Commencement Date (as defined below), Landlord leases to Tenant, and Tenant leases from Landlord, the Second Expansion Premises.</w:t>
      </w:r>
    </w:p>
    <w:p>
      <w:pPr>
        <w:spacing w:after="0" w:line="168"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w:t>
      </w:r>
      <w:r>
        <w:rPr>
          <w:rFonts w:ascii="Arial" w:cs="Arial" w:eastAsia="Arial" w:hAnsi="Arial"/>
          <w:sz w:val="18"/>
          <w:szCs w:val="18"/>
          <w:color w:val="auto"/>
        </w:rPr>
        <w:t>. Landlord shall deliver (“</w:t>
      </w:r>
      <w:r>
        <w:rPr>
          <w:rFonts w:ascii="Arial" w:cs="Arial" w:eastAsia="Arial" w:hAnsi="Arial"/>
          <w:sz w:val="18"/>
          <w:szCs w:val="18"/>
          <w:b w:val="1"/>
          <w:bCs w:val="1"/>
          <w:color w:val="auto"/>
        </w:rPr>
        <w:t>Delivery</w:t>
      </w:r>
      <w:r>
        <w:rPr>
          <w:rFonts w:ascii="Arial" w:cs="Arial" w:eastAsia="Arial" w:hAnsi="Arial"/>
          <w:sz w:val="18"/>
          <w:szCs w:val="18"/>
          <w:color w:val="auto"/>
        </w:rPr>
        <w:t>” or “</w:t>
      </w:r>
      <w:r>
        <w:rPr>
          <w:rFonts w:ascii="Arial" w:cs="Arial" w:eastAsia="Arial" w:hAnsi="Arial"/>
          <w:sz w:val="18"/>
          <w:szCs w:val="18"/>
          <w:b w:val="1"/>
          <w:bCs w:val="1"/>
          <w:color w:val="auto"/>
        </w:rPr>
        <w:t>Deliver</w:t>
      </w:r>
      <w:r>
        <w:rPr>
          <w:rFonts w:ascii="Arial" w:cs="Arial" w:eastAsia="Arial" w:hAnsi="Arial"/>
          <w:sz w:val="18"/>
          <w:szCs w:val="18"/>
          <w:color w:val="auto"/>
        </w:rPr>
        <w:t>”) the Second Expansion Premises to Tenant for Tenant’s Work on the date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1 business day after the mutual execution and delivery of this Fourth Amendment by the parties. The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shall be the date that Landlord Delivers the Premises to Tenant. The “</w:t>
      </w:r>
      <w:r>
        <w:rPr>
          <w:rFonts w:ascii="Arial" w:cs="Arial" w:eastAsia="Arial" w:hAnsi="Arial"/>
          <w:sz w:val="18"/>
          <w:szCs w:val="18"/>
          <w:b w:val="1"/>
          <w:bCs w:val="1"/>
          <w:color w:val="auto"/>
        </w:rPr>
        <w:t>Second Expansion Premises Rent Commencement Date</w:t>
      </w:r>
      <w:r>
        <w:rPr>
          <w:rFonts w:ascii="Arial" w:cs="Arial" w:eastAsia="Arial" w:hAnsi="Arial"/>
          <w:sz w:val="18"/>
          <w:szCs w:val="18"/>
          <w:color w:val="auto"/>
        </w:rPr>
        <w:t>” shall be October 1, 2014. As used herein, the term “</w:t>
      </w:r>
      <w:r>
        <w:rPr>
          <w:rFonts w:ascii="Arial" w:cs="Arial" w:eastAsia="Arial" w:hAnsi="Arial"/>
          <w:sz w:val="18"/>
          <w:szCs w:val="18"/>
          <w:b w:val="1"/>
          <w:bCs w:val="1"/>
          <w:color w:val="auto"/>
        </w:rPr>
        <w:t>Tenant’s Work</w:t>
      </w:r>
      <w:r>
        <w:rPr>
          <w:rFonts w:ascii="Arial" w:cs="Arial" w:eastAsia="Arial" w:hAnsi="Arial"/>
          <w:sz w:val="18"/>
          <w:szCs w:val="18"/>
          <w:color w:val="auto"/>
        </w:rPr>
        <w:t>” shall have the meaning set forth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 in the Second Expansion Premises Work Letter attached to this Fourth Amendment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Upon request of Landlord, Tenant shall execute and deliver a written acknowledgment of the Second Expansion Premises Commencement Date and the Second Expansion Premises Rent Commencement Date in substantially the form of the “Acknowledgement of Commencement Date” attached to the Second Amendment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Tenant’s failure to execute and deliver such acknowledgment shall not affect Landlord’s rights hereunder.</w:t>
      </w:r>
    </w:p>
    <w:p>
      <w:pPr>
        <w:spacing w:after="0" w:line="203" w:lineRule="exact"/>
        <w:rPr>
          <w:rFonts w:ascii="Arial" w:cs="Arial" w:eastAsia="Arial" w:hAnsi="Arial"/>
          <w:sz w:val="18"/>
          <w:szCs w:val="18"/>
          <w:color w:val="auto"/>
        </w:rPr>
      </w:pPr>
    </w:p>
    <w:p>
      <w:pPr>
        <w:jc w:val="both"/>
        <w:ind w:left="660"/>
        <w:spacing w:after="0" w:line="254" w:lineRule="auto"/>
        <w:rPr>
          <w:rFonts w:ascii="Arial" w:cs="Arial" w:eastAsia="Arial" w:hAnsi="Arial"/>
          <w:sz w:val="18"/>
          <w:szCs w:val="18"/>
          <w:color w:val="auto"/>
        </w:rPr>
      </w:pPr>
      <w:r>
        <w:rPr>
          <w:rFonts w:ascii="Arial" w:cs="Arial" w:eastAsia="Arial" w:hAnsi="Arial"/>
          <w:sz w:val="18"/>
          <w:szCs w:val="18"/>
          <w:color w:val="auto"/>
        </w:rPr>
        <w:t>For the period of 60 consecutive days after the Second Expansion Premises Commencement Date, Landlord shall, at its sole cost and expense (which shall not constitute an Operating Expense), be responsible for any repairs that are required to be made to the Building Systems serving the Second Expansion Premises, unless Tenant or any Tenant Party was responsible for the cause of such repair, in which case Tenant shall pay the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284480</wp:posOffset>
            </wp:positionV>
            <wp:extent cx="2435225"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70" w:right="239" w:bottom="1440" w:gutter="0" w:footer="0" w:header="0"/>
        </w:sectPr>
      </w:pPr>
    </w:p>
    <w:bookmarkStart w:id="59" w:name="page60"/>
    <w:bookmarkEnd w:id="59"/>
    <w:p>
      <w:pPr>
        <w:jc w:val="both"/>
        <w:ind w:left="652"/>
        <w:spacing w:after="0" w:line="251" w:lineRule="auto"/>
        <w:rPr>
          <w:sz w:val="20"/>
          <w:szCs w:val="20"/>
          <w:color w:val="auto"/>
        </w:rPr>
      </w:pPr>
      <w:r>
        <w:rPr>
          <w:rFonts w:ascii="Arial" w:cs="Arial" w:eastAsia="Arial" w:hAnsi="Arial"/>
          <w:sz w:val="18"/>
          <w:szCs w:val="18"/>
          <w:color w:val="auto"/>
        </w:rPr>
        <w:t>Commencing on the Second Expansion Premises Commencement Date and continuing during the Term, Tenant shall have the right to use the furniture belonging to Landlord located within the Second Expansion Premises on the Second Expansion Premises Commencement Date ("</w:t>
      </w:r>
      <w:r>
        <w:rPr>
          <w:rFonts w:ascii="Arial" w:cs="Arial" w:eastAsia="Arial" w:hAnsi="Arial"/>
          <w:sz w:val="18"/>
          <w:szCs w:val="18"/>
          <w:b w:val="1"/>
          <w:bCs w:val="1"/>
          <w:color w:val="auto"/>
        </w:rPr>
        <w:t>Landlord's Furniture</w:t>
      </w:r>
      <w:r>
        <w:rPr>
          <w:rFonts w:ascii="Arial" w:cs="Arial" w:eastAsia="Arial" w:hAnsi="Arial"/>
          <w:sz w:val="18"/>
          <w:szCs w:val="18"/>
          <w:color w:val="auto"/>
        </w:rPr>
        <w:t>"). Tenant shall have no right to remove any of Landlord's Furniture from the Second Expansion Premises without Landlord’s prior written consent and Landlord’s Furniture shall be returned to Landlord at the expiration or earlier termination of the Term in substantially the same condition as received by Tenant, except for ordinary wear and tear and casualty. Notwithstanding the foregoing, if, at any time during the Term, Tenant does not want to use certain items of Landlord’s Furniture, Tenant shall notify Landlord in writing of such item(s) (“</w:t>
      </w:r>
      <w:r>
        <w:rPr>
          <w:rFonts w:ascii="Arial" w:cs="Arial" w:eastAsia="Arial" w:hAnsi="Arial"/>
          <w:sz w:val="18"/>
          <w:szCs w:val="18"/>
          <w:b w:val="1"/>
          <w:bCs w:val="1"/>
          <w:color w:val="auto"/>
        </w:rPr>
        <w:t>Furniture Removal Notice</w:t>
      </w:r>
      <w:r>
        <w:rPr>
          <w:rFonts w:ascii="Arial" w:cs="Arial" w:eastAsia="Arial" w:hAnsi="Arial"/>
          <w:sz w:val="18"/>
          <w:szCs w:val="18"/>
          <w:color w:val="auto"/>
        </w:rPr>
        <w:t>”) and Landlord shall cause such item(s) of Landlord’s Furniture identified in the Furniture Removal Notice to be removed from the Premises. The cost of the removal of such item(s) of Landlord’s Furniture shall be the responsibility of Landlord only if Tenant delivers a Furniture Removal Notice to Landlord within 30 days after the Second Expansion Premises Commencement Date. Thereafter, the cost of the removal of such item(s) of Landlord’s Furniture shall be the responsibility of Tenant.</w:t>
      </w:r>
    </w:p>
    <w:p>
      <w:pPr>
        <w:spacing w:after="0" w:line="212" w:lineRule="exact"/>
        <w:rPr>
          <w:sz w:val="20"/>
          <w:szCs w:val="20"/>
          <w:color w:val="auto"/>
        </w:rPr>
      </w:pPr>
    </w:p>
    <w:p>
      <w:pPr>
        <w:jc w:val="both"/>
        <w:ind w:left="652"/>
        <w:spacing w:after="0" w:line="250" w:lineRule="auto"/>
        <w:rPr>
          <w:sz w:val="20"/>
          <w:szCs w:val="20"/>
          <w:color w:val="auto"/>
        </w:rPr>
      </w:pPr>
      <w:r>
        <w:rPr>
          <w:rFonts w:ascii="Arial" w:cs="Arial" w:eastAsia="Arial" w:hAnsi="Arial"/>
          <w:sz w:val="18"/>
          <w:szCs w:val="18"/>
          <w:color w:val="auto"/>
        </w:rPr>
        <w:t>Except as set forth in the Lease or this Fourth Amendment: (i) Tenant shall accept the Second Expansion Premises and Landlord’s Furniture in their condition as of the Second Expansion Premises Commencement Date, subject to all applicable Legal Requirements;</w:t>
      </w:r>
    </w:p>
    <w:p>
      <w:pPr>
        <w:spacing w:after="0" w:line="1" w:lineRule="exact"/>
        <w:rPr>
          <w:sz w:val="20"/>
          <w:szCs w:val="20"/>
          <w:color w:val="auto"/>
        </w:rPr>
      </w:pPr>
    </w:p>
    <w:p>
      <w:pPr>
        <w:jc w:val="both"/>
        <w:ind w:left="652" w:hanging="4"/>
        <w:spacing w:after="0" w:line="254" w:lineRule="auto"/>
        <w:tabs>
          <w:tab w:leader="none" w:pos="9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Landlord shall have no obligation for any defects in the Second Expansion Premises or Landlord’s Furniture; and (iii) Tenant’s taking possession of the Second Expansion Premises and Landlord’s Furniture shall be conclusive evidence that Tenant accepts the Second Expansion Premises and Landlord’s Furniture, and that the Second Expansion Premises and Landlord’s Furniture were in good condition at the time possession was taken.</w:t>
      </w:r>
    </w:p>
    <w:p>
      <w:pPr>
        <w:spacing w:after="0" w:line="204" w:lineRule="exact"/>
        <w:rPr>
          <w:sz w:val="20"/>
          <w:szCs w:val="20"/>
          <w:color w:val="auto"/>
        </w:rPr>
      </w:pPr>
    </w:p>
    <w:p>
      <w:pPr>
        <w:jc w:val="both"/>
        <w:ind w:left="652"/>
        <w:spacing w:after="0" w:line="253" w:lineRule="auto"/>
        <w:rPr>
          <w:sz w:val="20"/>
          <w:szCs w:val="20"/>
          <w:color w:val="auto"/>
        </w:rPr>
      </w:pPr>
      <w:r>
        <w:rPr>
          <w:rFonts w:ascii="Arial" w:cs="Arial" w:eastAsia="Arial" w:hAnsi="Arial"/>
          <w:sz w:val="18"/>
          <w:szCs w:val="18"/>
          <w:color w:val="auto"/>
        </w:rPr>
        <w:t>Tenant agrees and acknowledges that, except as otherwise expressly set forth in this Fourth Amendment or in the Lease, neither Landlord nor any agent of Landlord has made any representation or warranty with respect to the condition of all or any portion of the Second Expansion Premises or Landlord’s Furniture, and/or the suitability of the Second Expansion Premises or Landlord’s Furniture for the conduct of Tenant’s business, and Tenant waives any implied warranty that the Second Expansion Premises or Landlord’s Furniture are suitable for the Permitted Use.</w:t>
      </w:r>
    </w:p>
    <w:p>
      <w:pPr>
        <w:spacing w:after="0" w:line="184" w:lineRule="exact"/>
        <w:rPr>
          <w:sz w:val="20"/>
          <w:szCs w:val="20"/>
          <w:color w:val="auto"/>
        </w:rPr>
      </w:pPr>
    </w:p>
    <w:p>
      <w:pPr>
        <w:ind w:left="652" w:hanging="652"/>
        <w:spacing w:after="0" w:line="287" w:lineRule="auto"/>
        <w:tabs>
          <w:tab w:leader="none" w:pos="652"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Premises</w:t>
      </w:r>
      <w:r>
        <w:rPr>
          <w:rFonts w:ascii="Arial" w:cs="Arial" w:eastAsia="Arial" w:hAnsi="Arial"/>
          <w:sz w:val="18"/>
          <w:szCs w:val="18"/>
          <w:color w:val="auto"/>
        </w:rPr>
        <w:t>. Commencing on the Second Expansion Premises Commencement Date, the defined term "</w:t>
      </w:r>
      <w:r>
        <w:rPr>
          <w:rFonts w:ascii="Arial" w:cs="Arial" w:eastAsia="Arial" w:hAnsi="Arial"/>
          <w:sz w:val="18"/>
          <w:szCs w:val="18"/>
          <w:b w:val="1"/>
          <w:bCs w:val="1"/>
          <w:color w:val="auto"/>
        </w:rPr>
        <w:t>Premises</w:t>
      </w:r>
      <w:r>
        <w:rPr>
          <w:rFonts w:ascii="Arial" w:cs="Arial" w:eastAsia="Arial" w:hAnsi="Arial"/>
          <w:sz w:val="18"/>
          <w:szCs w:val="18"/>
          <w:color w:val="auto"/>
        </w:rPr>
        <w:t>" on</w:t>
      </w:r>
      <w:r>
        <w:rPr>
          <w:rFonts w:ascii="Arial" w:cs="Arial" w:eastAsia="Arial" w:hAnsi="Arial"/>
          <w:sz w:val="18"/>
          <w:szCs w:val="18"/>
          <w:b w:val="1"/>
          <w:bCs w:val="1"/>
          <w:color w:val="auto"/>
        </w:rPr>
        <w:t xml:space="preserve"> </w:t>
      </w:r>
      <w:r>
        <w:rPr>
          <w:rFonts w:ascii="Arial" w:cs="Arial" w:eastAsia="Arial" w:hAnsi="Arial"/>
          <w:sz w:val="18"/>
          <w:szCs w:val="18"/>
          <w:color w:val="auto"/>
        </w:rPr>
        <w:t>Page 1 of the Lease is deleted in its entirety and replaced with the following:</w:t>
      </w:r>
    </w:p>
    <w:p>
      <w:pPr>
        <w:spacing w:after="0" w:line="153" w:lineRule="exact"/>
        <w:rPr>
          <w:sz w:val="20"/>
          <w:szCs w:val="20"/>
          <w:color w:val="auto"/>
        </w:rPr>
      </w:pPr>
    </w:p>
    <w:p>
      <w:pPr>
        <w:jc w:val="both"/>
        <w:ind w:left="652" w:firstLine="64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portion of the Project, containing approximately 61,793 rentable square feet (“</w:t>
      </w:r>
      <w:r>
        <w:rPr>
          <w:rFonts w:ascii="Arial" w:cs="Arial" w:eastAsia="Arial" w:hAnsi="Arial"/>
          <w:sz w:val="18"/>
          <w:szCs w:val="18"/>
          <w:b w:val="1"/>
          <w:bCs w:val="1"/>
          <w:color w:val="auto"/>
        </w:rPr>
        <w:t>RSF</w:t>
      </w:r>
      <w:r>
        <w:rPr>
          <w:rFonts w:ascii="Arial" w:cs="Arial" w:eastAsia="Arial" w:hAnsi="Arial"/>
          <w:sz w:val="18"/>
          <w:szCs w:val="18"/>
          <w:color w:val="auto"/>
        </w:rPr>
        <w:t>”), consisting of (i) approximately 29,228 rentable square feet (the "</w:t>
      </w:r>
      <w:r>
        <w:rPr>
          <w:rFonts w:ascii="Arial" w:cs="Arial" w:eastAsia="Arial" w:hAnsi="Arial"/>
          <w:sz w:val="18"/>
          <w:szCs w:val="18"/>
          <w:b w:val="1"/>
          <w:bCs w:val="1"/>
          <w:color w:val="auto"/>
        </w:rPr>
        <w:t>Original Premises</w:t>
      </w:r>
      <w:r>
        <w:rPr>
          <w:rFonts w:ascii="Arial" w:cs="Arial" w:eastAsia="Arial" w:hAnsi="Arial"/>
          <w:sz w:val="18"/>
          <w:szCs w:val="18"/>
          <w:color w:val="auto"/>
        </w:rPr>
        <w:t>"), (ii) approximately 19,177 rentable square feet (“</w:t>
      </w:r>
      <w:r>
        <w:rPr>
          <w:rFonts w:ascii="Arial" w:cs="Arial" w:eastAsia="Arial" w:hAnsi="Arial"/>
          <w:sz w:val="18"/>
          <w:szCs w:val="18"/>
          <w:b w:val="1"/>
          <w:bCs w:val="1"/>
          <w:color w:val="auto"/>
        </w:rPr>
        <w:t>Expansion</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 and (iii) approximately 13,388 rentable square feet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all as determined by Landlord,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7" w:lineRule="exact"/>
        <w:rPr>
          <w:sz w:val="20"/>
          <w:szCs w:val="20"/>
          <w:color w:val="auto"/>
        </w:rPr>
      </w:pPr>
    </w:p>
    <w:p>
      <w:pPr>
        <w:jc w:val="both"/>
        <w:ind w:left="652" w:right="20"/>
        <w:spacing w:after="0" w:line="287" w:lineRule="auto"/>
        <w:rPr>
          <w:sz w:val="20"/>
          <w:szCs w:val="20"/>
          <w:color w:val="auto"/>
        </w:rPr>
      </w:pPr>
      <w:r>
        <w:rPr>
          <w:rFonts w:ascii="Arial" w:cs="Arial" w:eastAsia="Arial" w:hAnsi="Arial"/>
          <w:sz w:val="18"/>
          <w:szCs w:val="18"/>
          <w:color w:val="auto"/>
        </w:rPr>
        <w:t xml:space="preserve">As of the Second Expansion Premises Commencement Date,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 is amended to include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Fourth Amendment.</w:t>
      </w:r>
    </w:p>
    <w:p>
      <w:pPr>
        <w:spacing w:after="0" w:line="153" w:lineRule="exact"/>
        <w:rPr>
          <w:sz w:val="20"/>
          <w:szCs w:val="20"/>
          <w:color w:val="auto"/>
        </w:rPr>
      </w:pPr>
    </w:p>
    <w:p>
      <w:pPr>
        <w:ind w:left="652" w:hanging="652"/>
        <w:spacing w:after="0"/>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2" w:hanging="4"/>
        <w:spacing w:after="0" w:line="334" w:lineRule="auto"/>
        <w:tabs>
          <w:tab w:leader="none" w:pos="145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Existing Premises</w:t>
      </w:r>
      <w:r>
        <w:rPr>
          <w:rFonts w:ascii="Arial" w:cs="Arial" w:eastAsia="Arial" w:hAnsi="Arial"/>
          <w:sz w:val="18"/>
          <w:szCs w:val="18"/>
          <w:color w:val="auto"/>
        </w:rPr>
        <w:t>. Tenant shall continue to pay Base Rent for the Existing Premises as provided for in the Lease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April 30, 2020.</w:t>
      </w:r>
    </w:p>
    <w:p>
      <w:pPr>
        <w:spacing w:after="0" w:line="153" w:lineRule="exact"/>
        <w:rPr>
          <w:rFonts w:ascii="Arial" w:cs="Arial" w:eastAsia="Arial" w:hAnsi="Arial"/>
          <w:sz w:val="18"/>
          <w:szCs w:val="18"/>
          <w:b w:val="1"/>
          <w:bCs w:val="1"/>
          <w:color w:val="auto"/>
        </w:rPr>
      </w:pPr>
    </w:p>
    <w:p>
      <w:pPr>
        <w:jc w:val="both"/>
        <w:ind w:left="652" w:hanging="4"/>
        <w:spacing w:after="0" w:line="304" w:lineRule="auto"/>
        <w:tabs>
          <w:tab w:leader="none" w:pos="146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Second Expansion Premises</w:t>
      </w:r>
      <w:r>
        <w:rPr>
          <w:rFonts w:ascii="Arial" w:cs="Arial" w:eastAsia="Arial" w:hAnsi="Arial"/>
          <w:sz w:val="18"/>
          <w:szCs w:val="18"/>
          <w:color w:val="auto"/>
        </w:rPr>
        <w:t>. Commencing on the Second Expansion Premises Rent Commencement Date, Base Rent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Expansion Premises shall be payable as follows (i) for the period commencing on the Second Expansion Premises Rent Commencement Date through December 31, 2014, Base Rent for the Second Expansion Premises shall be equal to $1.50 per rentable square foot of the Second Expansion Premises, and (ii) for the period commencing on January 1, 2015 through April 30, 2016, Base Rent for the Second Expansion Premises shall be equal to $2.70 per rentable square foot of the Second Expansion Premises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4810760</wp:posOffset>
            </wp:positionH>
            <wp:positionV relativeFrom="paragraph">
              <wp:posOffset>130175</wp:posOffset>
            </wp:positionV>
            <wp:extent cx="243522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598" w:right="239" w:bottom="1440" w:gutter="0" w:footer="0" w:header="0"/>
        </w:sectPr>
      </w:pPr>
    </w:p>
    <w:bookmarkStart w:id="60" w:name="page61"/>
    <w:bookmarkEnd w:id="60"/>
    <w:p>
      <w:pPr>
        <w:jc w:val="both"/>
        <w:ind w:left="652"/>
        <w:spacing w:after="0" w:line="253" w:lineRule="auto"/>
        <w:rPr>
          <w:sz w:val="20"/>
          <w:szCs w:val="20"/>
          <w:color w:val="auto"/>
        </w:rPr>
      </w:pPr>
      <w:r>
        <w:rPr>
          <w:rFonts w:ascii="Arial" w:cs="Arial" w:eastAsia="Arial" w:hAnsi="Arial"/>
          <w:sz w:val="18"/>
          <w:szCs w:val="18"/>
          <w:color w:val="auto"/>
        </w:rPr>
        <w:t>Base Rent payable with respect to the Second Expansion Premises shall be increased, commencing on May 1, 2016, on each Adjustment Date (as defined in the Second Amendment) during the Base Term by multiplying the Base Rent payable with respect to the Second Expansion Premises immediately before such Expansion Premises Adjustment Date by 3% and adding the resulting amount to the Base Rent payable with respect to the Second Expansion Premises immediately before such Expansion Premises Adjustment Date.</w:t>
      </w:r>
    </w:p>
    <w:p>
      <w:pPr>
        <w:spacing w:after="0" w:line="211" w:lineRule="exact"/>
        <w:rPr>
          <w:sz w:val="20"/>
          <w:szCs w:val="20"/>
          <w:color w:val="auto"/>
        </w:rPr>
      </w:pPr>
    </w:p>
    <w:p>
      <w:pPr>
        <w:jc w:val="both"/>
        <w:ind w:left="652"/>
        <w:spacing w:after="0" w:line="306" w:lineRule="auto"/>
        <w:rPr>
          <w:sz w:val="20"/>
          <w:szCs w:val="20"/>
          <w:color w:val="auto"/>
        </w:rPr>
      </w:pPr>
      <w:r>
        <w:rPr>
          <w:rFonts w:ascii="Arial" w:cs="Arial" w:eastAsia="Arial" w:hAnsi="Arial"/>
          <w:sz w:val="18"/>
          <w:szCs w:val="18"/>
          <w:b w:val="1"/>
          <w:bCs w:val="1"/>
          <w:color w:val="auto"/>
        </w:rPr>
        <w:t>c. Second Expansion Premises TI Rent</w:t>
      </w:r>
      <w:r>
        <w:rPr>
          <w:rFonts w:ascii="Arial" w:cs="Arial" w:eastAsia="Arial" w:hAnsi="Arial"/>
          <w:sz w:val="18"/>
          <w:szCs w:val="18"/>
          <w:color w:val="auto"/>
        </w:rPr>
        <w:t>. In addition to the Tenant Improvement Allowance (as defined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Premises Work Letter), Landlord shall, subject to the terms of the Second Expansion Premises Work Letter, make available to Tenant the Additional Tenant Improvement Allowance (as defined in the Second Expansion Premises Work Letter) for the</w:t>
      </w:r>
    </w:p>
    <w:p>
      <w:pPr>
        <w:jc w:val="both"/>
        <w:ind w:left="652"/>
        <w:spacing w:after="0" w:line="315" w:lineRule="auto"/>
        <w:rPr>
          <w:sz w:val="20"/>
          <w:szCs w:val="20"/>
          <w:color w:val="auto"/>
        </w:rPr>
      </w:pPr>
      <w:r>
        <w:rPr>
          <w:rFonts w:ascii="Arial" w:cs="Arial" w:eastAsia="Arial" w:hAnsi="Arial"/>
          <w:sz w:val="17"/>
          <w:szCs w:val="17"/>
          <w:color w:val="auto"/>
        </w:rPr>
        <w:t>construction of the Tenant Improvements in the Second Expansion Premises. Commencing on the first day of the month following the date on which any portion of the Additional Tenant Improvement Allowance is funded to Tenant (“</w:t>
      </w:r>
      <w:r>
        <w:rPr>
          <w:rFonts w:ascii="Arial" w:cs="Arial" w:eastAsia="Arial" w:hAnsi="Arial"/>
          <w:sz w:val="17"/>
          <w:szCs w:val="17"/>
          <w:b w:val="1"/>
          <w:bCs w:val="1"/>
          <w:color w:val="auto"/>
        </w:rPr>
        <w:t>Initial Payment Date</w:t>
      </w:r>
      <w:r>
        <w:rPr>
          <w:rFonts w:ascii="Arial" w:cs="Arial" w:eastAsia="Arial" w:hAnsi="Arial"/>
          <w:sz w:val="17"/>
          <w:szCs w:val="17"/>
          <w:color w:val="auto"/>
        </w:rPr>
        <w:t>”) and continuing thereafter on the first day of each month of the Base Term, Tenant shall pay to Landlord the amount necessary to fully amortize the</w:t>
      </w:r>
    </w:p>
    <w:p>
      <w:pPr>
        <w:jc w:val="both"/>
        <w:ind w:left="652"/>
        <w:spacing w:after="0" w:line="299" w:lineRule="auto"/>
        <w:rPr>
          <w:sz w:val="20"/>
          <w:szCs w:val="20"/>
          <w:color w:val="auto"/>
        </w:rPr>
      </w:pPr>
      <w:r>
        <w:rPr>
          <w:rFonts w:ascii="Arial" w:cs="Arial" w:eastAsia="Arial" w:hAnsi="Arial"/>
          <w:sz w:val="18"/>
          <w:szCs w:val="18"/>
          <w:color w:val="auto"/>
        </w:rPr>
        <w:t>amount of the Additional Tenant Improvement Allowance actually funded by Landlord, if any, in equal monthly payments with interest at a rate of 9% per annum over the remaining Base Term, which interest shall begin to accrue on the Initial Payment Date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Expansion Premises TI Rent</w:t>
      </w:r>
      <w:r>
        <w:rPr>
          <w:rFonts w:ascii="Arial" w:cs="Arial" w:eastAsia="Arial" w:hAnsi="Arial"/>
          <w:sz w:val="18"/>
          <w:szCs w:val="18"/>
          <w:color w:val="auto"/>
        </w:rPr>
        <w:t>”). If any portion of the Additional Tenant Improvement Allowance is funded to Tenant after the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Date, the monthly amount of Second Expansion Premises TI Rent payable by Tenant shall be adjusted in order to fully amortize such amounts funded after the Initial Funding Date in equal monthly payments with interest at a rate of 9% per annum over the remaining Base Term.</w:t>
      </w:r>
    </w:p>
    <w:p>
      <w:pPr>
        <w:spacing w:after="0" w:line="159" w:lineRule="exact"/>
        <w:rPr>
          <w:sz w:val="20"/>
          <w:szCs w:val="20"/>
          <w:color w:val="auto"/>
        </w:rPr>
      </w:pPr>
    </w:p>
    <w:p>
      <w:pPr>
        <w:jc w:val="both"/>
        <w:ind w:left="652" w:hanging="652"/>
        <w:spacing w:after="0" w:line="255"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Share of Operating Expenses</w:t>
      </w:r>
      <w:r>
        <w:rPr>
          <w:rFonts w:ascii="Arial" w:cs="Arial" w:eastAsia="Arial" w:hAnsi="Arial"/>
          <w:sz w:val="18"/>
          <w:szCs w:val="18"/>
          <w:color w:val="auto"/>
        </w:rPr>
        <w:t>. Tenant shall continue to pay Operating Expenses as provided for in the Lease through the</w:t>
      </w:r>
      <w:r>
        <w:rPr>
          <w:rFonts w:ascii="Arial" w:cs="Arial" w:eastAsia="Arial" w:hAnsi="Arial"/>
          <w:sz w:val="18"/>
          <w:szCs w:val="18"/>
          <w:b w:val="1"/>
          <w:bCs w:val="1"/>
          <w:color w:val="auto"/>
        </w:rPr>
        <w:t xml:space="preserve"> </w:t>
      </w:r>
      <w:r>
        <w:rPr>
          <w:rFonts w:ascii="Arial" w:cs="Arial" w:eastAsia="Arial" w:hAnsi="Arial"/>
          <w:sz w:val="18"/>
          <w:szCs w:val="18"/>
          <w:color w:val="auto"/>
        </w:rPr>
        <w:t>OPEX Adjustment Date (as defined below). Commencing on the earlier of the (i) date that Tenant commences business operations in all of the Second Expansion Premises, or (ii) the Second Expansion Premises Rent Commencement Date (either, the “</w:t>
      </w:r>
      <w:r>
        <w:rPr>
          <w:rFonts w:ascii="Arial" w:cs="Arial" w:eastAsia="Arial" w:hAnsi="Arial"/>
          <w:sz w:val="18"/>
          <w:szCs w:val="18"/>
          <w:b w:val="1"/>
          <w:bCs w:val="1"/>
          <w:color w:val="auto"/>
        </w:rPr>
        <w:t>OPEX</w:t>
      </w:r>
      <w:r>
        <w:rPr>
          <w:rFonts w:ascii="Arial" w:cs="Arial" w:eastAsia="Arial" w:hAnsi="Arial"/>
          <w:sz w:val="18"/>
          <w:szCs w:val="18"/>
          <w:color w:val="auto"/>
        </w:rPr>
        <w:t xml:space="preserve"> </w:t>
      </w:r>
      <w:r>
        <w:rPr>
          <w:rFonts w:ascii="Arial" w:cs="Arial" w:eastAsia="Arial" w:hAnsi="Arial"/>
          <w:sz w:val="18"/>
          <w:szCs w:val="18"/>
          <w:b w:val="1"/>
          <w:bCs w:val="1"/>
          <w:color w:val="auto"/>
        </w:rPr>
        <w:t>Adjustment Date</w:t>
      </w:r>
      <w:r>
        <w:rPr>
          <w:rFonts w:ascii="Arial" w:cs="Arial" w:eastAsia="Arial" w:hAnsi="Arial"/>
          <w:sz w:val="18"/>
          <w:szCs w:val="18"/>
          <w:color w:val="auto"/>
        </w:rPr>
        <w:t>”), Tenant’s Share of Operating Expenses payable by Tenant under the Lease shall be increased by 9.82%,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on May 1, 2015, the total Tenant’s Share of Operating Expenses which shall be payable by Tenant under the Lease shall be equal to 45.31%. Notwithstanding anything to the contrary contained herein, if Tenant commences business operations in a portion (but not all) of the Second Expansion Premises prior to the Second Expansion Premises Rent Commencement Date, Tenant shall be required to pay Operating Expenses on a pro rata basis with respect to the actual rentable square footage of the Second Expansion Premises in which Tenant is conducting business operations, as determined by DGA.</w:t>
      </w:r>
    </w:p>
    <w:p>
      <w:pPr>
        <w:spacing w:after="0" w:line="203" w:lineRule="exact"/>
        <w:rPr>
          <w:rFonts w:ascii="Arial" w:cs="Arial" w:eastAsia="Arial" w:hAnsi="Arial"/>
          <w:sz w:val="18"/>
          <w:szCs w:val="18"/>
          <w:color w:val="auto"/>
        </w:rPr>
      </w:pPr>
    </w:p>
    <w:p>
      <w:pPr>
        <w:jc w:val="both"/>
        <w:ind w:left="652"/>
        <w:spacing w:after="0" w:line="251" w:lineRule="auto"/>
        <w:rPr>
          <w:rFonts w:ascii="Arial" w:cs="Arial" w:eastAsia="Arial" w:hAnsi="Arial"/>
          <w:sz w:val="18"/>
          <w:szCs w:val="18"/>
          <w:color w:val="auto"/>
        </w:rPr>
      </w:pPr>
      <w:r>
        <w:rPr>
          <w:rFonts w:ascii="Arial" w:cs="Arial" w:eastAsia="Arial" w:hAnsi="Arial"/>
          <w:sz w:val="18"/>
          <w:szCs w:val="18"/>
          <w:color w:val="auto"/>
        </w:rPr>
        <w:t>Commencing on May 1, 2015, Tenant’s Share of each earthquake deductible or occurrence of uninsured earthquake damage affecting the Premises shall not exceed $7.50 per rentable square of the Premises (including the Second Expansion Premises) (the “</w:t>
      </w:r>
      <w:r>
        <w:rPr>
          <w:rFonts w:ascii="Arial" w:cs="Arial" w:eastAsia="Arial" w:hAnsi="Arial"/>
          <w:sz w:val="18"/>
          <w:szCs w:val="18"/>
          <w:b w:val="1"/>
          <w:bCs w:val="1"/>
          <w:color w:val="auto"/>
        </w:rPr>
        <w:t>Current</w:t>
      </w:r>
      <w:r>
        <w:rPr>
          <w:rFonts w:ascii="Arial" w:cs="Arial" w:eastAsia="Arial" w:hAnsi="Arial"/>
          <w:sz w:val="18"/>
          <w:szCs w:val="18"/>
          <w:color w:val="auto"/>
        </w:rPr>
        <w:t xml:space="preserve"> </w:t>
      </w:r>
      <w:r>
        <w:rPr>
          <w:rFonts w:ascii="Arial" w:cs="Arial" w:eastAsia="Arial" w:hAnsi="Arial"/>
          <w:sz w:val="18"/>
          <w:szCs w:val="18"/>
          <w:b w:val="1"/>
          <w:bCs w:val="1"/>
          <w:color w:val="auto"/>
        </w:rPr>
        <w:t>Cap</w:t>
      </w:r>
      <w:r>
        <w:rPr>
          <w:rFonts w:ascii="Arial" w:cs="Arial" w:eastAsia="Arial" w:hAnsi="Arial"/>
          <w:sz w:val="18"/>
          <w:szCs w:val="18"/>
          <w:color w:val="auto"/>
        </w:rPr>
        <w:t>”). On June 1, 2015, and on the first day of each month thereafter through the Expiration Date, the Current Cap shall be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$0.125 per rentable square foot of the Premises (including the Second Expansion Premises). Following earthquake damage to the Project during the period between April 1, 2015, and the April 30, 2020, Tenant shall pay Tenant’s Share of any such deductible or uninsured damage in equal monthly installments amortized over the balance of the Base Term. For the avoidance of doubt, the existing caps of insurance deductibles and uninsured earthquake damage set forth in the third full paragraph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Lease shall apply through April 30, 2015, and the caps provided for in this paragraph shall apply from May 1, 2015, through April 30, 2020, and shall thereafter be of no further force or effect.</w:t>
      </w:r>
    </w:p>
    <w:p>
      <w:pPr>
        <w:spacing w:after="0" w:line="190" w:lineRule="exact"/>
        <w:rPr>
          <w:rFonts w:ascii="Arial" w:cs="Arial" w:eastAsia="Arial" w:hAnsi="Arial"/>
          <w:sz w:val="18"/>
          <w:szCs w:val="18"/>
          <w:color w:val="auto"/>
        </w:rPr>
      </w:pPr>
    </w:p>
    <w:p>
      <w:pPr>
        <w:ind w:left="652" w:hanging="652"/>
        <w:spacing w:after="0" w:line="287" w:lineRule="auto"/>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Term</w:t>
      </w:r>
      <w:r>
        <w:rPr>
          <w:rFonts w:ascii="Arial" w:cs="Arial" w:eastAsia="Arial" w:hAnsi="Arial"/>
          <w:sz w:val="18"/>
          <w:szCs w:val="18"/>
          <w:color w:val="auto"/>
        </w:rPr>
        <w:t>. The Base Term of the Lease with respect to the Second Expansion Premises shall expire on April 30, 2020, concurrently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expiration of the Base Term of the Lease with respect to the Existing Premises.</w:t>
      </w:r>
    </w:p>
    <w:p>
      <w:pPr>
        <w:spacing w:after="0" w:line="153" w:lineRule="exact"/>
        <w:rPr>
          <w:rFonts w:ascii="Arial" w:cs="Arial" w:eastAsia="Arial" w:hAnsi="Arial"/>
          <w:sz w:val="18"/>
          <w:szCs w:val="18"/>
          <w:b w:val="1"/>
          <w:bCs w:val="1"/>
          <w:color w:val="auto"/>
        </w:rPr>
      </w:pPr>
    </w:p>
    <w:p>
      <w:pPr>
        <w:jc w:val="both"/>
        <w:ind w:left="652" w:hanging="652"/>
        <w:spacing w:after="0" w:line="269" w:lineRule="auto"/>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Removal of Tenant Improvements</w:t>
      </w:r>
      <w:r>
        <w:rPr>
          <w:rFonts w:ascii="Arial" w:cs="Arial" w:eastAsia="Arial" w:hAnsi="Arial"/>
          <w:sz w:val="18"/>
          <w:szCs w:val="18"/>
          <w:color w:val="auto"/>
        </w:rPr>
        <w:t>. Tenant shall not be required to remove any of the Tenant Improvements existing in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as of the date of this Fourth Amendment or any Tenant Improvements constructed in the Premises pursuant to the Second Expansion Premises Work Letter at the expiration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4810760</wp:posOffset>
            </wp:positionH>
            <wp:positionV relativeFrom="paragraph">
              <wp:posOffset>138430</wp:posOffset>
            </wp:positionV>
            <wp:extent cx="243522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814" w:right="239" w:bottom="1440" w:gutter="0" w:footer="0" w:header="0"/>
        </w:sectPr>
      </w:pPr>
    </w:p>
    <w:bookmarkStart w:id="61" w:name="page62"/>
    <w:bookmarkEnd w:id="61"/>
    <w:p>
      <w:pPr>
        <w:ind w:left="652"/>
        <w:spacing w:after="0"/>
        <w:rPr>
          <w:sz w:val="20"/>
          <w:szCs w:val="20"/>
          <w:color w:val="auto"/>
        </w:rPr>
      </w:pPr>
      <w:r>
        <w:rPr>
          <w:rFonts w:ascii="Arial" w:cs="Arial" w:eastAsia="Arial" w:hAnsi="Arial"/>
          <w:sz w:val="18"/>
          <w:szCs w:val="18"/>
          <w:color w:val="auto"/>
        </w:rPr>
        <w:t>earlier termination of the Term nor shall Tenant have the right to remove any such Tenant Improvements at any time.</w:t>
      </w:r>
    </w:p>
    <w:p>
      <w:pPr>
        <w:spacing w:after="0" w:line="217" w:lineRule="exact"/>
        <w:rPr>
          <w:sz w:val="20"/>
          <w:szCs w:val="20"/>
          <w:color w:val="auto"/>
        </w:rPr>
      </w:pPr>
    </w:p>
    <w:p>
      <w:pPr>
        <w:jc w:val="both"/>
        <w:ind w:left="652" w:hanging="652"/>
        <w:spacing w:after="0" w:line="269" w:lineRule="auto"/>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Right</w:t>
      </w:r>
      <w:r>
        <w:rPr>
          <w:rFonts w:ascii="Arial" w:cs="Arial" w:eastAsia="Arial" w:hAnsi="Arial"/>
          <w:sz w:val="18"/>
          <w:szCs w:val="18"/>
          <w:color w:val="auto"/>
        </w:rPr>
        <w:t>. For the avoidance of doubt, Tenant’s Extension Right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(as amended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Second Amendment) shall apply to both the Existing Premises and the Second Expansion Premises and, if exercised by Tenant pursuant to the terms of </w:t>
      </w:r>
      <w:r>
        <w:rPr>
          <w:rFonts w:ascii="Arial" w:cs="Arial" w:eastAsia="Arial" w:hAnsi="Arial"/>
          <w:sz w:val="18"/>
          <w:szCs w:val="18"/>
          <w:u w:val="single" w:color="auto"/>
          <w:color w:val="auto"/>
        </w:rPr>
        <w:t>Section 39</w:t>
      </w:r>
      <w:r>
        <w:rPr>
          <w:rFonts w:ascii="Arial" w:cs="Arial" w:eastAsia="Arial" w:hAnsi="Arial"/>
          <w:sz w:val="18"/>
          <w:szCs w:val="18"/>
          <w:color w:val="auto"/>
        </w:rPr>
        <w:t>, must be exercised with respect to the entire Premises.</w:t>
      </w:r>
    </w:p>
    <w:p>
      <w:pPr>
        <w:spacing w:after="0" w:line="168" w:lineRule="exact"/>
        <w:rPr>
          <w:rFonts w:ascii="Arial" w:cs="Arial" w:eastAsia="Arial" w:hAnsi="Arial"/>
          <w:sz w:val="18"/>
          <w:szCs w:val="18"/>
          <w:b w:val="1"/>
          <w:bCs w:val="1"/>
          <w:color w:val="auto"/>
        </w:rPr>
      </w:pPr>
    </w:p>
    <w:p>
      <w:pPr>
        <w:jc w:val="both"/>
        <w:ind w:left="652" w:hanging="652"/>
        <w:spacing w:after="0" w:line="257" w:lineRule="auto"/>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color w:val="auto"/>
        </w:rPr>
        <w:t>. Notwithstanding anything to the contrary contained in the Lease, (i) the ROFR Expiration Date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Third Amendment) is hereby extended from April 1, 2015, through April 1, 2016, and (ii) the definition of “</w:t>
      </w:r>
      <w:r>
        <w:rPr>
          <w:rFonts w:ascii="Arial" w:cs="Arial" w:eastAsia="Arial" w:hAnsi="Arial"/>
          <w:sz w:val="18"/>
          <w:szCs w:val="18"/>
          <w:b w:val="1"/>
          <w:bCs w:val="1"/>
          <w:color w:val="auto"/>
        </w:rPr>
        <w:t>ROFR Space</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1(a)</w:t>
      </w:r>
      <w:r>
        <w:rPr>
          <w:rFonts w:ascii="Arial" w:cs="Arial" w:eastAsia="Arial" w:hAnsi="Arial"/>
          <w:sz w:val="18"/>
          <w:szCs w:val="18"/>
          <w:color w:val="auto"/>
        </w:rPr>
        <w:t xml:space="preserve"> of the Third Amendment is hereby deleted in its entirety and replaced with the following: “that certain space consisting of approximately 8,903 rentable square feet on the first floor of the Building as shown on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attached hereto, which is not occupied by a tenant or which is occupied by an existing tenant whose lease is expiring within 9 months or less and such tenant does not wish to renew (whether or not such tenant has a right to renew) its occupancy of such space.”</w:t>
      </w:r>
    </w:p>
    <w:p>
      <w:pPr>
        <w:spacing w:after="0" w:line="182" w:lineRule="exact"/>
        <w:rPr>
          <w:rFonts w:ascii="Arial" w:cs="Arial" w:eastAsia="Arial" w:hAnsi="Arial"/>
          <w:sz w:val="18"/>
          <w:szCs w:val="18"/>
          <w:b w:val="1"/>
          <w:bCs w:val="1"/>
          <w:color w:val="auto"/>
        </w:rPr>
      </w:pPr>
    </w:p>
    <w:p>
      <w:pPr>
        <w:jc w:val="both"/>
        <w:ind w:left="652" w:hanging="652"/>
        <w:spacing w:after="0" w:line="255" w:lineRule="auto"/>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Environmental</w:t>
      </w:r>
      <w:r>
        <w:rPr>
          <w:rFonts w:ascii="Arial" w:cs="Arial" w:eastAsia="Arial" w:hAnsi="Arial"/>
          <w:sz w:val="18"/>
          <w:szCs w:val="18"/>
          <w:color w:val="auto"/>
        </w:rPr>
        <w:t>. Notwithstanding anything to the contrary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Lease, Tenant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 responsible for or have any liability to Landlord, and the indemnification and hold harmless obligation set forth in </w:t>
      </w:r>
      <w:r>
        <w:rPr>
          <w:rFonts w:ascii="Arial" w:cs="Arial" w:eastAsia="Arial" w:hAnsi="Arial"/>
          <w:sz w:val="18"/>
          <w:szCs w:val="18"/>
          <w:u w:val="single" w:color="auto"/>
          <w:color w:val="auto"/>
        </w:rPr>
        <w:t>Section 30(a)</w:t>
      </w:r>
      <w:r>
        <w:rPr>
          <w:rFonts w:ascii="Arial" w:cs="Arial" w:eastAsia="Arial" w:hAnsi="Arial"/>
          <w:sz w:val="18"/>
          <w:szCs w:val="18"/>
          <w:color w:val="auto"/>
        </w:rPr>
        <w:t xml:space="preserve"> of the original Lease shall not apply to Hazardous Materials in the Second Expansion Premises, which Hazardous Materials Tenant proves to Landlord’s reasonable satisfaction (i) existed prior to the Second Expansion Premises Commencement Date, (ii) originated from any separately demised tenant space within the Project other than the Premises, (iii) were not brought upon, kept, used, stored, handled, treated, generated in, or released or disposed of from, the Project by Tenant or any Tenant Party, or (iv) migrated from outside the Second Expansion Premises into the Second Expansion Premises, unless in each case, to the extent the presence of such Hazardous Materials (x) is the result of a breach by Tenant of any of its obligations under the Lease, or (y) was caused, contributed to or exacerbated by Tenant or any Tenant Party.</w:t>
      </w:r>
    </w:p>
    <w:p>
      <w:pPr>
        <w:spacing w:after="0" w:line="181" w:lineRule="exact"/>
        <w:rPr>
          <w:rFonts w:ascii="Arial" w:cs="Arial" w:eastAsia="Arial" w:hAnsi="Arial"/>
          <w:sz w:val="18"/>
          <w:szCs w:val="18"/>
          <w:b w:val="1"/>
          <w:bCs w:val="1"/>
          <w:color w:val="auto"/>
        </w:rPr>
      </w:pPr>
    </w:p>
    <w:p>
      <w:pPr>
        <w:ind w:left="652" w:right="20" w:hanging="652"/>
        <w:spacing w:after="0" w:line="287" w:lineRule="auto"/>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For purposes of Section 1938 of the California Civil Code, as of the date of this First Amendment, Tenant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having been advised by Landlord that the Project has not been inspected by a certified access specialist.</w:t>
      </w:r>
    </w:p>
    <w:p>
      <w:pPr>
        <w:spacing w:after="0" w:line="153" w:lineRule="exact"/>
        <w:rPr>
          <w:rFonts w:ascii="Arial" w:cs="Arial" w:eastAsia="Arial" w:hAnsi="Arial"/>
          <w:sz w:val="18"/>
          <w:szCs w:val="18"/>
          <w:b w:val="1"/>
          <w:bCs w:val="1"/>
          <w:color w:val="auto"/>
        </w:rPr>
      </w:pPr>
    </w:p>
    <w:p>
      <w:pPr>
        <w:jc w:val="both"/>
        <w:ind w:left="652" w:hanging="652"/>
        <w:spacing w:after="0" w:line="259" w:lineRule="auto"/>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 person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Broker</w:t>
      </w:r>
      <w:r>
        <w:rPr>
          <w:rFonts w:ascii="Arial" w:cs="Arial" w:eastAsia="Arial" w:hAnsi="Arial"/>
          <w:sz w:val="18"/>
          <w:szCs w:val="18"/>
          <w:color w:val="auto"/>
        </w:rPr>
        <w:t>"), other than Cresa Palo Alto and Jones Lang LaSalle, in connection with the transaction reflected in this Fourth Amendment. Landlord and Tenant each hereby agrees to indemnify and hold the other harmless from and against any claims by any Broker, other than the brokers named in this Fourth Amendment, claiming a commission or other form of compensation by virtue of having dealt with Tenant or Landlord, as applicable, with regard to this leasing transaction.</w:t>
      </w:r>
    </w:p>
    <w:p>
      <w:pPr>
        <w:spacing w:after="0" w:line="179" w:lineRule="exact"/>
        <w:rPr>
          <w:rFonts w:ascii="Arial" w:cs="Arial" w:eastAsia="Arial" w:hAnsi="Arial"/>
          <w:sz w:val="18"/>
          <w:szCs w:val="18"/>
          <w:b w:val="1"/>
          <w:bCs w:val="1"/>
          <w:color w:val="auto"/>
        </w:rPr>
      </w:pPr>
    </w:p>
    <w:p>
      <w:pPr>
        <w:ind w:left="652" w:hanging="652"/>
        <w:spacing w:after="0"/>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74" w:lineRule="exact"/>
        <w:rPr>
          <w:rFonts w:ascii="Arial" w:cs="Arial" w:eastAsia="Arial" w:hAnsi="Arial"/>
          <w:sz w:val="18"/>
          <w:szCs w:val="18"/>
          <w:b w:val="1"/>
          <w:bCs w:val="1"/>
          <w:color w:val="auto"/>
        </w:rPr>
      </w:pPr>
    </w:p>
    <w:p>
      <w:pPr>
        <w:jc w:val="both"/>
        <w:ind w:left="652" w:hanging="4"/>
        <w:spacing w:after="0" w:line="303" w:lineRule="auto"/>
        <w:tabs>
          <w:tab w:leader="none" w:pos="145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This Fourth Amendment is the entire agreement between the parties with respect to the subject matter hereof and supersedes all prior and contemporaneous oral and written agreements and discussions. This Fourth Amendment may be amended only by an agreement in writing, signed by the parties hereto.</w:t>
      </w:r>
    </w:p>
    <w:p>
      <w:pPr>
        <w:spacing w:after="0" w:line="201" w:lineRule="exact"/>
        <w:rPr>
          <w:rFonts w:ascii="Arial" w:cs="Arial" w:eastAsia="Arial" w:hAnsi="Arial"/>
          <w:sz w:val="18"/>
          <w:szCs w:val="18"/>
          <w:b w:val="1"/>
          <w:bCs w:val="1"/>
          <w:color w:val="auto"/>
        </w:rPr>
      </w:pPr>
    </w:p>
    <w:p>
      <w:pPr>
        <w:ind w:left="1452" w:hanging="804"/>
        <w:spacing w:after="0"/>
        <w:tabs>
          <w:tab w:leader="none" w:pos="1452"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This Fourth Amendment is binding upon and shall inure to the benefit of the parties hereto, their respective successors and</w:t>
      </w:r>
    </w:p>
    <w:p>
      <w:pPr>
        <w:spacing w:after="0" w:line="4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assigns.</w:t>
      </w:r>
    </w:p>
    <w:p>
      <w:pPr>
        <w:spacing w:after="0" w:line="265" w:lineRule="exact"/>
        <w:rPr>
          <w:rFonts w:ascii="Arial" w:cs="Arial" w:eastAsia="Arial" w:hAnsi="Arial"/>
          <w:sz w:val="18"/>
          <w:szCs w:val="18"/>
          <w:b w:val="1"/>
          <w:bCs w:val="1"/>
          <w:color w:val="auto"/>
        </w:rPr>
      </w:pPr>
    </w:p>
    <w:p>
      <w:pPr>
        <w:jc w:val="both"/>
        <w:ind w:left="652" w:hanging="4"/>
        <w:spacing w:after="0" w:line="303" w:lineRule="auto"/>
        <w:tabs>
          <w:tab w:leader="none" w:pos="1450" w:val="left"/>
        </w:tabs>
        <w:numPr>
          <w:ilvl w:val="1"/>
          <w:numId w:val="31"/>
        </w:numPr>
        <w:rPr>
          <w:rFonts w:ascii="Arial" w:cs="Arial" w:eastAsia="Arial" w:hAnsi="Arial"/>
          <w:sz w:val="18"/>
          <w:szCs w:val="18"/>
          <w:b w:val="1"/>
          <w:bCs w:val="1"/>
          <w:color w:val="auto"/>
        </w:rPr>
      </w:pPr>
      <w:r>
        <w:rPr>
          <w:rFonts w:ascii="Arial" w:cs="Arial" w:eastAsia="Arial" w:hAnsi="Arial"/>
          <w:sz w:val="18"/>
          <w:szCs w:val="18"/>
          <w:color w:val="auto"/>
        </w:rPr>
        <w:t>This Fourth Amendment may be executed in any number of counterparts, each of which shall be deemed an original, but all of which when taken together shall constitute one and the same instrument. The signature page of any counterpart may be detached therefrom without impairing the legal effect of the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4810760</wp:posOffset>
            </wp:positionH>
            <wp:positionV relativeFrom="paragraph">
              <wp:posOffset>128905</wp:posOffset>
            </wp:positionV>
            <wp:extent cx="243522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625" w:right="239" w:bottom="1440" w:gutter="0" w:footer="0" w:header="0"/>
        </w:sectPr>
      </w:pPr>
    </w:p>
    <w:bookmarkStart w:id="62" w:name="page63"/>
    <w:bookmarkEnd w:id="62"/>
    <w:p>
      <w:pPr>
        <w:ind w:left="4" w:hanging="4"/>
        <w:spacing w:after="0" w:line="309" w:lineRule="auto"/>
        <w:tabs>
          <w:tab w:leader="none" w:pos="2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thereon provided such signature page is attached to any other counterpart identical thereto except having additional signature pages executed by other parties to this Fourth Amendment attached thereto.</w:t>
      </w:r>
    </w:p>
    <w:p>
      <w:pPr>
        <w:spacing w:after="0" w:line="196" w:lineRule="exact"/>
        <w:rPr>
          <w:sz w:val="20"/>
          <w:szCs w:val="20"/>
          <w:color w:val="auto"/>
        </w:rPr>
      </w:pPr>
    </w:p>
    <w:p>
      <w:pPr>
        <w:jc w:val="both"/>
        <w:ind w:left="4" w:hanging="4"/>
        <w:spacing w:after="0" w:line="300" w:lineRule="auto"/>
        <w:tabs>
          <w:tab w:leader="none" w:pos="812"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Fourth Amendment, the Lease is hereby ratified and confirmed and all other terms of the Lease shall remain in full force and effect, unaltered and unchanged by this Fourth Amendment. In the event of any conflict between the provisions of this Fourth Amendment and the provisions of the Lease, the provisions of this Fourth Amendment shall prevail. Whether or not specifically amended by this Fourth Amendment, all of the terms and provisions of the Lease are hereby amended to the extent necessary to give effect to the purpose and intent of this Fourth Amendment.</w:t>
      </w:r>
    </w:p>
    <w:p>
      <w:pPr>
        <w:spacing w:after="0" w:line="156" w:lineRule="exact"/>
        <w:rPr>
          <w:sz w:val="20"/>
          <w:szCs w:val="20"/>
          <w:color w:val="auto"/>
        </w:rPr>
      </w:pPr>
    </w:p>
    <w:p>
      <w:pPr>
        <w:ind w:left="3624"/>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4399280</wp:posOffset>
            </wp:positionH>
            <wp:positionV relativeFrom="paragraph">
              <wp:posOffset>448945</wp:posOffset>
            </wp:positionV>
            <wp:extent cx="243522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625" w:right="239" w:bottom="1440" w:gutter="0" w:footer="0" w:header="0"/>
        </w:sectPr>
      </w:pPr>
    </w:p>
    <w:bookmarkStart w:id="63" w:name="page64"/>
    <w:bookmarkEnd w:id="63"/>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Fourth Amendment as of the day and year first above written.</w:t>
      </w:r>
    </w:p>
    <w:p>
      <w:pPr>
        <w:sectPr>
          <w:pgSz w:w="11900" w:h="16838" w:orient="portrait"/>
          <w:cols w:equalWidth="0" w:num="1">
            <w:col w:w="10620"/>
          </w:cols>
          <w:pgMar w:left="280" w:top="576" w:right="99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LANDLORD:</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ARE-SAN FRANCISCO NO. 17, LLC,</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ectPr>
          <w:pgSz w:w="11900" w:h="16838" w:orient="portrait"/>
          <w:cols w:equalWidth="0" w:num="2">
            <w:col w:w="4300" w:space="720"/>
            <w:col w:w="5600"/>
          </w:cols>
          <w:pgMar w:left="280" w:top="576" w:right="999" w:bottom="1440" w:gutter="0" w:footer="0" w:header="0"/>
          <w:type w:val="continuous"/>
        </w:sectPr>
      </w:pPr>
    </w:p>
    <w:p>
      <w:pPr>
        <w:spacing w:after="0" w:line="25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ALEXANDRIA REAL ESTATE EQUITIES, L.P.,</w:t>
      </w:r>
    </w:p>
    <w:p>
      <w:pPr>
        <w:spacing w:after="0" w:line="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 Delaware limited partnership,</w:t>
      </w:r>
    </w:p>
    <w:p>
      <w:pPr>
        <w:ind w:left="5820"/>
        <w:spacing w:after="0"/>
        <w:rPr>
          <w:sz w:val="20"/>
          <w:szCs w:val="20"/>
          <w:color w:val="auto"/>
        </w:rPr>
      </w:pPr>
      <w:r>
        <w:rPr>
          <w:rFonts w:ascii="Arial" w:cs="Arial" w:eastAsia="Arial" w:hAnsi="Arial"/>
          <w:sz w:val="18"/>
          <w:szCs w:val="18"/>
          <w:color w:val="auto"/>
        </w:rPr>
        <w:t>managing member</w:t>
      </w:r>
    </w:p>
    <w:p>
      <w:pPr>
        <w:spacing w:after="0" w:line="24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ARE-QRS CORP., a Maryland corporation,</w:t>
      </w:r>
    </w:p>
    <w:p>
      <w:pPr>
        <w:ind w:left="6500"/>
        <w:spacing w:after="0"/>
        <w:rPr>
          <w:sz w:val="20"/>
          <w:szCs w:val="20"/>
          <w:color w:val="auto"/>
        </w:rPr>
      </w:pPr>
      <w:r>
        <w:rPr>
          <w:rFonts w:ascii="Arial" w:cs="Arial" w:eastAsia="Arial" w:hAnsi="Arial"/>
          <w:sz w:val="18"/>
          <w:szCs w:val="18"/>
          <w:color w:val="auto"/>
        </w:rPr>
        <w:t>general partner</w:t>
      </w:r>
    </w:p>
    <w:p>
      <w:pPr>
        <w:spacing w:after="0" w:line="6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Eric S.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14605</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Eric S. Johnson</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Its: Vice President, Real Estate Legal Affairs</w:t>
      </w:r>
    </w:p>
    <w:p>
      <w:pPr>
        <w:sectPr>
          <w:pgSz w:w="11900" w:h="16838" w:orient="portrait"/>
          <w:cols w:equalWidth="0" w:num="1">
            <w:col w:w="10620"/>
          </w:cols>
          <w:pgMar w:left="280" w:top="576" w:right="999" w:bottom="1440" w:gutter="0" w:footer="0" w:header="0"/>
          <w:type w:val="continuous"/>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TENANT:</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FLUIDIGM CORPORATION,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ectPr>
          <w:pgSz w:w="11900" w:h="16838" w:orient="portrait"/>
          <w:cols w:equalWidth="0" w:num="2">
            <w:col w:w="4300" w:space="720"/>
            <w:col w:w="5600"/>
          </w:cols>
          <w:pgMar w:left="280" w:top="576" w:right="999" w:bottom="1440" w:gutter="0" w:footer="0" w:header="0"/>
          <w:type w:val="continuous"/>
        </w:sectPr>
      </w:pPr>
    </w:p>
    <w:p>
      <w:pPr>
        <w:spacing w:after="0" w:line="26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14605</wp:posOffset>
            </wp:positionV>
            <wp:extent cx="3542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Its: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588010</wp:posOffset>
            </wp:positionV>
            <wp:extent cx="243522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3522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20"/>
          </w:cols>
          <w:pgMar w:left="280" w:top="576" w:right="99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Second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165100</wp:posOffset>
            </wp:positionV>
            <wp:extent cx="5291455" cy="6980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91455" cy="698055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1701165</wp:posOffset>
            </wp:positionH>
            <wp:positionV relativeFrom="page">
              <wp:posOffset>380365</wp:posOffset>
            </wp:positionV>
            <wp:extent cx="5702935" cy="72377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2935" cy="7237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Expansion Premises Work Letter</w:t>
      </w:r>
    </w:p>
    <w:p>
      <w:pPr>
        <w:spacing w:after="0" w:line="33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SECOND EXPANSION PREMISES WORK LETTER (this "</w:t>
      </w:r>
      <w:r>
        <w:rPr>
          <w:rFonts w:ascii="Arial" w:cs="Arial" w:eastAsia="Arial" w:hAnsi="Arial"/>
          <w:sz w:val="18"/>
          <w:szCs w:val="18"/>
          <w:b w:val="1"/>
          <w:bCs w:val="1"/>
          <w:color w:val="auto"/>
        </w:rPr>
        <w:t>Second Expansion Premises Work Letter</w:t>
      </w:r>
      <w:r>
        <w:rPr>
          <w:rFonts w:ascii="Arial" w:cs="Arial" w:eastAsia="Arial" w:hAnsi="Arial"/>
          <w:sz w:val="18"/>
          <w:szCs w:val="18"/>
          <w:color w:val="auto"/>
        </w:rPr>
        <w:t>") is incorporated into that certain Lease Agreement dated as of September 14, 2010, as amended by that certain First Amendment to Lease dated as of September 22, 2010, as further amended by that certain letter agreement dated August 2, 2012, as further amended by that certain Second Amendment to Lease dated as of April 9, 2013, as further amended by that certain Third Amendment to Lease dated as of June 25, 2013 and as further amended by that certain Fourth Amendment to Lease of even date herewith (as amended, the “</w:t>
      </w:r>
      <w:r>
        <w:rPr>
          <w:rFonts w:ascii="Arial" w:cs="Arial" w:eastAsia="Arial" w:hAnsi="Arial"/>
          <w:sz w:val="18"/>
          <w:szCs w:val="18"/>
          <w:b w:val="1"/>
          <w:bCs w:val="1"/>
          <w:color w:val="auto"/>
        </w:rPr>
        <w:t>Lease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ARE-SAN</w:t>
      </w:r>
      <w:r>
        <w:rPr>
          <w:rFonts w:ascii="Arial" w:cs="Arial" w:eastAsia="Arial" w:hAnsi="Arial"/>
          <w:sz w:val="18"/>
          <w:szCs w:val="18"/>
          <w:color w:val="auto"/>
        </w:rPr>
        <w:t xml:space="preserve"> </w:t>
      </w:r>
      <w:r>
        <w:rPr>
          <w:rFonts w:ascii="Arial" w:cs="Arial" w:eastAsia="Arial" w:hAnsi="Arial"/>
          <w:sz w:val="18"/>
          <w:szCs w:val="18"/>
          <w:b w:val="1"/>
          <w:bCs w:val="1"/>
          <w:color w:val="auto"/>
        </w:rPr>
        <w:t>FRANCISCO NO. 17,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FLUIDIGM CORPORATION</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 Any initially capitalized terms used but not defined herein shall have the meanings given them in the Lease.</w:t>
      </w:r>
    </w:p>
    <w:p>
      <w:pPr>
        <w:spacing w:after="0" w:line="210" w:lineRule="exact"/>
        <w:rPr>
          <w:sz w:val="20"/>
          <w:szCs w:val="20"/>
          <w:color w:val="auto"/>
        </w:rPr>
      </w:pPr>
    </w:p>
    <w:p>
      <w:pPr>
        <w:ind w:left="1460" w:hanging="804"/>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266" w:lineRule="exact"/>
        <w:rPr>
          <w:sz w:val="20"/>
          <w:szCs w:val="20"/>
          <w:color w:val="auto"/>
        </w:rPr>
      </w:pPr>
    </w:p>
    <w:p>
      <w:pPr>
        <w:ind w:left="1520" w:hanging="864"/>
        <w:spacing w:after="0"/>
        <w:tabs>
          <w:tab w:leader="none" w:pos="152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Tenant's Authorized Representative</w:t>
      </w:r>
      <w:r>
        <w:rPr>
          <w:rFonts w:ascii="Arial" w:cs="Arial" w:eastAsia="Arial" w:hAnsi="Arial"/>
          <w:sz w:val="17"/>
          <w:szCs w:val="17"/>
          <w:color w:val="auto"/>
        </w:rPr>
        <w:t>. Tenant designates Chris Gawronski ("</w:t>
      </w:r>
      <w:r>
        <w:rPr>
          <w:rFonts w:ascii="Arial" w:cs="Arial" w:eastAsia="Arial" w:hAnsi="Arial"/>
          <w:sz w:val="17"/>
          <w:szCs w:val="17"/>
          <w:b w:val="1"/>
          <w:bCs w:val="1"/>
          <w:color w:val="auto"/>
        </w:rPr>
        <w:t>Tenant's Representative</w:t>
      </w:r>
      <w:r>
        <w:rPr>
          <w:rFonts w:ascii="Arial" w:cs="Arial" w:eastAsia="Arial" w:hAnsi="Arial"/>
          <w:sz w:val="17"/>
          <w:szCs w:val="17"/>
          <w:color w:val="auto"/>
        </w:rPr>
        <w:t>") as the only person</w:t>
      </w:r>
    </w:p>
    <w:p>
      <w:pPr>
        <w:spacing w:after="0" w:line="83" w:lineRule="exact"/>
        <w:rPr>
          <w:rFonts w:ascii="Arial" w:cs="Arial" w:eastAsia="Arial" w:hAnsi="Arial"/>
          <w:sz w:val="17"/>
          <w:szCs w:val="17"/>
          <w:color w:val="auto"/>
        </w:rPr>
      </w:pPr>
    </w:p>
    <w:p>
      <w:pPr>
        <w:jc w:val="both"/>
        <w:spacing w:after="0" w:line="301" w:lineRule="auto"/>
        <w:rPr>
          <w:rFonts w:ascii="Arial" w:cs="Arial" w:eastAsia="Arial" w:hAnsi="Arial"/>
          <w:sz w:val="17"/>
          <w:szCs w:val="17"/>
          <w:color w:val="auto"/>
        </w:rPr>
      </w:pPr>
      <w:r>
        <w:rPr>
          <w:rFonts w:ascii="Arial" w:cs="Arial" w:eastAsia="Arial" w:hAnsi="Arial"/>
          <w:sz w:val="18"/>
          <w:szCs w:val="18"/>
          <w:color w:val="auto"/>
        </w:rPr>
        <w:t>authorized to act for Tenant pursuant to this Second Expansion Premises Work Letter. Landlord shall not be obligated to respond to or act upon any request, approval, inquiry or other communication ("</w:t>
      </w:r>
      <w:r>
        <w:rPr>
          <w:rFonts w:ascii="Arial" w:cs="Arial" w:eastAsia="Arial" w:hAnsi="Arial"/>
          <w:sz w:val="18"/>
          <w:szCs w:val="18"/>
          <w:b w:val="1"/>
          <w:bCs w:val="1"/>
          <w:color w:val="auto"/>
        </w:rPr>
        <w:t>Communication</w:t>
      </w:r>
      <w:r>
        <w:rPr>
          <w:rFonts w:ascii="Arial" w:cs="Arial" w:eastAsia="Arial" w:hAnsi="Arial"/>
          <w:sz w:val="18"/>
          <w:szCs w:val="18"/>
          <w:color w:val="auto"/>
        </w:rPr>
        <w:t>") from or on behalf of Tenant in connection with this Second Expansion Premises Work Letter unless such Communication is in writing from Tenant's Representative. Tenant may change Tenant's Representative at any time upon not less than 5 business days advance written notice to Landlord.</w:t>
      </w:r>
    </w:p>
    <w:p>
      <w:pPr>
        <w:spacing w:after="0" w:line="182" w:lineRule="exact"/>
        <w:rPr>
          <w:rFonts w:ascii="Arial" w:cs="Arial" w:eastAsia="Arial" w:hAnsi="Arial"/>
          <w:sz w:val="17"/>
          <w:szCs w:val="17"/>
          <w:color w:val="auto"/>
        </w:rPr>
      </w:pPr>
    </w:p>
    <w:p>
      <w:pPr>
        <w:jc w:val="both"/>
        <w:ind w:firstLine="656"/>
        <w:spacing w:after="0" w:line="304" w:lineRule="auto"/>
        <w:tabs>
          <w:tab w:leader="none" w:pos="151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Todd Miller and Julie Sarmiento (either such individual acting</w:t>
      </w:r>
      <w:r>
        <w:rPr>
          <w:rFonts w:ascii="Arial" w:cs="Arial" w:eastAsia="Arial" w:hAnsi="Arial"/>
          <w:sz w:val="18"/>
          <w:szCs w:val="18"/>
          <w:b w:val="1"/>
          <w:bCs w:val="1"/>
          <w:color w:val="auto"/>
        </w:rPr>
        <w:t xml:space="preserve"> </w:t>
      </w:r>
      <w:r>
        <w:rPr>
          <w:rFonts w:ascii="Arial" w:cs="Arial" w:eastAsia="Arial" w:hAnsi="Arial"/>
          <w:sz w:val="18"/>
          <w:szCs w:val="18"/>
          <w:color w:val="auto"/>
        </w:rPr>
        <w:t>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Second Expansion Premises Work Letter. Tenant shall not be obligated to respond to or act upon any request, approval, inquiry or other Communication from or on behalf of Landlord in connection with this Second Expansion Premises Work Letter unless such Communication is in writing from Landlord's Representative. Landlord may change either Landlord's Representative at any time upon not less than 5 business days advance written notice to Tenant.</w:t>
      </w:r>
    </w:p>
    <w:p>
      <w:pPr>
        <w:spacing w:after="0" w:line="182" w:lineRule="exact"/>
        <w:rPr>
          <w:rFonts w:ascii="Arial" w:cs="Arial" w:eastAsia="Arial" w:hAnsi="Arial"/>
          <w:sz w:val="18"/>
          <w:szCs w:val="18"/>
          <w:color w:val="auto"/>
        </w:rPr>
      </w:pPr>
    </w:p>
    <w:p>
      <w:pPr>
        <w:jc w:val="both"/>
        <w:ind w:firstLine="656"/>
        <w:spacing w:after="0" w:line="304" w:lineRule="auto"/>
        <w:tabs>
          <w:tab w:leader="none" w:pos="1506"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for the Tenant Improvements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2(a)</w:t>
      </w:r>
      <w:r>
        <w:rPr>
          <w:rFonts w:ascii="Arial" w:cs="Arial" w:eastAsia="Arial" w:hAnsi="Arial"/>
          <w:sz w:val="18"/>
          <w:szCs w:val="18"/>
          <w:b w:val="1"/>
          <w:bCs w:val="1"/>
          <w:color w:val="auto"/>
        </w:rPr>
        <w:t xml:space="preserve"> </w:t>
      </w:r>
      <w:r>
        <w:rPr>
          <w:rFonts w:ascii="Arial" w:cs="Arial" w:eastAsia="Arial" w:hAnsi="Arial"/>
          <w:sz w:val="18"/>
          <w:szCs w:val="18"/>
          <w:color w:val="auto"/>
        </w:rPr>
        <w:t>below), the general contractor and any subcontractors for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shall be selected by Tenant, subject to Landlord's approval, which approval shall not be unreasonably withheld, conditioned or delayed. Landlord shall be named a third party beneficiary of any contract entered into by Tenant with the TI Architect, any consultant, any contractor or any subcontractor, and of any warranty made by any contractor or any subcontractor. Landlord hereby approves of DGA as Tenant’s architect and Landmark as Tenant’s general contractor.</w:t>
      </w:r>
    </w:p>
    <w:p>
      <w:pPr>
        <w:spacing w:after="0" w:line="183" w:lineRule="exact"/>
        <w:rPr>
          <w:sz w:val="20"/>
          <w:szCs w:val="20"/>
          <w:color w:val="auto"/>
        </w:rPr>
      </w:pPr>
    </w:p>
    <w:p>
      <w:pPr>
        <w:ind w:left="1460" w:hanging="804"/>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16" w:lineRule="auto"/>
        <w:tabs>
          <w:tab w:leader="none" w:pos="151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Tenant Improvements Defined</w:t>
      </w:r>
      <w:r>
        <w:rPr>
          <w:rFonts w:ascii="Arial" w:cs="Arial" w:eastAsia="Arial" w:hAnsi="Arial"/>
          <w:sz w:val="18"/>
          <w:szCs w:val="18"/>
          <w:color w:val="auto"/>
        </w:rPr>
        <w:t>. As used herein,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by Tenant of a fixed and permanent nature. Other than funding the TI Allowance (as defined below) as provided herein, Landlord shall not have any obligation whatsoever with respect to the finishing of the Second Expansion Premises for Tenant's use and occupancy.</w:t>
      </w:r>
    </w:p>
    <w:p>
      <w:pPr>
        <w:spacing w:after="0" w:line="168" w:lineRule="exact"/>
        <w:rPr>
          <w:rFonts w:ascii="Arial" w:cs="Arial" w:eastAsia="Arial" w:hAnsi="Arial"/>
          <w:sz w:val="18"/>
          <w:szCs w:val="18"/>
          <w:color w:val="auto"/>
        </w:rPr>
      </w:pPr>
    </w:p>
    <w:p>
      <w:pPr>
        <w:jc w:val="both"/>
        <w:ind w:firstLine="656"/>
        <w:spacing w:after="0" w:line="306" w:lineRule="auto"/>
        <w:tabs>
          <w:tab w:leader="none" w:pos="1516"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Tenant's Space Plans</w:t>
      </w:r>
      <w:r>
        <w:rPr>
          <w:rFonts w:ascii="Arial" w:cs="Arial" w:eastAsia="Arial" w:hAnsi="Arial"/>
          <w:sz w:val="18"/>
          <w:szCs w:val="18"/>
          <w:color w:val="auto"/>
        </w:rPr>
        <w:t>. Tenant shall be responsible for the delivery to Landlord of schematic drawings and outline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specifications (the "</w:t>
      </w:r>
      <w:r>
        <w:rPr>
          <w:rFonts w:ascii="Arial" w:cs="Arial" w:eastAsia="Arial" w:hAnsi="Arial"/>
          <w:sz w:val="18"/>
          <w:szCs w:val="18"/>
          <w:b w:val="1"/>
          <w:bCs w:val="1"/>
          <w:color w:val="auto"/>
        </w:rPr>
        <w:t>TI Design Drawings</w:t>
      </w:r>
      <w:r>
        <w:rPr>
          <w:rFonts w:ascii="Arial" w:cs="Arial" w:eastAsia="Arial" w:hAnsi="Arial"/>
          <w:sz w:val="18"/>
          <w:szCs w:val="18"/>
          <w:color w:val="auto"/>
        </w:rPr>
        <w:t>") detailing Tenant's requirements for the Tenant Improvements. Not more than 10 days thereafter, Landlord shall deliver to Tenant the written objections, questions or comments of Landlord and the TI Architect with regard to the TI Design Drawings. Tenant shall cause the TI Design Drawings to be revised to address such written comments and shall resubmit said drawings to Landlord for approval within 10 days thereafter. Such process shall continue until Landlord has approved the TI Design Drawings.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128270</wp:posOffset>
            </wp:positionV>
            <wp:extent cx="248729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72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792" w:right="239" w:bottom="1440" w:gutter="0" w:footer="0" w:header="0"/>
        </w:sectPr>
      </w:pPr>
    </w:p>
    <w:bookmarkStart w:id="67" w:name="page68"/>
    <w:bookmarkEnd w:id="67"/>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Working Drawings</w:t>
      </w:r>
      <w:r>
        <w:rPr>
          <w:rFonts w:ascii="Arial" w:cs="Arial" w:eastAsia="Arial" w:hAnsi="Arial"/>
          <w:sz w:val="18"/>
          <w:szCs w:val="18"/>
          <w:color w:val="auto"/>
        </w:rPr>
        <w:t>. Not later than 15 business days following the approval of the TI Design Drawings by Landlord, Tenant</w:t>
      </w:r>
    </w:p>
    <w:p>
      <w:pPr>
        <w:spacing w:after="0" w:line="71" w:lineRule="exact"/>
        <w:rPr>
          <w:rFonts w:ascii="Arial" w:cs="Arial" w:eastAsia="Arial" w:hAnsi="Arial"/>
          <w:sz w:val="18"/>
          <w:szCs w:val="18"/>
          <w:color w:val="auto"/>
        </w:rPr>
      </w:pPr>
    </w:p>
    <w:p>
      <w:pPr>
        <w:jc w:val="both"/>
        <w:spacing w:after="0" w:line="298" w:lineRule="auto"/>
        <w:rPr>
          <w:rFonts w:ascii="Arial" w:cs="Arial" w:eastAsia="Arial" w:hAnsi="Arial"/>
          <w:sz w:val="18"/>
          <w:szCs w:val="18"/>
          <w:color w:val="auto"/>
        </w:rPr>
      </w:pPr>
      <w:r>
        <w:rPr>
          <w:rFonts w:ascii="Arial" w:cs="Arial" w:eastAsia="Arial" w:hAnsi="Arial"/>
          <w:sz w:val="18"/>
          <w:szCs w:val="18"/>
          <w:color w:val="auto"/>
        </w:rPr>
        <w:t>shall cause the TI Architect to prepare and deliver to Landlord for review and comment construction plans, specifications and drawings for the Tenant Improvements ("</w:t>
      </w:r>
      <w:r>
        <w:rPr>
          <w:rFonts w:ascii="Arial" w:cs="Arial" w:eastAsia="Arial" w:hAnsi="Arial"/>
          <w:sz w:val="18"/>
          <w:szCs w:val="18"/>
          <w:b w:val="1"/>
          <w:bCs w:val="1"/>
          <w:color w:val="auto"/>
        </w:rPr>
        <w:t>TI Construction Drawings</w:t>
      </w:r>
      <w:r>
        <w:rPr>
          <w:rFonts w:ascii="Arial" w:cs="Arial" w:eastAsia="Arial" w:hAnsi="Arial"/>
          <w:sz w:val="18"/>
          <w:szCs w:val="18"/>
          <w:color w:val="auto"/>
        </w:rPr>
        <w:t xml:space="preserve">"), which TI Construction Drawings shall be prepared substantially in accordance with the TI Design Drawings. Tenant shall be solely responsible for ensuring that the TI Construction Drawings reflect Tenant's requirements for the Tenant Improvements. Landlord shall deliver its written comments on the TI Construction Drawings to Tenant not later than 10 business days after Landlord's receipt of the same; provided, however, that Landlord may not disapprove any matter that is consistent with the TI Design Drawings. Tenant and the TI Architect shall consider all such comments in good faith and shall, within 10 business days after receipt, notify Landlord how Tenant proposes to respond to such comments. Any disputes in connection with such comments shall be resolved in accordance with Section </w:t>
      </w:r>
      <w:r>
        <w:rPr>
          <w:rFonts w:ascii="Arial" w:cs="Arial" w:eastAsia="Arial" w:hAnsi="Arial"/>
          <w:sz w:val="18"/>
          <w:szCs w:val="18"/>
          <w:u w:val="single" w:color="auto"/>
          <w:color w:val="auto"/>
        </w:rPr>
        <w:t>2(d)</w:t>
      </w:r>
      <w:r>
        <w:rPr>
          <w:rFonts w:ascii="Arial" w:cs="Arial" w:eastAsia="Arial" w:hAnsi="Arial"/>
          <w:sz w:val="18"/>
          <w:szCs w:val="18"/>
          <w:color w:val="auto"/>
        </w:rPr>
        <w:t xml:space="preserve"> hereof. Provided that the design reflected in the TI Construction Drawings is consistent with the TI Design Drawings or otherwise reasonably acceptable to Landlord, Landlord shall approve the TI Construction Drawings submitted by Tenant. Once approved by Landlord, subject to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below, Tenant shall not materially modify the TI Construction Drawings except as may be reasonably required in connection with the issuance of the TI Permit (as defined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below).</w:t>
      </w:r>
    </w:p>
    <w:p>
      <w:pPr>
        <w:spacing w:after="0" w:line="189" w:lineRule="exact"/>
        <w:rPr>
          <w:rFonts w:ascii="Arial" w:cs="Arial" w:eastAsia="Arial" w:hAnsi="Arial"/>
          <w:sz w:val="18"/>
          <w:szCs w:val="18"/>
          <w:color w:val="auto"/>
        </w:rPr>
      </w:pPr>
    </w:p>
    <w:p>
      <w:pPr>
        <w:jc w:val="both"/>
        <w:ind w:firstLine="656"/>
        <w:spacing w:after="0" w:line="302" w:lineRule="auto"/>
        <w:tabs>
          <w:tab w:leader="none" w:pos="151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Approval and Completion</w:t>
      </w:r>
      <w:r>
        <w:rPr>
          <w:rFonts w:ascii="Arial" w:cs="Arial" w:eastAsia="Arial" w:hAnsi="Arial"/>
          <w:sz w:val="18"/>
          <w:szCs w:val="18"/>
          <w:color w:val="auto"/>
        </w:rPr>
        <w:t>. If any dispute regarding the design of the Tenant Improvements is not settled within 10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Allowance (as defined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below) or otherwise payable by Tenant, and (iii) Tenant's decision will not affect the base Building, structural components of the Building or any Building Systems (in which case Landlord shall make the final decision). Any changes to the TI Construction Drawings following Landlord's and Tenant's approval of same requested by Tenant shall be processed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w:t>
      </w:r>
    </w:p>
    <w:p>
      <w:pPr>
        <w:spacing w:after="0" w:line="185" w:lineRule="exact"/>
        <w:rPr>
          <w:rFonts w:ascii="Arial" w:cs="Arial" w:eastAsia="Arial" w:hAnsi="Arial"/>
          <w:sz w:val="18"/>
          <w:szCs w:val="18"/>
          <w:color w:val="auto"/>
        </w:rPr>
      </w:pPr>
    </w:p>
    <w:p>
      <w:pPr>
        <w:jc w:val="both"/>
        <w:ind w:firstLine="656"/>
        <w:spacing w:after="0" w:line="306" w:lineRule="auto"/>
        <w:tabs>
          <w:tab w:leader="none" w:pos="1516"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No Obligation to Building Tenant Improvements. </w:t>
      </w:r>
      <w:r>
        <w:rPr>
          <w:rFonts w:ascii="Arial" w:cs="Arial" w:eastAsia="Arial" w:hAnsi="Arial"/>
          <w:sz w:val="18"/>
          <w:szCs w:val="18"/>
          <w:color w:val="auto"/>
        </w:rPr>
        <w:t>Notwithstanding anything to the contrary contained in this Second</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Premises Work Letter, Tenant’s failure to design or construct the Tenant Improvements or meet any of the time periods set forth in this Second Expansion Premises Work Letter for the construction of the Tenant Improvements shall not be a default under the Lease. Nothing contained in this Second Expansion Premises Work Letter shall delay the Second Expansion Premises Commencement Date or the Second Expansion Premises Rent Commencement Date.</w:t>
      </w:r>
    </w:p>
    <w:p>
      <w:pPr>
        <w:spacing w:after="0" w:line="180" w:lineRule="exact"/>
        <w:rPr>
          <w:sz w:val="20"/>
          <w:szCs w:val="20"/>
          <w:color w:val="auto"/>
        </w:rPr>
      </w:pPr>
    </w:p>
    <w:p>
      <w:pPr>
        <w:ind w:left="1460" w:hanging="804"/>
        <w:spacing w:after="0"/>
        <w:tabs>
          <w:tab w:leader="none" w:pos="14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Performance of the Tenant Improvements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02"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Commencement and Permitting of the Tenant Improvements</w:t>
      </w:r>
      <w:r>
        <w:rPr>
          <w:rFonts w:ascii="Arial" w:cs="Arial" w:eastAsia="Arial" w:hAnsi="Arial"/>
          <w:sz w:val="18"/>
          <w:szCs w:val="18"/>
          <w:color w:val="auto"/>
        </w:rPr>
        <w:t>. Tenant shall commence construction of the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upon obtaining and delivering to Landlord a building permit (the "</w:t>
      </w:r>
      <w:r>
        <w:rPr>
          <w:rFonts w:ascii="Arial" w:cs="Arial" w:eastAsia="Arial" w:hAnsi="Arial"/>
          <w:sz w:val="18"/>
          <w:szCs w:val="18"/>
          <w:b w:val="1"/>
          <w:bCs w:val="1"/>
          <w:color w:val="auto"/>
        </w:rPr>
        <w:t>TI Permit</w:t>
      </w:r>
      <w:r>
        <w:rPr>
          <w:rFonts w:ascii="Arial" w:cs="Arial" w:eastAsia="Arial" w:hAnsi="Arial"/>
          <w:sz w:val="18"/>
          <w:szCs w:val="18"/>
          <w:color w:val="auto"/>
        </w:rPr>
        <w:t>") authorizing the construction of the Tenant Improvements consistent with the TI Construction Drawings approved by Landlord. The cost of obtaining the TI Permit shall be payable from the TI Allowance. Landlord shall assist Tenant in obtaining the TI Permit. Prior to the commencement of the Tenant Improvements, Tenant shall deliver to Landlord a copy of any contract with Tenant’s contractors (including the TI Architect), and certificates of insurance from any contractor performing any part of the Tenant Improvement evidencing industry standard commercial general liability, automotive liability, “builder’s risk”, and workers' compensation insurance. Tenant shall cause the general contractor to provide a certificate of insurance naming Landlord, Alexandria Real Estate Equities, Inc., and Landlord’s lender (if any) as additional insureds for the general contractor’s liability coverages required above.</w:t>
      </w:r>
    </w:p>
    <w:p>
      <w:pPr>
        <w:spacing w:after="0" w:line="181" w:lineRule="exact"/>
        <w:rPr>
          <w:rFonts w:ascii="Arial" w:cs="Arial" w:eastAsia="Arial" w:hAnsi="Arial"/>
          <w:sz w:val="18"/>
          <w:szCs w:val="18"/>
          <w:color w:val="auto"/>
        </w:rPr>
      </w:pPr>
    </w:p>
    <w:p>
      <w:pPr>
        <w:jc w:val="both"/>
        <w:ind w:firstLine="656"/>
        <w:spacing w:after="0" w:line="309"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Selection of Materials, Etc</w:t>
      </w:r>
      <w:r>
        <w:rPr>
          <w:rFonts w:ascii="Arial" w:cs="Arial" w:eastAsia="Arial" w:hAnsi="Arial"/>
          <w:sz w:val="18"/>
          <w:szCs w:val="18"/>
          <w:color w:val="auto"/>
        </w:rPr>
        <w:t>. Where more than one type of material or structure is indicated on the TI Construction Drawings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Tenant and Landlord, the option will be within Tenant's reasonable discretion if the matter concerns the Tenant Improvements, and within Landlord's sole and absolute subjective discretion if the matter concerns the structural components of the Building or any Building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264160</wp:posOffset>
            </wp:positionV>
            <wp:extent cx="2487295"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72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819" w:right="239" w:bottom="1440" w:gutter="0" w:footer="0" w:header="0"/>
        </w:sectPr>
      </w:pPr>
    </w:p>
    <w:bookmarkStart w:id="68" w:name="page69"/>
    <w:bookmarkEnd w:id="68"/>
    <w:p>
      <w:pPr>
        <w:ind w:left="1520" w:hanging="864"/>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Tenant Liability</w:t>
      </w:r>
      <w:r>
        <w:rPr>
          <w:rFonts w:ascii="Arial" w:cs="Arial" w:eastAsia="Arial" w:hAnsi="Arial"/>
          <w:sz w:val="18"/>
          <w:szCs w:val="18"/>
          <w:color w:val="auto"/>
        </w:rPr>
        <w:t>. Tenant shall be responsible for correcting any deficiencies or defects in the Tenant Improvements.</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Substantial Completion</w:t>
      </w:r>
      <w:r>
        <w:rPr>
          <w:rFonts w:ascii="Arial" w:cs="Arial" w:eastAsia="Arial" w:hAnsi="Arial"/>
          <w:sz w:val="18"/>
          <w:szCs w:val="18"/>
          <w:color w:val="auto"/>
        </w:rPr>
        <w:t>. Tenant  shall  substantially  complete  or  cause  to  be  substantially  completed  the  Tenant</w:t>
      </w:r>
    </w:p>
    <w:p>
      <w:pPr>
        <w:spacing w:after="0" w:line="71" w:lineRule="exact"/>
        <w:rPr>
          <w:rFonts w:ascii="Arial" w:cs="Arial" w:eastAsia="Arial" w:hAnsi="Arial"/>
          <w:sz w:val="18"/>
          <w:szCs w:val="18"/>
          <w:color w:val="auto"/>
        </w:rPr>
      </w:pPr>
    </w:p>
    <w:p>
      <w:pPr>
        <w:jc w:val="both"/>
        <w:spacing w:after="0" w:line="297" w:lineRule="auto"/>
        <w:rPr>
          <w:rFonts w:ascii="Arial" w:cs="Arial" w:eastAsia="Arial" w:hAnsi="Arial"/>
          <w:sz w:val="18"/>
          <w:szCs w:val="18"/>
          <w:color w:val="auto"/>
        </w:rPr>
      </w:pPr>
      <w:r>
        <w:rPr>
          <w:rFonts w:ascii="Arial" w:cs="Arial" w:eastAsia="Arial" w:hAnsi="Arial"/>
          <w:sz w:val="18"/>
          <w:szCs w:val="18"/>
          <w:color w:val="auto"/>
        </w:rPr>
        <w:t>Improvements in a good and workmanlike manner, in accordance with the TI Permit subject, in each case, to Minor Variations and normal "punch list" items of a non-material nature which do not interfere with the use of the Premises ("</w:t>
      </w:r>
      <w:r>
        <w:rPr>
          <w:rFonts w:ascii="Arial" w:cs="Arial" w:eastAsia="Arial" w:hAnsi="Arial"/>
          <w:sz w:val="18"/>
          <w:szCs w:val="18"/>
          <w:b w:val="1"/>
          <w:bCs w:val="1"/>
          <w:color w:val="auto"/>
        </w:rPr>
        <w:t>Substantial Completion</w:t>
      </w:r>
      <w:r>
        <w:rPr>
          <w:rFonts w:ascii="Arial" w:cs="Arial" w:eastAsia="Arial" w:hAnsi="Arial"/>
          <w:sz w:val="18"/>
          <w:szCs w:val="18"/>
          <w:color w:val="auto"/>
        </w:rPr>
        <w:t>" or "</w:t>
      </w:r>
      <w:r>
        <w:rPr>
          <w:rFonts w:ascii="Arial" w:cs="Arial" w:eastAsia="Arial" w:hAnsi="Arial"/>
          <w:sz w:val="18"/>
          <w:szCs w:val="18"/>
          <w:b w:val="1"/>
          <w:bCs w:val="1"/>
          <w:color w:val="auto"/>
        </w:rPr>
        <w:t>Substantially</w:t>
      </w:r>
      <w:r>
        <w:rPr>
          <w:rFonts w:ascii="Arial" w:cs="Arial" w:eastAsia="Arial" w:hAnsi="Arial"/>
          <w:sz w:val="18"/>
          <w:szCs w:val="18"/>
          <w:color w:val="auto"/>
        </w:rPr>
        <w:t xml:space="preserve"> </w:t>
      </w:r>
      <w:r>
        <w:rPr>
          <w:rFonts w:ascii="Arial" w:cs="Arial" w:eastAsia="Arial" w:hAnsi="Arial"/>
          <w:sz w:val="18"/>
          <w:szCs w:val="18"/>
          <w:b w:val="1"/>
          <w:bCs w:val="1"/>
          <w:color w:val="auto"/>
        </w:rPr>
        <w:t>Complete</w:t>
      </w:r>
      <w:r>
        <w:rPr>
          <w:rFonts w:ascii="Arial" w:cs="Arial" w:eastAsia="Arial" w:hAnsi="Arial"/>
          <w:sz w:val="18"/>
          <w:szCs w:val="18"/>
          <w:color w:val="auto"/>
        </w:rPr>
        <w:t>"). Upon Substantial Completion of the Tenant Improvements, Tenant shall require the TI Architect and the general contractor to</w:t>
      </w:r>
    </w:p>
    <w:p>
      <w:pPr>
        <w:spacing w:after="0" w:line="1" w:lineRule="exact"/>
        <w:rPr>
          <w:rFonts w:ascii="Arial" w:cs="Arial" w:eastAsia="Arial" w:hAnsi="Arial"/>
          <w:sz w:val="18"/>
          <w:szCs w:val="18"/>
          <w:color w:val="auto"/>
        </w:rPr>
      </w:pPr>
    </w:p>
    <w:p>
      <w:pPr>
        <w:jc w:val="both"/>
        <w:spacing w:after="0" w:line="300" w:lineRule="auto"/>
        <w:rPr>
          <w:rFonts w:ascii="Arial" w:cs="Arial" w:eastAsia="Arial" w:hAnsi="Arial"/>
          <w:sz w:val="18"/>
          <w:szCs w:val="18"/>
          <w:color w:val="auto"/>
        </w:rPr>
      </w:pPr>
      <w:r>
        <w:rPr>
          <w:rFonts w:ascii="Arial" w:cs="Arial" w:eastAsia="Arial" w:hAnsi="Arial"/>
          <w:sz w:val="18"/>
          <w:szCs w:val="18"/>
          <w:color w:val="auto"/>
        </w:rPr>
        <w:t>execute and deliver, for the benefit of Tenant and Landlord, a Certificate of Substantial Completion in the form of the American Institute of Architects ("</w:t>
      </w:r>
      <w:r>
        <w:rPr>
          <w:rFonts w:ascii="Arial" w:cs="Arial" w:eastAsia="Arial" w:hAnsi="Arial"/>
          <w:sz w:val="18"/>
          <w:szCs w:val="18"/>
          <w:b w:val="1"/>
          <w:bCs w:val="1"/>
          <w:color w:val="auto"/>
        </w:rPr>
        <w:t>AIA</w:t>
      </w:r>
      <w:r>
        <w:rPr>
          <w:rFonts w:ascii="Arial" w:cs="Arial" w:eastAsia="Arial" w:hAnsi="Arial"/>
          <w:sz w:val="18"/>
          <w:szCs w:val="18"/>
          <w:color w:val="auto"/>
        </w:rPr>
        <w:t>") document G704. For purposes of this Second Expansion Premises Work Letter, "</w:t>
      </w:r>
      <w:r>
        <w:rPr>
          <w:rFonts w:ascii="Arial" w:cs="Arial" w:eastAsia="Arial" w:hAnsi="Arial"/>
          <w:sz w:val="18"/>
          <w:szCs w:val="18"/>
          <w:b w:val="1"/>
          <w:bCs w:val="1"/>
          <w:color w:val="auto"/>
        </w:rPr>
        <w:t>Minor Variations</w:t>
      </w:r>
      <w:r>
        <w:rPr>
          <w:rFonts w:ascii="Arial" w:cs="Arial" w:eastAsia="Arial" w:hAnsi="Arial"/>
          <w:sz w:val="18"/>
          <w:szCs w:val="18"/>
          <w:color w:val="auto"/>
        </w:rPr>
        <w:t>" shall mean any modifications reasonably required: (i) to comply with all applicable Legal Requirements and/or to obtain or to comply with any required permit (including the TI Permit); (ii) to comport with good design, engineering, and construction practices which are not material; or (iii) to make reasonable adjustments for field deviations or conditions encountered during the construction of the Tenant Improvements.</w:t>
      </w:r>
    </w:p>
    <w:p>
      <w:pPr>
        <w:spacing w:after="0" w:line="183" w:lineRule="exact"/>
        <w:rPr>
          <w:sz w:val="20"/>
          <w:szCs w:val="20"/>
          <w:color w:val="auto"/>
        </w:rPr>
      </w:pPr>
    </w:p>
    <w:p>
      <w:pPr>
        <w:jc w:val="both"/>
        <w:ind w:firstLine="656"/>
        <w:spacing w:after="0" w:line="316" w:lineRule="auto"/>
        <w:tabs>
          <w:tab w:leader="none" w:pos="1447"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after the delivery and approval by Landlord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 Design Drawings, shall be requested and instituted in 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which approval shall not be unreasonably withheld, conditioned or delayed.</w:t>
      </w:r>
    </w:p>
    <w:p>
      <w:pPr>
        <w:spacing w:after="0" w:line="168" w:lineRule="exact"/>
        <w:rPr>
          <w:sz w:val="20"/>
          <w:szCs w:val="20"/>
          <w:color w:val="auto"/>
        </w:rPr>
      </w:pPr>
    </w:p>
    <w:p>
      <w:pPr>
        <w:jc w:val="both"/>
        <w:ind w:firstLine="656"/>
        <w:spacing w:after="0" w:line="306" w:lineRule="auto"/>
        <w:tabs>
          <w:tab w:leader="none" w:pos="151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Tenant's Right to Request Changes</w:t>
      </w:r>
      <w:r>
        <w:rPr>
          <w:rFonts w:ascii="Arial" w:cs="Arial" w:eastAsia="Arial" w:hAnsi="Arial"/>
          <w:sz w:val="18"/>
          <w:szCs w:val="18"/>
          <w:color w:val="auto"/>
        </w:rPr>
        <w:t>. If Tenant shall request changes ("</w:t>
      </w:r>
      <w:r>
        <w:rPr>
          <w:rFonts w:ascii="Arial" w:cs="Arial" w:eastAsia="Arial" w:hAnsi="Arial"/>
          <w:sz w:val="18"/>
          <w:szCs w:val="18"/>
          <w:b w:val="1"/>
          <w:bCs w:val="1"/>
          <w:color w:val="auto"/>
        </w:rPr>
        <w:t>Changes</w:t>
      </w:r>
      <w:r>
        <w:rPr>
          <w:rFonts w:ascii="Arial" w:cs="Arial" w:eastAsia="Arial" w:hAnsi="Arial"/>
          <w:sz w:val="18"/>
          <w:szCs w:val="18"/>
          <w:color w:val="auto"/>
        </w:rPr>
        <w:t>"), Tenant shall request such Changes by</w:t>
      </w:r>
      <w:r>
        <w:rPr>
          <w:rFonts w:ascii="Arial" w:cs="Arial" w:eastAsia="Arial" w:hAnsi="Arial"/>
          <w:sz w:val="18"/>
          <w:szCs w:val="18"/>
          <w:b w:val="1"/>
          <w:bCs w:val="1"/>
          <w:color w:val="auto"/>
        </w:rPr>
        <w:t xml:space="preserve"> </w:t>
      </w:r>
      <w:r>
        <w:rPr>
          <w:rFonts w:ascii="Arial" w:cs="Arial" w:eastAsia="Arial" w:hAnsi="Arial"/>
          <w:sz w:val="18"/>
          <w:szCs w:val="18"/>
          <w:color w:val="auto"/>
        </w:rPr>
        <w:t>notifying Landlord in writing in substantially the same form as the AIA standard change order form (a "</w:t>
      </w:r>
      <w:r>
        <w:rPr>
          <w:rFonts w:ascii="Arial" w:cs="Arial" w:eastAsia="Arial" w:hAnsi="Arial"/>
          <w:sz w:val="18"/>
          <w:szCs w:val="18"/>
          <w:b w:val="1"/>
          <w:bCs w:val="1"/>
          <w:color w:val="auto"/>
        </w:rPr>
        <w:t>Change Request</w:t>
      </w:r>
      <w:r>
        <w:rPr>
          <w:rFonts w:ascii="Arial" w:cs="Arial" w:eastAsia="Arial" w:hAnsi="Arial"/>
          <w:sz w:val="18"/>
          <w:szCs w:val="18"/>
          <w:color w:val="auto"/>
        </w:rPr>
        <w:t>"), which Change Request shall detail the nature and extent of any such Change. Such Change Request must be signed by Tenant's Representative. Landlord shall review and approve or disapprove such Change Request within 10 business days thereafter, provided that Landlord's approval shall not be unreasonably withheld, conditioned or delayed.</w:t>
      </w:r>
    </w:p>
    <w:p>
      <w:pPr>
        <w:spacing w:after="0" w:line="179" w:lineRule="exact"/>
        <w:rPr>
          <w:rFonts w:ascii="Arial" w:cs="Arial" w:eastAsia="Arial" w:hAnsi="Arial"/>
          <w:sz w:val="18"/>
          <w:szCs w:val="18"/>
          <w:color w:val="auto"/>
        </w:rPr>
      </w:pPr>
    </w:p>
    <w:p>
      <w:pPr>
        <w:jc w:val="both"/>
        <w:ind w:firstLine="656"/>
        <w:spacing w:after="0" w:line="316" w:lineRule="auto"/>
        <w:tabs>
          <w:tab w:leader="none" w:pos="1516"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Implementation of Changes</w:t>
      </w:r>
      <w:r>
        <w:rPr>
          <w:rFonts w:ascii="Arial" w:cs="Arial" w:eastAsia="Arial" w:hAnsi="Arial"/>
          <w:sz w:val="18"/>
          <w:szCs w:val="18"/>
          <w:color w:val="auto"/>
        </w:rPr>
        <w:t>. If Landlord approves such Change, Tenant may cause the approved Change to be instituted.</w:t>
      </w:r>
      <w:r>
        <w:rPr>
          <w:rFonts w:ascii="Arial" w:cs="Arial" w:eastAsia="Arial" w:hAnsi="Arial"/>
          <w:sz w:val="18"/>
          <w:szCs w:val="18"/>
          <w:b w:val="1"/>
          <w:bCs w:val="1"/>
          <w:color w:val="auto"/>
        </w:rPr>
        <w:t xml:space="preserve"> </w:t>
      </w:r>
      <w:r>
        <w:rPr>
          <w:rFonts w:ascii="Arial" w:cs="Arial" w:eastAsia="Arial" w:hAnsi="Arial"/>
          <w:sz w:val="18"/>
          <w:szCs w:val="18"/>
          <w:color w:val="auto"/>
        </w:rPr>
        <w:t>If any TI Permit modification or change is required as a result of such Change, Tenant shall promptly provide Landlord with a copy of such TI Permit modification or change.</w:t>
      </w:r>
    </w:p>
    <w:p>
      <w:pPr>
        <w:spacing w:after="0" w:line="168" w:lineRule="exact"/>
        <w:rPr>
          <w:sz w:val="20"/>
          <w:szCs w:val="20"/>
          <w:color w:val="auto"/>
        </w:rPr>
      </w:pPr>
    </w:p>
    <w:p>
      <w:pPr>
        <w:ind w:left="1460" w:hanging="804"/>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66" w:lineRule="exact"/>
        <w:rPr>
          <w:sz w:val="20"/>
          <w:szCs w:val="20"/>
          <w:color w:val="auto"/>
        </w:rPr>
      </w:pPr>
    </w:p>
    <w:p>
      <w:pPr>
        <w:ind w:left="1520" w:hanging="864"/>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Before the commencement of construction of the Tenant Improvements, Tenant shall</w:t>
      </w:r>
    </w:p>
    <w:p>
      <w:pPr>
        <w:spacing w:after="0" w:line="71" w:lineRule="exact"/>
        <w:rPr>
          <w:rFonts w:ascii="Arial" w:cs="Arial" w:eastAsia="Arial" w:hAnsi="Arial"/>
          <w:sz w:val="18"/>
          <w:szCs w:val="18"/>
          <w:color w:val="auto"/>
        </w:rPr>
      </w:pPr>
    </w:p>
    <w:p>
      <w:pPr>
        <w:jc w:val="both"/>
        <w:spacing w:after="0" w:line="315" w:lineRule="auto"/>
        <w:rPr>
          <w:rFonts w:ascii="Arial" w:cs="Arial" w:eastAsia="Arial" w:hAnsi="Arial"/>
          <w:sz w:val="18"/>
          <w:szCs w:val="18"/>
          <w:color w:val="auto"/>
        </w:rPr>
      </w:pPr>
      <w:r>
        <w:rPr>
          <w:rFonts w:ascii="Arial" w:cs="Arial" w:eastAsia="Arial" w:hAnsi="Arial"/>
          <w:sz w:val="17"/>
          <w:szCs w:val="17"/>
          <w:color w:val="auto"/>
        </w:rPr>
        <w:t>obtain a detailed breakdown, by trade, of the costs incurred or that will be incurred, in connection with the design and construction of the Tenant Improvements (the "</w:t>
      </w:r>
      <w:r>
        <w:rPr>
          <w:rFonts w:ascii="Arial" w:cs="Arial" w:eastAsia="Arial" w:hAnsi="Arial"/>
          <w:sz w:val="17"/>
          <w:szCs w:val="17"/>
          <w:b w:val="1"/>
          <w:bCs w:val="1"/>
          <w:color w:val="auto"/>
        </w:rPr>
        <w:t>Budget</w:t>
      </w:r>
      <w:r>
        <w:rPr>
          <w:rFonts w:ascii="Arial" w:cs="Arial" w:eastAsia="Arial" w:hAnsi="Arial"/>
          <w:sz w:val="17"/>
          <w:szCs w:val="17"/>
          <w:color w:val="auto"/>
        </w:rPr>
        <w:t>"), and deliver a copy of the Budget to Landlord for Landlord's approval, which shall not be unreasonably withheld</w:t>
      </w:r>
    </w:p>
    <w:p>
      <w:pPr>
        <w:jc w:val="both"/>
        <w:spacing w:after="0" w:line="300" w:lineRule="auto"/>
        <w:rPr>
          <w:rFonts w:ascii="Arial" w:cs="Arial" w:eastAsia="Arial" w:hAnsi="Arial"/>
          <w:sz w:val="18"/>
          <w:szCs w:val="18"/>
          <w:color w:val="auto"/>
        </w:rPr>
      </w:pPr>
      <w:r>
        <w:rPr>
          <w:rFonts w:ascii="Arial" w:cs="Arial" w:eastAsia="Arial" w:hAnsi="Arial"/>
          <w:sz w:val="18"/>
          <w:szCs w:val="18"/>
          <w:color w:val="auto"/>
        </w:rPr>
        <w:t>or delayed. The Budget shall be based upon the TI Construction Drawings approved by Landlord and shall include a payment to Landlord of administrative rent ("</w:t>
      </w:r>
      <w:r>
        <w:rPr>
          <w:rFonts w:ascii="Arial" w:cs="Arial" w:eastAsia="Arial" w:hAnsi="Arial"/>
          <w:sz w:val="18"/>
          <w:szCs w:val="18"/>
          <w:b w:val="1"/>
          <w:bCs w:val="1"/>
          <w:color w:val="auto"/>
        </w:rPr>
        <w:t>Administrative Rent</w:t>
      </w:r>
      <w:r>
        <w:rPr>
          <w:rFonts w:ascii="Arial" w:cs="Arial" w:eastAsia="Arial" w:hAnsi="Arial"/>
          <w:sz w:val="18"/>
          <w:szCs w:val="18"/>
          <w:color w:val="auto"/>
        </w:rPr>
        <w:t>") equal to 1% of the TI Costs (as hereinafter defined) for monitoring and inspecting the construction of the Tenant Improvements, which sum shall be payable from the TI Allowance. Such Administrative Rent shall include, without limitation, all out-of-pocket costs, expenses and fees incurred by or on behalf of Landlord arising from, out of, or in connection with, such monitoring of the construction of the Tenant Improvements, and shall be payable out of the TI Allowance.</w:t>
      </w:r>
    </w:p>
    <w:p>
      <w:pPr>
        <w:spacing w:after="0" w:line="183" w:lineRule="exact"/>
        <w:rPr>
          <w:rFonts w:ascii="Arial" w:cs="Arial" w:eastAsia="Arial" w:hAnsi="Arial"/>
          <w:sz w:val="18"/>
          <w:szCs w:val="18"/>
          <w:color w:val="auto"/>
        </w:rPr>
      </w:pPr>
    </w:p>
    <w:p>
      <w:pPr>
        <w:ind w:left="1520" w:hanging="864"/>
        <w:spacing w:after="0"/>
        <w:tabs>
          <w:tab w:leader="none" w:pos="15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TI Allowance</w:t>
      </w:r>
      <w:r>
        <w:rPr>
          <w:rFonts w:ascii="Arial" w:cs="Arial" w:eastAsia="Arial" w:hAnsi="Arial"/>
          <w:sz w:val="18"/>
          <w:szCs w:val="18"/>
          <w:color w:val="auto"/>
        </w:rPr>
        <w:t>. Landlord shall provide to Tenant a tenant improvement allowance (collectively, the "</w:t>
      </w:r>
      <w:r>
        <w:rPr>
          <w:rFonts w:ascii="Arial" w:cs="Arial" w:eastAsia="Arial" w:hAnsi="Arial"/>
          <w:sz w:val="18"/>
          <w:szCs w:val="18"/>
          <w:b w:val="1"/>
          <w:bCs w:val="1"/>
          <w:color w:val="auto"/>
        </w:rPr>
        <w:t>TI Allowance</w:t>
      </w:r>
      <w:r>
        <w:rPr>
          <w:rFonts w:ascii="Arial" w:cs="Arial" w:eastAsia="Arial" w:hAnsi="Arial"/>
          <w:sz w:val="18"/>
          <w:szCs w:val="18"/>
          <w:color w:val="auto"/>
        </w:rPr>
        <w:t>") as</w:t>
      </w:r>
    </w:p>
    <w:p>
      <w:pPr>
        <w:spacing w:after="0" w:line="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follows:</w:t>
      </w:r>
    </w:p>
    <w:p>
      <w:pPr>
        <w:spacing w:after="0" w:line="217" w:lineRule="exact"/>
        <w:rPr>
          <w:sz w:val="20"/>
          <w:szCs w:val="20"/>
          <w:color w:val="auto"/>
        </w:rPr>
      </w:pPr>
    </w:p>
    <w:p>
      <w:pPr>
        <w:ind w:firstLine="656"/>
        <w:spacing w:after="0" w:line="287" w:lineRule="auto"/>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Tenant Improvement Allowance</w:t>
      </w:r>
      <w:r>
        <w:rPr>
          <w:rFonts w:ascii="Arial" w:cs="Arial" w:eastAsia="Arial" w:hAnsi="Arial"/>
          <w:sz w:val="18"/>
          <w:szCs w:val="18"/>
          <w:color w:val="auto"/>
        </w:rPr>
        <w:t>" in the maximum amount of $17.50 per rentable square foot in the Second Expansion Premises, which is included in the Base Rent set forth in the Lease;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266065</wp:posOffset>
            </wp:positionV>
            <wp:extent cx="2487295" cy="548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872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603" w:right="239" w:bottom="1440" w:gutter="0" w:footer="0" w:header="0"/>
        </w:sectPr>
      </w:pPr>
    </w:p>
    <w:bookmarkStart w:id="69" w:name="page70"/>
    <w:bookmarkEnd w:id="69"/>
    <w:p>
      <w:pPr>
        <w:jc w:val="both"/>
        <w:ind w:firstLine="656"/>
        <w:spacing w:after="0" w:line="269" w:lineRule="auto"/>
        <w:tabs>
          <w:tab w:leader="none" w:pos="10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Additional Tenant Improvement Allowance</w:t>
      </w:r>
      <w:r>
        <w:rPr>
          <w:rFonts w:ascii="Arial" w:cs="Arial" w:eastAsia="Arial" w:hAnsi="Arial"/>
          <w:sz w:val="18"/>
          <w:szCs w:val="18"/>
          <w:color w:val="auto"/>
        </w:rPr>
        <w:t xml:space="preserve">" in the maximum amount of $10.00 per rentable square foot in the Second Expansion Premises, which shall, to the extent used, result in Second Expansion Premises TI Rent as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of the Fourth Amendment.</w:t>
      </w:r>
    </w:p>
    <w:p>
      <w:pPr>
        <w:spacing w:after="0" w:line="19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 xml:space="preserve">The TI Allowance shall be disbursed in accordance with this Second Expansion Premises Work Letter. Tenant shall have no right to the use or benefit (except as provided below with respect to the Tenant Improvement Allowance) of any portion of the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Except as provided in the immediately following sentence, Tenant shall have no right to any portion of the TI Allowance that is not disbursed before the last day of the month that is 12 months after the Second Expansion Premises Commencement Date (“</w:t>
      </w:r>
      <w:r>
        <w:rPr>
          <w:rFonts w:ascii="Arial" w:cs="Arial" w:eastAsia="Arial" w:hAnsi="Arial"/>
          <w:sz w:val="18"/>
          <w:szCs w:val="18"/>
          <w:b w:val="1"/>
          <w:bCs w:val="1"/>
          <w:color w:val="auto"/>
        </w:rPr>
        <w:t>Allowance Expiration Date</w:t>
      </w:r>
      <w:r>
        <w:rPr>
          <w:rFonts w:ascii="Arial" w:cs="Arial" w:eastAsia="Arial" w:hAnsi="Arial"/>
          <w:sz w:val="18"/>
          <w:szCs w:val="18"/>
          <w:color w:val="auto"/>
        </w:rPr>
        <w:t>”). A portion of the Tenant Improvement Allowance remaining unused as of the Allowance Expiration Date, up to $7.50 per rentable square foot of the Second Expansion Premises, shall be applied to Base Rent coming due following the Allowance Expiration Date pursuant to a schedule reasonably acceptable to Landlord and Tenant until such unused portion of the Tenant Improvement Allowance (up to $7.50 per rentable square foot of the Second Expansion Premises) has been exhausted.</w:t>
      </w:r>
    </w:p>
    <w:p>
      <w:pPr>
        <w:spacing w:after="0" w:line="218" w:lineRule="exact"/>
        <w:rPr>
          <w:sz w:val="20"/>
          <w:szCs w:val="20"/>
          <w:color w:val="auto"/>
        </w:rPr>
      </w:pPr>
    </w:p>
    <w:p>
      <w:pPr>
        <w:jc w:val="both"/>
        <w:ind w:firstLine="656"/>
        <w:spacing w:after="0" w:line="310" w:lineRule="auto"/>
        <w:tabs>
          <w:tab w:leader="none" w:pos="150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Costs Includable in TI Allowance</w:t>
      </w:r>
      <w:r>
        <w:rPr>
          <w:rFonts w:ascii="Arial" w:cs="Arial" w:eastAsia="Arial" w:hAnsi="Arial"/>
          <w:sz w:val="18"/>
          <w:szCs w:val="18"/>
          <w:color w:val="auto"/>
        </w:rPr>
        <w:t>. The TI Allowance shall be used solely for the payment of design, permits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costs in connection with the construction of the Tenant Improvements, including, without limitation, the cost of electrical power and</w:t>
      </w:r>
    </w:p>
    <w:p>
      <w:pPr>
        <w:jc w:val="both"/>
        <w:spacing w:after="0" w:line="300" w:lineRule="auto"/>
        <w:rPr>
          <w:rFonts w:ascii="Arial" w:cs="Arial" w:eastAsia="Arial" w:hAnsi="Arial"/>
          <w:sz w:val="18"/>
          <w:szCs w:val="18"/>
          <w:color w:val="auto"/>
        </w:rPr>
      </w:pPr>
      <w:r>
        <w:rPr>
          <w:rFonts w:ascii="Arial" w:cs="Arial" w:eastAsia="Arial" w:hAnsi="Arial"/>
          <w:sz w:val="18"/>
          <w:szCs w:val="18"/>
          <w:color w:val="auto"/>
        </w:rPr>
        <w:t>other utilities used in connection with the construction of the Tenant Improvements, the cost of preparing the TI Design Drawings and the TI Construction Drawings, all costs set forth in the Budget, including Landlord's Administrative Rent, and the cost of Changes (collectively, "</w:t>
      </w:r>
      <w:r>
        <w:rPr>
          <w:rFonts w:ascii="Arial" w:cs="Arial" w:eastAsia="Arial" w:hAnsi="Arial"/>
          <w:sz w:val="18"/>
          <w:szCs w:val="18"/>
          <w:b w:val="1"/>
          <w:bCs w:val="1"/>
          <w:color w:val="auto"/>
        </w:rPr>
        <w:t>TI</w:t>
      </w:r>
      <w:r>
        <w:rPr>
          <w:rFonts w:ascii="Arial" w:cs="Arial" w:eastAsia="Arial" w:hAnsi="Arial"/>
          <w:sz w:val="18"/>
          <w:szCs w:val="18"/>
          <w:color w:val="auto"/>
        </w:rPr>
        <w:t xml:space="preserve"> </w:t>
      </w:r>
      <w:r>
        <w:rPr>
          <w:rFonts w:ascii="Arial" w:cs="Arial" w:eastAsia="Arial" w:hAnsi="Arial"/>
          <w:sz w:val="18"/>
          <w:szCs w:val="18"/>
          <w:b w:val="1"/>
          <w:bCs w:val="1"/>
          <w:color w:val="auto"/>
        </w:rPr>
        <w:t>Costs</w:t>
      </w:r>
      <w:r>
        <w:rPr>
          <w:rFonts w:ascii="Arial" w:cs="Arial" w:eastAsia="Arial" w:hAnsi="Arial"/>
          <w:sz w:val="18"/>
          <w:szCs w:val="18"/>
          <w:color w:val="auto"/>
        </w:rPr>
        <w:t>"). Notwithstanding anything to the contrary contained herein, the TI Allowance shall not be used to purchase any furniture,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or other non-Building system materials or equipment, including, but not be limited to, Tenant's voice or data cabling, non-ducted biological safety cabinets and other scientific equipment not incorporated into the Tenant Improvements.</w:t>
      </w:r>
    </w:p>
    <w:p>
      <w:pPr>
        <w:spacing w:after="0" w:line="183" w:lineRule="exact"/>
        <w:rPr>
          <w:rFonts w:ascii="Arial" w:cs="Arial" w:eastAsia="Arial" w:hAnsi="Arial"/>
          <w:sz w:val="18"/>
          <w:szCs w:val="18"/>
          <w:color w:val="auto"/>
        </w:rPr>
      </w:pPr>
    </w:p>
    <w:p>
      <w:pPr>
        <w:ind w:left="1520" w:hanging="864"/>
        <w:spacing w:after="0"/>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Excess TI Costs</w:t>
      </w:r>
      <w:r>
        <w:rPr>
          <w:rFonts w:ascii="Arial" w:cs="Arial" w:eastAsia="Arial" w:hAnsi="Arial"/>
          <w:sz w:val="18"/>
          <w:szCs w:val="18"/>
          <w:color w:val="auto"/>
        </w:rPr>
        <w:t>. Landlord shall have no obligation to bear any portion of the cost of any of the Tenant Improvements</w:t>
      </w:r>
    </w:p>
    <w:p>
      <w:pPr>
        <w:spacing w:after="0" w:line="71" w:lineRule="exact"/>
        <w:rPr>
          <w:rFonts w:ascii="Arial" w:cs="Arial" w:eastAsia="Arial" w:hAnsi="Arial"/>
          <w:sz w:val="18"/>
          <w:szCs w:val="18"/>
          <w:color w:val="auto"/>
        </w:rPr>
      </w:pPr>
    </w:p>
    <w:p>
      <w:pPr>
        <w:jc w:val="both"/>
        <w:spacing w:after="0" w:line="300" w:lineRule="auto"/>
        <w:rPr>
          <w:rFonts w:ascii="Arial" w:cs="Arial" w:eastAsia="Arial" w:hAnsi="Arial"/>
          <w:sz w:val="18"/>
          <w:szCs w:val="18"/>
          <w:color w:val="auto"/>
        </w:rPr>
      </w:pPr>
      <w:r>
        <w:rPr>
          <w:rFonts w:ascii="Arial" w:cs="Arial" w:eastAsia="Arial" w:hAnsi="Arial"/>
          <w:sz w:val="18"/>
          <w:szCs w:val="18"/>
          <w:color w:val="auto"/>
        </w:rPr>
        <w:t>except to the extent of the TI Allowance. If at any time and from time-to-time, the remaining TI Costs under the Budget exceed the remaining unexpended TI Allowance (the "</w:t>
      </w:r>
      <w:r>
        <w:rPr>
          <w:rFonts w:ascii="Arial" w:cs="Arial" w:eastAsia="Arial" w:hAnsi="Arial"/>
          <w:sz w:val="18"/>
          <w:szCs w:val="18"/>
          <w:b w:val="1"/>
          <w:bCs w:val="1"/>
          <w:color w:val="auto"/>
        </w:rPr>
        <w:t>Excess TI Costs</w:t>
      </w:r>
      <w:r>
        <w:rPr>
          <w:rFonts w:ascii="Arial" w:cs="Arial" w:eastAsia="Arial" w:hAnsi="Arial"/>
          <w:sz w:val="18"/>
          <w:szCs w:val="18"/>
          <w:color w:val="auto"/>
        </w:rPr>
        <w:t xml:space="preserve">"), Tenant shall directly pay, without any right to reimbursement from Landlord, any necessary funds to cover such Excess TI Costs, and Tenant shall deliver evidence of such payment to Landlord, before any initial or further TI Allowance is utilized for the Tenant Improvements. Notwithstanding anything to the contrary set forth in this </w:t>
      </w:r>
      <w:r>
        <w:rPr>
          <w:rFonts w:ascii="Arial" w:cs="Arial" w:eastAsia="Arial" w:hAnsi="Arial"/>
          <w:sz w:val="18"/>
          <w:szCs w:val="18"/>
          <w:u w:val="single" w:color="auto"/>
          <w:color w:val="auto"/>
        </w:rPr>
        <w:t>Section 5(d)</w:t>
      </w:r>
      <w:r>
        <w:rPr>
          <w:rFonts w:ascii="Arial" w:cs="Arial" w:eastAsia="Arial" w:hAnsi="Arial"/>
          <w:sz w:val="18"/>
          <w:szCs w:val="18"/>
          <w:color w:val="auto"/>
        </w:rPr>
        <w:t>, Tenant shall be fully and solely liable for TI Costs and the cost of Minor Variations in excess of the TI Allowance.</w:t>
      </w:r>
    </w:p>
    <w:p>
      <w:pPr>
        <w:spacing w:after="0" w:line="183" w:lineRule="exact"/>
        <w:rPr>
          <w:rFonts w:ascii="Arial" w:cs="Arial" w:eastAsia="Arial" w:hAnsi="Arial"/>
          <w:sz w:val="18"/>
          <w:szCs w:val="18"/>
          <w:color w:val="auto"/>
        </w:rPr>
      </w:pPr>
    </w:p>
    <w:p>
      <w:pPr>
        <w:jc w:val="both"/>
        <w:ind w:firstLine="656"/>
        <w:spacing w:after="0" w:line="300" w:lineRule="auto"/>
        <w:tabs>
          <w:tab w:leader="none" w:pos="151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Payment for TI Costs</w:t>
      </w:r>
      <w:r>
        <w:rPr>
          <w:rFonts w:ascii="Arial" w:cs="Arial" w:eastAsia="Arial" w:hAnsi="Arial"/>
          <w:sz w:val="18"/>
          <w:szCs w:val="18"/>
          <w:color w:val="auto"/>
        </w:rPr>
        <w:t>. During the course of design and construction of the Tenant Improvements, Landlord shall reimburse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for TI Costs once a month against a draw request in Landlord's standard form, containing evidence of payment of such TI Costs by Tenant and such certifications, lien waivers (including a conditional lien release for each progress payment and unconditional lien releases for the prior month's progress payments), inspection reports and other matters as Landlord customarily obtains, to the extent of Landlord's approval thereof for payment, no later than 30 days following receipt of such draw request. Upon completion of the Tenant Improvements (and prior to any final disbursement of the TI Allowance), Tenant shall deliver to Landlord: (i) sworn statements setting forth the names of all contractors and first tier subcontractors who did the work and final, unconditional lien waivers from all such contractors and first tier subcontractors; (ii) as-built plans (one copy in print format and two copies in electronic CAD format) for such Tenant Improvements; (iii) a certification of substantial completion in Form AIA G704, (iv) a certificate of occupancy for the Premises; and (v) copies of all operation and maintenance manuals and warranties affecting the Premises. Notwithstanding anything to the contrary contained herein, Tenant shall at all times have not less than a 10% retainage with respect to its general contractor for the Tenant Improvements and as a condition to payment of any draw requests Landlord shall be entitled to confirm that the percentage of work completed is consistent with the percentage of payment then being sought.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271145</wp:posOffset>
            </wp:positionV>
            <wp:extent cx="248729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872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20"/>
          </w:cols>
          <w:pgMar w:left="240" w:top="576" w:right="239" w:bottom="1440" w:gutter="0" w:footer="0" w:header="0"/>
        </w:sectPr>
      </w:pPr>
    </w:p>
    <w:bookmarkStart w:id="70" w:name="page71"/>
    <w:bookmarkEnd w:id="70"/>
    <w:p>
      <w:pPr>
        <w:ind w:left="804" w:hanging="804"/>
        <w:spacing w:after="0"/>
        <w:tabs>
          <w:tab w:leader="none" w:pos="804"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66" w:lineRule="exact"/>
        <w:rPr>
          <w:sz w:val="20"/>
          <w:szCs w:val="20"/>
          <w:color w:val="auto"/>
        </w:rPr>
      </w:pPr>
    </w:p>
    <w:p>
      <w:pPr>
        <w:jc w:val="both"/>
        <w:ind w:left="-656" w:firstLine="656"/>
        <w:spacing w:after="0" w:line="316"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Second Expansion Premises Work Letter,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party shall not unreasonably withhold, condition or delay such consent or approval, except as may be expressly set forth herein to the contrary.</w:t>
      </w:r>
    </w:p>
    <w:p>
      <w:pPr>
        <w:spacing w:after="0" w:line="168" w:lineRule="exact"/>
        <w:rPr>
          <w:rFonts w:ascii="Arial" w:cs="Arial" w:eastAsia="Arial" w:hAnsi="Arial"/>
          <w:sz w:val="18"/>
          <w:szCs w:val="18"/>
          <w:color w:val="auto"/>
        </w:rPr>
      </w:pPr>
    </w:p>
    <w:p>
      <w:pPr>
        <w:ind w:left="-656" w:firstLine="656"/>
        <w:spacing w:after="0" w:line="334"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Modification</w:t>
      </w:r>
      <w:r>
        <w:rPr>
          <w:rFonts w:ascii="Arial" w:cs="Arial" w:eastAsia="Arial" w:hAnsi="Arial"/>
          <w:sz w:val="18"/>
          <w:szCs w:val="18"/>
          <w:color w:val="auto"/>
        </w:rPr>
        <w:t>. No modification, waiver or amendment of this Second Expansion Premises Work Letter or of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or provisions shall be binding upon Landlord or Tenant unless in writing signed by Landlord and Tenant.</w:t>
      </w:r>
    </w:p>
    <w:p>
      <w:pPr>
        <w:spacing w:after="0" w:line="153" w:lineRule="exact"/>
        <w:rPr>
          <w:rFonts w:ascii="Arial" w:cs="Arial" w:eastAsia="Arial" w:hAnsi="Arial"/>
          <w:sz w:val="18"/>
          <w:szCs w:val="18"/>
          <w:color w:val="auto"/>
        </w:rPr>
      </w:pPr>
    </w:p>
    <w:p>
      <w:pPr>
        <w:ind w:left="-656" w:firstLine="656"/>
        <w:spacing w:after="0" w:line="334" w:lineRule="auto"/>
        <w:tabs>
          <w:tab w:leader="none" w:pos="85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 The construction by Tenant of the Tenant Improvements shall be governed by this Second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Expansion Premises Work Letter and the provisions of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of the Lease shall not apply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386080</wp:posOffset>
            </wp:positionV>
            <wp:extent cx="2487295" cy="548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72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764"/>
          </w:cols>
          <w:pgMar w:left="896" w:top="60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ROFR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20320</wp:posOffset>
            </wp:positionV>
            <wp:extent cx="5745480" cy="7263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5480" cy="726376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Gajus V. Worthington, certify that:</w:t>
      </w:r>
    </w:p>
    <w:p>
      <w:pPr>
        <w:spacing w:after="0" w:line="17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1300"/>
        <w:spacing w:after="0"/>
        <w:tabs>
          <w:tab w:leader="none" w:pos="5380" w:val="left"/>
          <w:tab w:leader="none" w:pos="5980" w:val="left"/>
        </w:tabs>
        <w:rPr>
          <w:sz w:val="20"/>
          <w:szCs w:val="20"/>
          <w:color w:val="auto"/>
        </w:rPr>
      </w:pPr>
      <w:r>
        <w:rPr>
          <w:rFonts w:ascii="Arial" w:cs="Arial" w:eastAsia="Arial" w:hAnsi="Arial"/>
          <w:sz w:val="18"/>
          <w:szCs w:val="18"/>
          <w:color w:val="auto"/>
        </w:rPr>
        <w:t>Dated: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31750</wp:posOffset>
            </wp:positionV>
            <wp:extent cx="2667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17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Fluidigm Corporation;</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00" w:right="20" w:hanging="244"/>
        <w:spacing w:after="0" w:line="264"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340" w:hanging="328"/>
        <w:spacing w:after="0" w:line="308" w:lineRule="auto"/>
        <w:tabs>
          <w:tab w:leader="none" w:pos="516"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00" w:right="200" w:hanging="244"/>
        <w:spacing w:after="0" w:line="277"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120"/>
        <w:spacing w:after="0"/>
        <w:tabs>
          <w:tab w:leader="none" w:pos="5880" w:val="left"/>
          <w:tab w:leader="none" w:pos="6480" w:val="left"/>
        </w:tabs>
        <w:rPr>
          <w:sz w:val="20"/>
          <w:szCs w:val="20"/>
          <w:color w:val="auto"/>
        </w:rPr>
      </w:pPr>
      <w:r>
        <w:rPr>
          <w:rFonts w:ascii="Arial" w:cs="Arial" w:eastAsia="Arial" w:hAnsi="Arial"/>
          <w:sz w:val="18"/>
          <w:szCs w:val="18"/>
          <w:color w:val="auto"/>
        </w:rPr>
        <w:t>Dated: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4441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18 U.S.C. § 1350, AS ADOPTED PURSUANT TO SECTION 906 OF THE SARBANES-OXLEY ACT OF 2002</w:t>
      </w:r>
    </w:p>
    <w:p>
      <w:pPr>
        <w:spacing w:after="0" w:line="12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I, Gajus V. Worthington, the chief executive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Gajus V.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Gajus V. Worthington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August 4, 2014</w:t>
      </w:r>
    </w:p>
    <w:p>
      <w:pPr>
        <w:sectPr>
          <w:pgSz w:w="11900" w:h="16838" w:orient="portrait"/>
          <w:cols w:equalWidth="0" w:num="1">
            <w:col w:w="11420"/>
          </w:cols>
          <w:pgMar w:left="240" w:top="58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18 U.S.C. § 1350, AS ADOPTED PURSUANT TO SECTION 906 OF THE SARBANES-OXLEY ACT OF 2002</w:t>
      </w:r>
    </w:p>
    <w:p>
      <w:pPr>
        <w:spacing w:after="0" w:line="12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I, Vikram Jog, the chief financial officer of Fluidigm Corporation (the “Company”), certify for the purposes of 18 U.S.C. Section 1350, as adopted pursuant to Section 906 of the Sarbanes-Oxley Act of 2002, that, to the best of my knowledge,</w:t>
      </w:r>
    </w:p>
    <w:p>
      <w:pPr>
        <w:spacing w:after="0" w:line="35" w:lineRule="exact"/>
        <w:rPr>
          <w:sz w:val="20"/>
          <w:szCs w:val="20"/>
          <w:color w:val="auto"/>
        </w:rPr>
      </w:pPr>
    </w:p>
    <w:p>
      <w:pPr>
        <w:ind w:right="140" w:firstLine="886"/>
        <w:spacing w:after="0" w:line="277" w:lineRule="auto"/>
        <w:tabs>
          <w:tab w:leader="none" w:pos="10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quarter ended June 30, 2014 (the “Report”), fully complies with the requirements of section 13(a) or 15(d) of the Securities Exchange Act of 1934, as amended; and</w:t>
      </w:r>
    </w:p>
    <w:p>
      <w:pPr>
        <w:spacing w:after="0" w:line="35" w:lineRule="exact"/>
        <w:rPr>
          <w:rFonts w:ascii="Arial" w:cs="Arial" w:eastAsia="Arial" w:hAnsi="Arial"/>
          <w:sz w:val="18"/>
          <w:szCs w:val="18"/>
          <w:color w:val="auto"/>
        </w:rPr>
      </w:pPr>
    </w:p>
    <w:p>
      <w:pPr>
        <w:ind w:left="1160" w:hanging="274"/>
        <w:spacing w:after="0"/>
        <w:tabs>
          <w:tab w:leader="none" w:pos="11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46"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102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Vikram Jog</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185"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Date: August 4,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2"/>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
    </w:lvl>
  </w:abstractNum>
  <w:abstractNum w:abstractNumId="22">
    <w:nsid w:val="2463B9EA"/>
    <w:multiLevelType w:val="hybridMultilevel"/>
    <w:lvl w:ilvl="0">
      <w:lvlJc w:val="left"/>
      <w:lvlText w:val="(%1)"/>
      <w:numFmt w:val="decimal"/>
      <w:start w:val="1"/>
    </w:lvl>
  </w:abstractNum>
  <w:abstractNum w:abstractNumId="23">
    <w:nsid w:val="5E884ADC"/>
    <w:multiLevelType w:val="hybridMultilevel"/>
    <w:lvl w:ilvl="0">
      <w:lvlJc w:val="left"/>
      <w:lvlText w:val="%1"/>
      <w:numFmt w:val="lowerRoman"/>
      <w:start w:val="1"/>
    </w:lvl>
    <w:lvl w:ilvl="1">
      <w:lvlJc w:val="left"/>
      <w:lvlText w:val="%2."/>
      <w:numFmt w:val="upperLetter"/>
      <w:start w:val="1"/>
    </w:lvl>
  </w:abstractNum>
  <w:abstractNum w:abstractNumId="24">
    <w:nsid w:val="51EAD36B"/>
    <w:multiLevelType w:val="hybridMultilevel"/>
    <w:lvl w:ilvl="0">
      <w:lvlJc w:val="left"/>
      <w:lvlText w:val="(%1)"/>
      <w:numFmt w:val="lowerRoman"/>
      <w:start w:val="2"/>
    </w:lvl>
    <w:lvl w:ilvl="1">
      <w:lvlJc w:val="left"/>
      <w:lvlText w:val="%2"/>
      <w:numFmt w:val="upperLetter"/>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lowerRoman"/>
      <w:start w:val="2"/>
    </w:lvl>
  </w:abstractNum>
  <w:abstractNum w:abstractNumId="27">
    <w:nsid w:val="153EA438"/>
    <w:multiLevelType w:val="hybridMultilevel"/>
    <w:lvl w:ilvl="0">
      <w:lvlJc w:val="left"/>
      <w:lvlText w:val="%1."/>
      <w:numFmt w:val="decimal"/>
      <w:start w:val="3"/>
    </w:lvl>
  </w:abstractNum>
  <w:abstractNum w:abstractNumId="28">
    <w:nsid w:val="3855585C"/>
    <w:multiLevelType w:val="hybridMultilevel"/>
    <w:lvl w:ilvl="0">
      <w:lvlJc w:val="left"/>
      <w:lvlText w:val="%1."/>
      <w:numFmt w:val="decimal"/>
      <w:start w:val="4"/>
    </w:lvl>
    <w:lvl w:ilvl="1">
      <w:lvlJc w:val="left"/>
      <w:lvlText w:val="%2."/>
      <w:numFmt w:val="lowerLetter"/>
      <w:start w:val="1"/>
    </w:lvl>
  </w:abstractNum>
  <w:abstractNum w:abstractNumId="29">
    <w:nsid w:val="70A64E2A"/>
    <w:multiLevelType w:val="hybridMultilevel"/>
    <w:lvl w:ilvl="0">
      <w:lvlJc w:val="left"/>
      <w:lvlText w:val="%1."/>
      <w:numFmt w:val="decimal"/>
      <w:start w:val="5"/>
    </w:lvl>
  </w:abstractNum>
  <w:abstractNum w:abstractNumId="30">
    <w:nsid w:val="6A2342EC"/>
    <w:multiLevelType w:val="hybridMultilevel"/>
    <w:lvl w:ilvl="0">
      <w:lvlJc w:val="left"/>
      <w:lvlText w:val="%1."/>
      <w:numFmt w:val="decimal"/>
      <w:start w:val="8"/>
    </w:lvl>
    <w:lvl w:ilvl="1">
      <w:lvlJc w:val="left"/>
      <w:lvlText w:val="%2."/>
      <w:numFmt w:val="lowerLetter"/>
      <w:start w:val="1"/>
    </w:lvl>
  </w:abstractNum>
  <w:abstractNum w:abstractNumId="31">
    <w:nsid w:val="2A487CB0"/>
    <w:multiLevelType w:val="hybridMultilevel"/>
    <w:lvl w:ilvl="0">
      <w:lvlJc w:val="left"/>
      <w:lvlText w:val="(%1)"/>
      <w:numFmt w:val="lowerLetter"/>
      <w:start w:val="19"/>
    </w:lvl>
  </w:abstractNum>
  <w:abstractNum w:abstractNumId="32">
    <w:nsid w:val="1D4ED43B"/>
    <w:multiLevelType w:val="hybridMultilevel"/>
    <w:lvl w:ilvl="0">
      <w:lvlJc w:val="left"/>
      <w:lvlText w:val="%1."/>
      <w:numFmt w:val="lowerLetter"/>
      <w:start w:val="4"/>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decimal"/>
      <w:start w:val="2"/>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3"/>
    </w:lvl>
  </w:abstractNum>
  <w:abstractNum w:abstractNumId="38">
    <w:nsid w:val="542289EC"/>
    <w:multiLevelType w:val="hybridMultilevel"/>
    <w:lvl w:ilvl="0">
      <w:lvlJc w:val="left"/>
      <w:lvlText w:val="%1."/>
      <w:numFmt w:val="decimal"/>
      <w:start w:val="3"/>
    </w:lvl>
  </w:abstractNum>
  <w:abstractNum w:abstractNumId="39">
    <w:nsid w:val="6DE91B18"/>
    <w:multiLevelType w:val="hybridMultilevel"/>
    <w:lvl w:ilvl="0">
      <w:lvlJc w:val="left"/>
      <w:lvlText w:val="(%1)"/>
      <w:numFmt w:val="lowerLetter"/>
      <w:start w:val="1"/>
    </w:lvl>
  </w:abstractNum>
  <w:abstractNum w:abstractNumId="40">
    <w:nsid w:val="38437FDB"/>
    <w:multiLevelType w:val="hybridMultilevel"/>
    <w:lvl w:ilvl="0">
      <w:lvlJc w:val="left"/>
      <w:lvlText w:val="(%1)"/>
      <w:numFmt w:val="lowerLetter"/>
      <w:start w:val="3"/>
    </w:lvl>
  </w:abstractNum>
  <w:abstractNum w:abstractNumId="41">
    <w:nsid w:val="7644A45C"/>
    <w:multiLevelType w:val="hybridMultilevel"/>
    <w:lvl w:ilvl="0">
      <w:lvlJc w:val="left"/>
      <w:lvlText w:val="%1."/>
      <w:numFmt w:val="decimal"/>
      <w:start w:val="4"/>
    </w:lvl>
  </w:abstractNum>
  <w:abstractNum w:abstractNumId="42">
    <w:nsid w:val="32FFF902"/>
    <w:multiLevelType w:val="hybridMultilevel"/>
    <w:lvl w:ilvl="0">
      <w:lvlJc w:val="left"/>
      <w:lvlText w:val="(%1)"/>
      <w:numFmt w:val="lowerLetter"/>
      <w:start w:val="1"/>
    </w:lvl>
  </w:abstractNum>
  <w:abstractNum w:abstractNumId="43">
    <w:nsid w:val="684A481A"/>
    <w:multiLevelType w:val="hybridMultilevel"/>
    <w:lvl w:ilvl="0">
      <w:lvlJc w:val="left"/>
      <w:lvlText w:val="%1."/>
      <w:numFmt w:val="decimal"/>
      <w:start w:val="5"/>
    </w:lvl>
  </w:abstractNum>
  <w:abstractNum w:abstractNumId="44">
    <w:nsid w:val="579478FE"/>
    <w:multiLevelType w:val="hybridMultilevel"/>
    <w:lvl w:ilvl="0">
      <w:lvlJc w:val="left"/>
      <w:lvlText w:val="(%1)"/>
      <w:numFmt w:val="lowerLetter"/>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2"/>
    </w:lvl>
  </w:abstractNum>
  <w:abstractNum w:abstractNumId="47">
    <w:nsid w:val="1BA026FA"/>
    <w:multiLevelType w:val="hybridMultilevel"/>
    <w:lvl w:ilvl="0">
      <w:lvlJc w:val="left"/>
      <w:lvlText w:val="(%1)"/>
      <w:numFmt w:val="lowerLetter"/>
      <w:start w:val="3"/>
    </w:lvl>
  </w:abstractNum>
  <w:abstractNum w:abstractNumId="48">
    <w:nsid w:val="79A1DEAA"/>
    <w:multiLevelType w:val="hybridMultilevel"/>
    <w:lvl w:ilvl="0">
      <w:lvlJc w:val="left"/>
      <w:lvlText w:val="%1."/>
      <w:numFmt w:val="decimal"/>
      <w:start w:val="6"/>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Roman"/>
      <w:start w:val="1"/>
    </w:lvl>
  </w:abstractNum>
  <w:abstractNum w:abstractNumId="53">
    <w:nsid w:val="374A3FE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2019-12-07T02:20:56Z</dcterms:created>
  <dcterms:modified xsi:type="dcterms:W3CDTF">2019-12-07T02:20:56Z</dcterms:modified>
</cp:coreProperties>
</file>