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8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170815</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9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186690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360" w:right="880" w:hanging="325"/>
        <w:spacing w:after="0" w:line="256" w:lineRule="auto"/>
        <w:tabs>
          <w:tab w:leader="none" w:pos="3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460" w:right="1260" w:hanging="425"/>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9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283210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FLUIDIGM CORPORATION</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167640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23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82" w:lineRule="exact"/>
        <w:rPr>
          <w:sz w:val="24"/>
          <w:szCs w:val="24"/>
          <w:color w:val="auto"/>
        </w:rPr>
      </w:pPr>
    </w:p>
    <w:p>
      <w:pPr>
        <w:sectPr>
          <w:pgSz w:w="11900" w:h="16838" w:orient="portrait"/>
          <w:cols w:equalWidth="0" w:num="2">
            <w:col w:w="7080" w:space="720"/>
            <w:col w:w="3580"/>
          </w:cols>
          <w:pgMar w:left="240" w:top="233" w:right="279" w:bottom="1440" w:gutter="0" w:footer="0" w:header="0"/>
          <w:type w:val="continuous"/>
        </w:sectPr>
      </w:pPr>
    </w:p>
    <w:p>
      <w:pPr>
        <w:ind w:left="176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4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440"/>
        <w:spacing w:after="0"/>
        <w:rPr>
          <w:sz w:val="20"/>
          <w:szCs w:val="20"/>
          <w:color w:val="auto"/>
        </w:rPr>
      </w:pPr>
      <w:r>
        <w:rPr>
          <w:rFonts w:ascii="Arial" w:cs="Arial" w:eastAsia="Arial" w:hAnsi="Arial"/>
          <w:sz w:val="13"/>
          <w:szCs w:val="13"/>
          <w:b w:val="1"/>
          <w:bCs w:val="1"/>
          <w:color w:val="auto"/>
        </w:rPr>
        <w:t>Identification Number)</w:t>
      </w:r>
    </w:p>
    <w:p>
      <w:pPr>
        <w:spacing w:after="0" w:line="177" w:lineRule="exact"/>
        <w:rPr>
          <w:sz w:val="24"/>
          <w:szCs w:val="24"/>
          <w:color w:val="auto"/>
        </w:rPr>
      </w:pPr>
    </w:p>
    <w:p>
      <w:pPr>
        <w:sectPr>
          <w:pgSz w:w="11900" w:h="16838" w:orient="portrait"/>
          <w:cols w:equalWidth="0" w:num="2">
            <w:col w:w="6800" w:space="720"/>
            <w:col w:w="3860"/>
          </w:cols>
          <w:pgMar w:left="240" w:top="233"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South San Francisco, California 94080</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182245</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p>
      <w:pPr>
        <w:spacing w:after="0" w:line="200" w:lineRule="exact"/>
        <w:rPr>
          <w:sz w:val="24"/>
          <w:szCs w:val="24"/>
          <w:color w:val="auto"/>
        </w:rPr>
      </w:pPr>
    </w:p>
    <w:p>
      <w:pPr>
        <w:spacing w:after="0" w:line="276" w:lineRule="exact"/>
        <w:rPr>
          <w:sz w:val="24"/>
          <w:szCs w:val="24"/>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type w:val="continuous"/>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2060" w:space="720"/>
            <w:col w:w="4660" w:space="720"/>
            <w:col w:w="2220" w:space="720"/>
            <w:col w:w="280"/>
          </w:cols>
          <w:pgMar w:left="240" w:top="233"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5">
            <w:col w:w="2060" w:space="720"/>
            <w:col w:w="160" w:space="80"/>
            <w:col w:w="4420" w:space="720"/>
            <w:col w:w="2220" w:space="720"/>
            <w:col w:w="280"/>
          </w:cols>
          <w:pgMar w:left="240" w:top="233" w:right="279" w:bottom="1440" w:gutter="0" w:footer="0" w:header="0"/>
          <w:type w:val="continuous"/>
        </w:sect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880" w:space="180"/>
            <w:col w:w="2320"/>
          </w:cols>
          <w:pgMar w:left="240" w:top="233" w:right="279" w:bottom="1440" w:gutter="0" w:footer="0" w:header="0"/>
          <w:type w:val="continuous"/>
        </w:sectPr>
      </w:pP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As of October 31, 2014, there were 28,253,970 shares of the Registrant’s common stock outstanding.</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FLUIDIGM CORPORATION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Page</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PART I.</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40" w:type="dxa"/>
            <w:vAlign w:val="bottom"/>
            <w:gridSpan w:val="10"/>
          </w:tcPr>
          <w:p>
            <w:pPr>
              <w:jc w:val="center"/>
              <w:ind w:right="318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gridSpan w:val="6"/>
          </w:tcPr>
          <w:p>
            <w:pPr>
              <w:spacing w:after="0"/>
              <w:rPr>
                <w:sz w:val="20"/>
                <w:szCs w:val="20"/>
                <w:color w:val="auto"/>
              </w:rPr>
            </w:pPr>
            <w:r>
              <w:rPr>
                <w:rFonts w:ascii="Arial" w:cs="Arial" w:eastAsia="Arial" w:hAnsi="Arial"/>
                <w:sz w:val="18"/>
                <w:szCs w:val="18"/>
                <w:color w:val="0000FF"/>
                <w:w w:val="89"/>
              </w:rPr>
              <w:t>Financial Statements (Unaudited)</w:t>
            </w:r>
          </w:p>
        </w:tc>
        <w:tc>
          <w:tcPr>
            <w:tcW w:w="720" w:type="dxa"/>
            <w:vAlign w:val="bottom"/>
          </w:tcPr>
          <w:p>
            <w:pPr>
              <w:spacing w:after="0"/>
              <w:rPr>
                <w:sz w:val="24"/>
                <w:szCs w:val="24"/>
                <w:color w:val="auto"/>
              </w:rPr>
            </w:pPr>
          </w:p>
        </w:tc>
        <w:tc>
          <w:tcPr>
            <w:tcW w:w="2260" w:type="dxa"/>
            <w:vAlign w:val="bottom"/>
            <w:tcBorders>
              <w:top w:val="single" w:sz="8" w:color="0000FF"/>
            </w:tcBorders>
            <w:gridSpan w:val="5"/>
          </w:tcPr>
          <w:p>
            <w:pPr>
              <w:spacing w:after="0"/>
              <w:rPr>
                <w:sz w:val="24"/>
                <w:szCs w:val="24"/>
                <w:color w:val="auto"/>
              </w:rPr>
            </w:pPr>
          </w:p>
        </w:tc>
        <w:tc>
          <w:tcPr>
            <w:tcW w:w="3180" w:type="dxa"/>
            <w:vAlign w:val="bottom"/>
            <w:gridSpan w:val="5"/>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6300" w:type="dxa"/>
            <w:vAlign w:val="bottom"/>
            <w:gridSpan w:val="13"/>
          </w:tcPr>
          <w:p>
            <w:pPr>
              <w:spacing w:after="0"/>
              <w:rPr>
                <w:sz w:val="20"/>
                <w:szCs w:val="20"/>
                <w:color w:val="auto"/>
              </w:rPr>
            </w:pPr>
            <w:r>
              <w:rPr>
                <w:rFonts w:ascii="Arial" w:cs="Arial" w:eastAsia="Arial" w:hAnsi="Arial"/>
                <w:sz w:val="18"/>
                <w:szCs w:val="18"/>
                <w:color w:val="0000FF"/>
                <w:w w:val="88"/>
              </w:rPr>
              <w:t>Condensed Consolidated Balance Sheets - September 30, 2014 and December 31, 2013</w:t>
            </w:r>
          </w:p>
        </w:tc>
        <w:tc>
          <w:tcPr>
            <w:tcW w:w="2280" w:type="dxa"/>
            <w:vAlign w:val="bottom"/>
            <w:gridSpan w:val="4"/>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500" w:type="dxa"/>
            <w:vAlign w:val="bottom"/>
            <w:gridSpan w:val="16"/>
          </w:tcPr>
          <w:p>
            <w:pPr>
              <w:spacing w:after="0"/>
              <w:rPr>
                <w:sz w:val="20"/>
                <w:szCs w:val="20"/>
                <w:color w:val="auto"/>
              </w:rPr>
            </w:pPr>
            <w:r>
              <w:rPr>
                <w:rFonts w:ascii="Arial" w:cs="Arial" w:eastAsia="Arial" w:hAnsi="Arial"/>
                <w:sz w:val="18"/>
                <w:szCs w:val="18"/>
                <w:color w:val="0000FF"/>
                <w:w w:val="88"/>
              </w:rPr>
              <w:t>Condensed Consolidated Statements of Operations for the three and nine months ended September 30, 2014 and 2013</w:t>
            </w:r>
          </w:p>
        </w:tc>
        <w:tc>
          <w:tcPr>
            <w:tcW w:w="80" w:type="dxa"/>
            <w:vAlign w:val="bottom"/>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580" w:type="dxa"/>
            <w:vAlign w:val="bottom"/>
            <w:gridSpan w:val="17"/>
          </w:tcPr>
          <w:p>
            <w:pPr>
              <w:spacing w:after="0"/>
              <w:rPr>
                <w:sz w:val="20"/>
                <w:szCs w:val="20"/>
                <w:color w:val="auto"/>
              </w:rPr>
            </w:pPr>
            <w:r>
              <w:rPr>
                <w:rFonts w:ascii="Arial" w:cs="Arial" w:eastAsia="Arial" w:hAnsi="Arial"/>
                <w:sz w:val="18"/>
                <w:szCs w:val="18"/>
                <w:color w:val="0000FF"/>
                <w:w w:val="89"/>
              </w:rPr>
              <w:t>Condensed Consolidated Statements of Comprehensive Loss for the three and nine months ended September 30, 2014</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8500" w:type="dxa"/>
            <w:vAlign w:val="bottom"/>
            <w:tcBorders>
              <w:top w:val="single" w:sz="8" w:color="0000FF"/>
            </w:tcBorders>
            <w:gridSpan w:val="16"/>
          </w:tcPr>
          <w:p>
            <w:pPr>
              <w:spacing w:after="0" w:line="196" w:lineRule="exact"/>
              <w:rPr>
                <w:sz w:val="20"/>
                <w:szCs w:val="20"/>
                <w:color w:val="auto"/>
              </w:rPr>
            </w:pPr>
            <w:r>
              <w:rPr>
                <w:rFonts w:ascii="Arial" w:cs="Arial" w:eastAsia="Arial" w:hAnsi="Arial"/>
                <w:sz w:val="18"/>
                <w:szCs w:val="18"/>
                <w:color w:val="0000FF"/>
              </w:rPr>
              <w:t>and 2013</w:t>
            </w:r>
          </w:p>
        </w:tc>
        <w:tc>
          <w:tcPr>
            <w:tcW w:w="80" w:type="dxa"/>
            <w:vAlign w:val="bottom"/>
          </w:tcPr>
          <w:p>
            <w:pPr>
              <w:spacing w:after="0"/>
              <w:rPr>
                <w:sz w:val="17"/>
                <w:szCs w:val="17"/>
                <w:color w:val="auto"/>
              </w:rPr>
            </w:pPr>
          </w:p>
        </w:tc>
        <w:tc>
          <w:tcPr>
            <w:tcW w:w="1680" w:type="dxa"/>
            <w:vAlign w:val="bottom"/>
            <w:gridSpan w:val="4"/>
          </w:tcPr>
          <w:p>
            <w:pPr>
              <w:jc w:val="right"/>
              <w:ind w:right="4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7840" w:type="dxa"/>
            <w:vAlign w:val="bottom"/>
            <w:gridSpan w:val="15"/>
          </w:tcPr>
          <w:p>
            <w:pPr>
              <w:spacing w:after="0"/>
              <w:rPr>
                <w:sz w:val="20"/>
                <w:szCs w:val="20"/>
                <w:color w:val="auto"/>
              </w:rPr>
            </w:pPr>
            <w:r>
              <w:rPr>
                <w:rFonts w:ascii="Arial" w:cs="Arial" w:eastAsia="Arial" w:hAnsi="Arial"/>
                <w:sz w:val="18"/>
                <w:szCs w:val="18"/>
                <w:color w:val="0000FF"/>
                <w:w w:val="88"/>
              </w:rPr>
              <w:t>Condensed Consolidated Statements of Cash Flows for the nine months ended September 30, 2014 and 2013</w:t>
            </w:r>
          </w:p>
        </w:tc>
        <w:tc>
          <w:tcPr>
            <w:tcW w:w="740" w:type="dxa"/>
            <w:vAlign w:val="bottom"/>
            <w:gridSpan w:val="2"/>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4000" w:type="dxa"/>
            <w:vAlign w:val="bottom"/>
            <w:gridSpan w:val="9"/>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Notes to Condensed Consolidated Financial Statements</w:t>
              </w:r>
            </w:hyperlink>
          </w:p>
        </w:tc>
        <w:tc>
          <w:tcPr>
            <w:tcW w:w="3840" w:type="dxa"/>
            <w:vAlign w:val="bottom"/>
            <w:gridSpan w:val="6"/>
          </w:tcPr>
          <w:p>
            <w:pPr>
              <w:spacing w:after="0"/>
              <w:rPr>
                <w:sz w:val="24"/>
                <w:szCs w:val="24"/>
                <w:color w:val="auto"/>
              </w:rPr>
            </w:pPr>
          </w:p>
        </w:tc>
        <w:tc>
          <w:tcPr>
            <w:tcW w:w="740" w:type="dxa"/>
            <w:vAlign w:val="bottom"/>
            <w:gridSpan w:val="2"/>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Management’s Discussion and Analysis of Financial Condition and Results of Operations</w:t>
              </w:r>
            </w:hyperlink>
          </w:p>
        </w:tc>
        <w:tc>
          <w:tcPr>
            <w:tcW w:w="2120" w:type="dxa"/>
            <w:vAlign w:val="bottom"/>
            <w:gridSpan w:val="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18</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0"/>
          </w:tcPr>
          <w:p>
            <w:pPr>
              <w:spacing w:after="0"/>
              <w:rPr>
                <w:rFonts w:ascii="Arial" w:cs="Arial" w:eastAsia="Arial" w:hAnsi="Arial"/>
                <w:sz w:val="18"/>
                <w:szCs w:val="18"/>
                <w:color w:val="0000FF"/>
                <w:w w:val="92"/>
              </w:rPr>
            </w:pPr>
            <w:hyperlink w:anchor="page29">
              <w:r>
                <w:rPr>
                  <w:rFonts w:ascii="Arial" w:cs="Arial" w:eastAsia="Arial" w:hAnsi="Arial"/>
                  <w:sz w:val="18"/>
                  <w:szCs w:val="18"/>
                  <w:color w:val="0000FF"/>
                  <w:w w:val="92"/>
                </w:rPr>
                <w:t>Quantitative and Qualitative Disclosures About Market Risk</w:t>
              </w:r>
            </w:hyperlink>
          </w:p>
        </w:tc>
        <w:tc>
          <w:tcPr>
            <w:tcW w:w="2100" w:type="dxa"/>
            <w:vAlign w:val="bottom"/>
            <w:gridSpan w:val="4"/>
          </w:tcPr>
          <w:p>
            <w:pPr>
              <w:spacing w:after="0"/>
              <w:rPr>
                <w:sz w:val="24"/>
                <w:szCs w:val="24"/>
                <w:color w:val="auto"/>
              </w:rPr>
            </w:pPr>
          </w:p>
        </w:tc>
        <w:tc>
          <w:tcPr>
            <w:tcW w:w="2120" w:type="dxa"/>
            <w:vAlign w:val="bottom"/>
            <w:gridSpan w:val="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10"/>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4220" w:type="dxa"/>
            <w:vAlign w:val="bottom"/>
            <w:gridSpan w:val="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40" w:type="dxa"/>
            <w:vAlign w:val="bottom"/>
            <w:gridSpan w:val="10"/>
          </w:tcPr>
          <w:p>
            <w:pPr>
              <w:jc w:val="center"/>
              <w:ind w:right="3160"/>
              <w:spacing w:after="0"/>
              <w:rPr>
                <w:rFonts w:ascii="Arial" w:cs="Arial" w:eastAsia="Arial" w:hAnsi="Arial"/>
                <w:sz w:val="18"/>
                <w:szCs w:val="18"/>
                <w:color w:val="0000FF"/>
                <w:w w:val="96"/>
              </w:rPr>
            </w:pPr>
            <w:hyperlink w:anchor="page30">
              <w:r>
                <w:rPr>
                  <w:rFonts w:ascii="Arial" w:cs="Arial" w:eastAsia="Arial" w:hAnsi="Arial"/>
                  <w:sz w:val="18"/>
                  <w:szCs w:val="18"/>
                  <w:color w:val="0000FF"/>
                  <w:w w:val="96"/>
                </w:rPr>
                <w:t>OTHER INFORMATION</w:t>
              </w:r>
            </w:hyperlink>
          </w:p>
        </w:tc>
        <w:tc>
          <w:tcPr>
            <w:tcW w:w="1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gridSpan w:val="4"/>
          </w:tcPr>
          <w:p>
            <w:pPr>
              <w:spacing w:after="0"/>
              <w:rPr>
                <w:rFonts w:ascii="Arial" w:cs="Arial" w:eastAsia="Arial" w:hAnsi="Arial"/>
                <w:sz w:val="18"/>
                <w:szCs w:val="18"/>
                <w:color w:val="0000FF"/>
                <w:w w:val="88"/>
              </w:rPr>
            </w:pPr>
            <w:hyperlink w:anchor="page31">
              <w:r>
                <w:rPr>
                  <w:rFonts w:ascii="Arial" w:cs="Arial" w:eastAsia="Arial" w:hAnsi="Arial"/>
                  <w:sz w:val="18"/>
                  <w:szCs w:val="18"/>
                  <w:color w:val="0000FF"/>
                  <w:w w:val="88"/>
                </w:rPr>
                <w:t>Legal Proceedings</w:t>
              </w:r>
            </w:hyperlink>
          </w:p>
        </w:tc>
        <w:tc>
          <w:tcPr>
            <w:tcW w:w="2000" w:type="dxa"/>
            <w:vAlign w:val="bottom"/>
            <w:gridSpan w:val="4"/>
          </w:tcPr>
          <w:p>
            <w:pPr>
              <w:spacing w:after="0"/>
              <w:rPr>
                <w:sz w:val="24"/>
                <w:szCs w:val="24"/>
                <w:color w:val="auto"/>
              </w:rPr>
            </w:pPr>
          </w:p>
        </w:tc>
        <w:tc>
          <w:tcPr>
            <w:tcW w:w="1880" w:type="dxa"/>
            <w:vAlign w:val="bottom"/>
            <w:tcBorders>
              <w:top w:val="single" w:sz="8" w:color="0000FF"/>
            </w:tcBorders>
            <w:gridSpan w:val="3"/>
          </w:tcPr>
          <w:p>
            <w:pPr>
              <w:spacing w:after="0"/>
              <w:rPr>
                <w:sz w:val="24"/>
                <w:szCs w:val="24"/>
                <w:color w:val="auto"/>
              </w:rPr>
            </w:pPr>
          </w:p>
        </w:tc>
        <w:tc>
          <w:tcPr>
            <w:tcW w:w="3360" w:type="dxa"/>
            <w:vAlign w:val="bottom"/>
            <w:gridSpan w:val="6"/>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40" w:type="dxa"/>
            <w:vAlign w:val="bottom"/>
            <w:gridSpan w:val="1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134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Risk Factors</w:t>
              </w:r>
            </w:hyperlink>
          </w:p>
        </w:tc>
        <w:tc>
          <w:tcPr>
            <w:tcW w:w="7240" w:type="dxa"/>
            <w:vAlign w:val="bottom"/>
            <w:gridSpan w:val="1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7680" w:type="dxa"/>
            <w:vAlign w:val="bottom"/>
            <w:gridSpan w:val="1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88"/>
              </w:rPr>
            </w:pPr>
            <w:hyperlink w:anchor="page52">
              <w:r>
                <w:rPr>
                  <w:rFonts w:ascii="Arial" w:cs="Arial" w:eastAsia="Arial" w:hAnsi="Arial"/>
                  <w:sz w:val="18"/>
                  <w:szCs w:val="18"/>
                  <w:color w:val="0000FF"/>
                  <w:w w:val="88"/>
                </w:rPr>
                <w:t>Exhibits</w:t>
              </w:r>
            </w:hyperlink>
          </w:p>
        </w:tc>
        <w:tc>
          <w:tcPr>
            <w:tcW w:w="300" w:type="dxa"/>
            <w:vAlign w:val="bottom"/>
          </w:tcPr>
          <w:p>
            <w:pPr>
              <w:spacing w:after="0"/>
              <w:rPr>
                <w:sz w:val="24"/>
                <w:szCs w:val="24"/>
                <w:color w:val="auto"/>
              </w:rPr>
            </w:pPr>
          </w:p>
        </w:tc>
        <w:tc>
          <w:tcPr>
            <w:tcW w:w="768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7980" w:type="dxa"/>
            <w:vAlign w:val="bottom"/>
            <w:gridSpan w:val="1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6"/>
        </w:trPr>
        <w:tc>
          <w:tcPr>
            <w:tcW w:w="1100" w:type="dxa"/>
            <w:vAlign w:val="bottom"/>
            <w:gridSpan w:val="2"/>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SIGNATURES</w:t>
              </w:r>
            </w:hyperlink>
          </w:p>
        </w:tc>
        <w:tc>
          <w:tcPr>
            <w:tcW w:w="8380" w:type="dxa"/>
            <w:vAlign w:val="bottom"/>
            <w:gridSpan w:val="16"/>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54</w:t>
              </w:r>
            </w:hyperlink>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8380" w:type="dxa"/>
            <w:vAlign w:val="bottom"/>
            <w:gridSpan w:val="1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FF"/>
                <w:w w:val="93"/>
              </w:rPr>
            </w:pPr>
            <w:hyperlink w:anchor="page54">
              <w:r>
                <w:rPr>
                  <w:rFonts w:ascii="Arial" w:cs="Arial" w:eastAsia="Arial" w:hAnsi="Arial"/>
                  <w:sz w:val="18"/>
                  <w:szCs w:val="18"/>
                  <w:color w:val="0000FF"/>
                  <w:w w:val="93"/>
                </w:rPr>
                <w:t>EXHIBIT LIST</w:t>
              </w:r>
            </w:hyperlink>
          </w:p>
        </w:tc>
        <w:tc>
          <w:tcPr>
            <w:tcW w:w="8380" w:type="dxa"/>
            <w:vAlign w:val="bottom"/>
            <w:gridSpan w:val="16"/>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55</w:t>
              </w:r>
            </w:hyperlink>
          </w:p>
        </w:tc>
      </w:tr>
      <w:tr>
        <w:trPr>
          <w:trHeight w:val="20"/>
        </w:trPr>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00"/>
          </w:cols>
          <w:pgMar w:left="240" w:top="125" w:right="4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4"/>
                <w:szCs w:val="14"/>
                <w:color w:val="auto"/>
              </w:rPr>
            </w:pPr>
          </w:p>
        </w:tc>
        <w:tc>
          <w:tcPr>
            <w:tcW w:w="1520" w:type="dxa"/>
            <w:vAlign w:val="bottom"/>
          </w:tcPr>
          <w:p>
            <w:pPr>
              <w:jc w:val="center"/>
              <w:ind w:right="252"/>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7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7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(Unaudited)</w:t>
            </w:r>
          </w:p>
        </w:tc>
        <w:tc>
          <w:tcPr>
            <w:tcW w:w="300" w:type="dxa"/>
            <w:vAlign w:val="bottom"/>
          </w:tcPr>
          <w:p>
            <w:pPr>
              <w:spacing w:after="0"/>
              <w:rPr>
                <w:sz w:val="21"/>
                <w:szCs w:val="21"/>
                <w:color w:val="auto"/>
              </w:rPr>
            </w:pPr>
          </w:p>
        </w:tc>
        <w:tc>
          <w:tcPr>
            <w:tcW w:w="1520" w:type="dxa"/>
            <w:vAlign w:val="bottom"/>
          </w:tcPr>
          <w:p>
            <w:pPr>
              <w:jc w:val="center"/>
              <w:ind w:right="212"/>
              <w:spacing w:after="0"/>
              <w:rPr>
                <w:sz w:val="20"/>
                <w:szCs w:val="20"/>
                <w:color w:val="auto"/>
              </w:rPr>
            </w:pPr>
            <w:r>
              <w:rPr>
                <w:rFonts w:ascii="Arial" w:cs="Arial" w:eastAsia="Arial" w:hAnsi="Arial"/>
                <w:sz w:val="14"/>
                <w:szCs w:val="14"/>
                <w:b w:val="1"/>
                <w:bCs w:val="1"/>
                <w:color w:val="auto"/>
                <w:w w:val="95"/>
              </w:rPr>
              <w:t>(Note 2)</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35,261</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64,324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49,083</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Accounts receivable (net of allowances of $35 at September 30, 2014 and $36 at December 31,</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2013)</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16,919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10,552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16,960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8,148</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1,540</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132,820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104,584</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12,668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6,818</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 net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104,245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3,571</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410,393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116,915</w:t>
            </w:r>
          </w:p>
        </w:tc>
      </w:tr>
      <w:tr>
        <w:trPr>
          <w:trHeight w:val="67"/>
        </w:trPr>
        <w:tc>
          <w:tcPr>
            <w:tcW w:w="76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4,353</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6,034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5,485</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Deferred revenue, current portion</w:t>
            </w: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6,630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2,721</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17,951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195,399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4,407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1,899</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255,838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20,501</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Preferred stock, $0.001 par value, 10,000 shares authorized, no shares issued and outstanding at</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September 30, 2014 and December 31, 2013</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rPr>
              <w:t>Common stock, $0.001 par value, 200,000 shares authorized at September 30, 2014 and</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w w:val="93"/>
              </w:rPr>
              <w:t>December 31, 2013; 28,236 and 25,811 shares issued and outstanding as of September 30, 2014</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and December 31, 2013, respectively</w:t>
            </w:r>
          </w:p>
        </w:tc>
        <w:tc>
          <w:tcPr>
            <w:tcW w:w="300" w:type="dxa"/>
            <w:vAlign w:val="bottom"/>
          </w:tcPr>
          <w:p>
            <w:pPr>
              <w:spacing w:after="0"/>
              <w:rPr>
                <w:sz w:val="20"/>
                <w:szCs w:val="20"/>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454,562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354,465</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(299,233)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(257,347)</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154,555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96,414</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410,393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116,915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29,564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18,045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82,492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49,566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License revenue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Grant revenue</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82,966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50,302</w:t>
            </w:r>
          </w:p>
        </w:tc>
        <w:tc>
          <w:tcPr>
            <w:tcW w:w="0" w:type="dxa"/>
            <w:vAlign w:val="bottom"/>
          </w:tcPr>
          <w:p>
            <w:pPr>
              <w:spacing w:after="0"/>
              <w:rPr>
                <w:sz w:val="1"/>
                <w:szCs w:val="1"/>
                <w:color w:val="auto"/>
              </w:rPr>
            </w:pP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 revenue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12,687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5,004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31,707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14,198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34,840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Litigation settlement</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Acquisition-related expenses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42,682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23,239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124,969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64,311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(41,886)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net loss per share, basic and diluted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25,407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net income (loss) on available-for-sale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33</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loss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(13,892)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(41,958)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(11,827)</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9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(41,886)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(11,883)</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1,850</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Acquisition-related share-based awards acceleration expense</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developed technology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Non-cash charges for sale of inventory revalued at the date of acquisition</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non-cash items</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572</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(1,404)</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1,150</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1,526</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(4,829)</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Acquisition, net of cash acquired</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(113,190)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(56,831)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sales and maturities of investments</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41,412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19,140</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investment in Verinata</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 of intangible assets</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(1,043)</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(184,037)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(37,182)</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issuance of convertible notes, net</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195,212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199,296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3,501</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(38,550)</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35,261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58,649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30,939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20,099</w:t>
            </w:r>
          </w:p>
        </w:tc>
      </w:tr>
      <w:tr>
        <w:trPr>
          <w:trHeight w:val="67"/>
        </w:trPr>
        <w:tc>
          <w:tcPr>
            <w:tcW w:w="79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78"/>
        </w:trPr>
        <w:tc>
          <w:tcPr>
            <w:tcW w:w="79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Supplemental cash flow information:</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stock and options related to acquisition</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78,196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94"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 We develop, manufacture, and market life science analytical and preparatory systems for growth markets such as single-cell biology and production genomics. We sell to leading academic institutions, clinical laboratories, and pharmaceutical, biotechnology, and agricultural biotechnology (Ag-Bio) companies worldwide. Our systems are based on proprietary microfluidics and multi-parameter mass cytometry technology, and are designed to significantly simplify experimental workflow, increase throughput, and reduce costs, while providing excellent data quality.</w:t>
      </w:r>
    </w:p>
    <w:p>
      <w:pPr>
        <w:spacing w:after="0" w:line="256" w:lineRule="exact"/>
        <w:rPr>
          <w:sz w:val="20"/>
          <w:szCs w:val="20"/>
          <w:color w:val="auto"/>
        </w:rPr>
      </w:pPr>
    </w:p>
    <w:p>
      <w:pPr>
        <w:ind w:right="784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(U.S. GAAP) and following the requirements of the Securities and Exchange Commission (SEC) for interim reporting. As permitted under those rules, certain footnotes or other financial information that are normally required by U.S. GAAP have been condensed or omitted, and accordingly the balance sheet as of December 31, 2013 has been derived from audited consolidated financial statements at that date but does not include all of the information required by U.S. GAAP for complete financial statements. These financial statements have been prepared on the same basis as our annual financial statements and, in the opinion of management, reflect all adjustments (consisting only of normal recurring adjustments) that are necessary for a fair presentation of our financial information. The results of operations for the three and nine months ended September 30, 2014 are not necessarily indicative of the results to be expected for the year ending December 31, 2014 or for any other interim period or for any other future year.</w:t>
      </w:r>
    </w:p>
    <w:p>
      <w:pPr>
        <w:spacing w:after="0" w:line="112"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preparation of these condensed consolidated financial statements requires us to make estimates and judgments that affect the reported amounts of assets, liabilities, revenue, expenses, and related disclosures. On an ongoing basis, we evaluate our estimates, including critical accounting policies or estimates related to revenue recognition, income tax provisions, stock-based compensation, inventory valuation, allowances for doubtful accounts, and useful lives of long-lived assets. We base our estimates on historical experience and on various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w:t>
      </w:r>
    </w:p>
    <w:p>
      <w:pPr>
        <w:spacing w:after="0" w:line="12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2013 included in our Annual Report on Form 10-K filed with the SEC.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75"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Certain items previously reported in the condensed consolidated statement of cash flows have been reclassified to conform to the current period presentation. Such reclassifications do not impact previously reported net cash used in operating activities, net cash used in investing activities, net cash provided by financing activities, or change in cash and cash equivalents.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9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Restricted stock units and options to purchase common stock are considered to be potentially dilutive common shares but have been excluded from the calculation of diluted net loss per share as their effect is anti-dilutive for all periods presented.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right="220" w:firstLine="432"/>
        <w:spacing w:after="0" w:line="277" w:lineRule="auto"/>
        <w:rPr>
          <w:sz w:val="20"/>
          <w:szCs w:val="20"/>
          <w:color w:val="auto"/>
        </w:rPr>
      </w:pPr>
      <w:r>
        <w:rPr>
          <w:rFonts w:ascii="Arial" w:cs="Arial" w:eastAsia="Arial" w:hAnsi="Arial"/>
          <w:sz w:val="18"/>
          <w:szCs w:val="18"/>
          <w:color w:val="auto"/>
        </w:rPr>
        <w:t>The following potentially dilutive common shares were excluded from the computation of diluted net loss per share for the interim periods presented because including them would have been anti-dilutive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92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ind w:right="4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400" w:type="dxa"/>
            <w:vAlign w:val="bottom"/>
          </w:tcPr>
          <w:p>
            <w:pPr>
              <w:jc w:val="right"/>
              <w:ind w:right="477"/>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400" w:type="dxa"/>
            <w:vAlign w:val="bottom"/>
          </w:tcPr>
          <w:p>
            <w:pPr>
              <w:jc w:val="right"/>
              <w:ind w:right="474"/>
              <w:spacing w:after="0"/>
              <w:rPr>
                <w:sz w:val="20"/>
                <w:szCs w:val="20"/>
                <w:color w:val="auto"/>
              </w:rPr>
            </w:pPr>
            <w:r>
              <w:rPr>
                <w:rFonts w:ascii="Arial" w:cs="Arial" w:eastAsia="Arial" w:hAnsi="Arial"/>
                <w:sz w:val="14"/>
                <w:szCs w:val="14"/>
                <w:b w:val="1"/>
                <w:bCs w:val="1"/>
                <w:color w:val="auto"/>
              </w:rPr>
              <w:t>2013</w:t>
            </w:r>
          </w:p>
        </w:tc>
      </w:tr>
      <w:tr>
        <w:trPr>
          <w:trHeight w:val="250"/>
        </w:trPr>
        <w:tc>
          <w:tcPr>
            <w:tcW w:w="4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Stock options, restricted stock units and restricted stock awards</w:t>
            </w: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3,900</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3,631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3,900</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3,631</w:t>
            </w: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Convertible notes</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3,598</w:t>
            </w:r>
          </w:p>
        </w:tc>
        <w:tc>
          <w:tcPr>
            <w:tcW w:w="1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7,498</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3,631</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7,498</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components of accumulated other comprehensive loss for the nine months ended September 30, 2014 are summarized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 Unrealized Gain</w:t>
            </w:r>
          </w:p>
        </w:tc>
        <w:tc>
          <w:tcPr>
            <w:tcW w:w="120" w:type="dxa"/>
            <w:vAlign w:val="bottom"/>
          </w:tcPr>
          <w:p>
            <w:pPr>
              <w:spacing w:after="0"/>
              <w:rPr>
                <w:sz w:val="14"/>
                <w:szCs w:val="14"/>
                <w:color w:val="auto"/>
              </w:rPr>
            </w:pPr>
          </w:p>
        </w:tc>
        <w:tc>
          <w:tcPr>
            <w:tcW w:w="1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Foreign Currency</w:t>
            </w:r>
          </w:p>
        </w:tc>
        <w:tc>
          <w:tcPr>
            <w:tcW w:w="180" w:type="dxa"/>
            <w:vAlign w:val="bottom"/>
          </w:tcPr>
          <w:p>
            <w:pPr>
              <w:spacing w:after="0"/>
              <w:rPr>
                <w:sz w:val="14"/>
                <w:szCs w:val="14"/>
                <w:color w:val="auto"/>
              </w:rPr>
            </w:pPr>
          </w:p>
        </w:tc>
        <w:tc>
          <w:tcPr>
            <w:tcW w:w="15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9"/>
              </w:rPr>
              <w:t>Accumulated Other</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(Loss) on Marketable</w:t>
            </w:r>
          </w:p>
        </w:tc>
        <w:tc>
          <w:tcPr>
            <w:tcW w:w="1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Translation Adjustment</w:t>
            </w:r>
          </w:p>
        </w:tc>
        <w:tc>
          <w:tcPr>
            <w:tcW w:w="180" w:type="dxa"/>
            <w:vAlign w:val="bottom"/>
          </w:tcPr>
          <w:p>
            <w:pPr>
              <w:spacing w:after="0"/>
              <w:rPr>
                <w:sz w:val="16"/>
                <w:szCs w:val="16"/>
                <w:color w:val="auto"/>
              </w:rPr>
            </w:pPr>
          </w:p>
        </w:tc>
        <w:tc>
          <w:tcPr>
            <w:tcW w:w="1540" w:type="dxa"/>
            <w:vAlign w:val="bottom"/>
          </w:tcPr>
          <w:p>
            <w:pPr>
              <w:jc w:val="right"/>
              <w:ind w:right="134"/>
              <w:spacing w:after="0"/>
              <w:rPr>
                <w:sz w:val="20"/>
                <w:szCs w:val="20"/>
                <w:color w:val="auto"/>
              </w:rPr>
            </w:pPr>
            <w:r>
              <w:rPr>
                <w:rFonts w:ascii="Arial" w:cs="Arial" w:eastAsia="Arial" w:hAnsi="Arial"/>
                <w:sz w:val="14"/>
                <w:szCs w:val="14"/>
                <w:b w:val="1"/>
                <w:bCs w:val="1"/>
                <w:color w:val="auto"/>
                <w:w w:val="91"/>
              </w:rPr>
              <w:t>Comprehensive Loss</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to interest income</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Balance at June 30, 2014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Balance at September 30, 2014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at cost</w:t>
      </w:r>
    </w:p>
    <w:p>
      <w:pPr>
        <w:spacing w:after="0" w:line="175"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7"/>
          <w:szCs w:val="17"/>
          <w:color w:val="auto"/>
        </w:rPr>
        <w:t>In February 2013, Illumina, Inc. acquired Verinata Health, Inc. (Verinata) for $350 million in cash and up to an additional $100 million in milestone payments through 2015. In March 2013, we received cash proceeds of $3.1 million in exchange for our ownership interest in Verinata resulting in a gain of $1.8 million. If the milestone payments become payable in the future, we could receive up to $3.2 million in additional proceeds.</w:t>
      </w:r>
    </w:p>
    <w:p>
      <w:pPr>
        <w:spacing w:after="0" w:line="11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During the third quarter of 2014, we received cash proceeds of $0.3 million from the escrow account related to our investment in Verinata. We recorded the proceeds as "Gain from sale of investment in Verinata" in the accompanying condensed consolidated statements of operations for the three and nine months ended September 30, 2014.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Accounting for business acquisitions requires management to make judgments as to whether a purchase transaction is a multiple element contract, meaning that it includes other transaction components such as a settlement of a preexisting relationship. This judgment and determination affects the amount of consideration paid that is allocable to assets and liabilities acquired in the business purchase transaction.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including Goodwill</w:t>
      </w:r>
    </w:p>
    <w:p>
      <w:pPr>
        <w:spacing w:after="0" w:line="17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first step, we compare the fair value of our reporting unit to its carrying values. If the fair values of our reporting unit exceed the carrying value of the net assets, goodwill is not considered impaired and no further analysis is required. If the carrying values of the net assets exceed the fair values of the reporting unit, then the second step of the impairment test must be performed in order to determine the implied fair value of the goodwill. If the carrying value of the goodwill exceeds the implied fair value, then an impairment loss equal to the difference would be recorded.</w:t>
      </w:r>
    </w:p>
    <w:p>
      <w:pPr>
        <w:spacing w:after="0" w:line="11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evaluate our finite lived intangible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 xml:space="preserve">In February 2013, the Financial Accounting Standards Board (FASB) issued Accounting Standards Update No. 2013-02 Comprehensive Income </w:t>
      </w:r>
      <w:r>
        <w:rPr>
          <w:rFonts w:ascii="Arial" w:cs="Arial" w:eastAsia="Arial" w:hAnsi="Arial"/>
          <w:sz w:val="17"/>
          <w:szCs w:val="17"/>
          <w:i w:val="1"/>
          <w:iCs w:val="1"/>
          <w:color w:val="auto"/>
        </w:rPr>
        <w:t>Reporting of Amounts Reclassified Out of Accumulated Other Comprehensive Income (Topic 220)</w:t>
      </w:r>
      <w:r>
        <w:rPr>
          <w:rFonts w:ascii="Arial" w:cs="Arial" w:eastAsia="Arial" w:hAnsi="Arial"/>
          <w:sz w:val="17"/>
          <w:szCs w:val="17"/>
          <w:color w:val="auto"/>
        </w:rPr>
        <w:t>. This guidance is intended to provide disclosure on items</w:t>
      </w:r>
      <w:r>
        <w:rPr>
          <w:rFonts w:ascii="Arial" w:cs="Arial" w:eastAsia="Arial" w:hAnsi="Arial"/>
          <w:sz w:val="17"/>
          <w:szCs w:val="17"/>
          <w:i w:val="1"/>
          <w:iCs w:val="1"/>
          <w:color w:val="auto"/>
        </w:rPr>
        <w:t xml:space="preserve"> </w:t>
      </w:r>
      <w:r>
        <w:rPr>
          <w:rFonts w:ascii="Arial" w:cs="Arial" w:eastAsia="Arial" w:hAnsi="Arial"/>
          <w:sz w:val="17"/>
          <w:szCs w:val="17"/>
          <w:color w:val="auto"/>
        </w:rPr>
        <w:t>reclassified out of accumulated other comprehensive income (loss) either in the notes or parenthetically on the face of the income statement. There was no impact on our financial statements from adoption, other than the additional disclosures.</w:t>
      </w:r>
    </w:p>
    <w:p>
      <w:pPr>
        <w:spacing w:after="0" w:line="36" w:lineRule="exact"/>
        <w:rPr>
          <w:sz w:val="20"/>
          <w:szCs w:val="20"/>
          <w:color w:val="auto"/>
        </w:rPr>
      </w:pPr>
    </w:p>
    <w:p>
      <w:pPr>
        <w:ind w:right="420" w:firstLine="405"/>
        <w:spacing w:after="0" w:line="259" w:lineRule="auto"/>
        <w:rPr>
          <w:sz w:val="20"/>
          <w:szCs w:val="20"/>
          <w:color w:val="auto"/>
        </w:rPr>
      </w:pPr>
      <w:r>
        <w:rPr>
          <w:rFonts w:ascii="Arial" w:cs="Arial" w:eastAsia="Arial" w:hAnsi="Arial"/>
          <w:sz w:val="18"/>
          <w:szCs w:val="18"/>
          <w:color w:val="auto"/>
        </w:rPr>
        <w:t xml:space="preserve">In May 2014, the FASB issued Accounting Standards Update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This guidance is intended to improve and converge with international standards the financial reporting requirements for revenue from contracts with customers. It will be effective for our first quarter of 2017 and early adoption is not permitted. We are currently evaluating the impact of adoption of this new accounting pronouncement on our financial statements.</w:t>
      </w:r>
    </w:p>
    <w:p>
      <w:pPr>
        <w:spacing w:after="0" w:line="52"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 xml:space="preserve">In August 2014, the FASB issued Accounting Standard Update No. 2014-15, </w:t>
      </w:r>
      <w:r>
        <w:rPr>
          <w:rFonts w:ascii="Arial" w:cs="Arial" w:eastAsia="Arial" w:hAnsi="Arial"/>
          <w:sz w:val="18"/>
          <w:szCs w:val="18"/>
          <w:i w:val="1"/>
          <w:iCs w:val="1"/>
          <w:color w:val="auto"/>
        </w:rPr>
        <w:t>Disclosure of Uncertainties about an Entity's Ability to Continue as a</w:t>
      </w:r>
      <w:r>
        <w:rPr>
          <w:rFonts w:ascii="Arial" w:cs="Arial" w:eastAsia="Arial" w:hAnsi="Arial"/>
          <w:sz w:val="18"/>
          <w:szCs w:val="18"/>
          <w:color w:val="auto"/>
        </w:rPr>
        <w:t xml:space="preserve"> </w:t>
      </w:r>
      <w:r>
        <w:rPr>
          <w:rFonts w:ascii="Arial" w:cs="Arial" w:eastAsia="Arial" w:hAnsi="Arial"/>
          <w:sz w:val="18"/>
          <w:szCs w:val="18"/>
          <w:i w:val="1"/>
          <w:iCs w:val="1"/>
          <w:color w:val="auto"/>
        </w:rPr>
        <w:t>Going Concern</w:t>
      </w:r>
      <w:r>
        <w:rPr>
          <w:rFonts w:ascii="Arial" w:cs="Arial" w:eastAsia="Arial" w:hAnsi="Arial"/>
          <w:sz w:val="18"/>
          <w:szCs w:val="18"/>
          <w:color w:val="auto"/>
        </w:rPr>
        <w:t>, which requires an entity to evaluate whether conditions or events, in the aggregate, raise substantial doubt about the entity's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as a going concern for one year from the date the financial statements are issued or are available to be issued. The guidance will become effective January 1, 2017. At this time, we do not expect the adoption of ASU 2014-15 to have an impact on our consolidated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Convertible Notes</w:t>
      </w:r>
    </w:p>
    <w:p>
      <w:pPr>
        <w:spacing w:after="0" w:line="22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On February 4, 2014, we closed an underwritten public offering of $201.3 million aggregate principal amount of our 2.75% Senior Convertible Notes due 2034 (Notes) pursuant to an underwriting agreement, dated January 29, 2014. The Notes will accrue interest at a rate of 2.75% per year, payable semi-annually in arrears on February 1 and August 1 of each year, commencing August 1, 2014. The Notes will mature on February 1, 2034, unless earlier converted, redeemed, or repurchased in accordance with the terms of the Notes. The initial conversion rate of the Notes is 17.8750 shares of our common stock, par value $0.001 per share, per $1,000 principal amount of Notes (which is equivalent to an initial conversion price of approximately $55.94 per share). The conversion rate will be subject to adjustment upon the occurrence of certain specified events. Holders may surrender their Notes for conversion at any time prior to the stated maturity date. On or after February 6, 2018 and prior to February 6, 2021, we may redeem any or all of the Notes in cash if the closing price of our common stock exceeds 130% of the conversion price for a specified number of days, and on or after February 6, 2021, we may redeem any or all of the Notes in cash without any such condition. The redemption price of the Notes will equal 100% of the principal amount of the Notes plus accrued and unpaid interest. Holders may require us to repurchase all or a portion of their Notes on each of February 6, 2021, February 6, 2024, and February 6, 2029 at a repurchase price in cash equal to 100% of the principal amount of the Notes plus accrued and unpaid interest. If we undergo a fundamental change, as defined in the terms of the Notes, holders may require us to repurchase the Notes in whole or in part for cash at a repurchase price equal to 100% of the principal amount of the Notes plus accrued and unpaid interest.</w:t>
      </w:r>
    </w:p>
    <w:p>
      <w:pPr>
        <w:spacing w:after="0" w:line="8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received $195.2 million, net of underwriting discounts, from the issuance of the Notes and incurred approximately $1.1 million in offering-related expenses. We used $126.0 million of the net proceeds to fund the cash portion of the consideration payable by us in connection with our acquisition of DVS Sciences, Inc. (now Fluidigm Sciences Inc.) (See Note 4). Interest expense related to the Notes was approximately $1.5 million and $3.9 million for the three and nine months ended September 30, 2014, respectively. Approximately $2.7 million of accrued interest under the Notes became due and was paid in the third quarter of 2014.</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121"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On February 13, 2014 (Acquisition Date), we acquired DVS Sciences, Inc. (DVS) primarily to broaden our addressable single-cell biology market opportunity and complement our existing product offerings. DVS develops, manufactures, markets, and sells multi-parameter single-cell protein analysis systems and related reagents and data analysis tools. DVS’s principal market is the life sciences research market consisting of drug development companies, government research centers, and universities worldwide.</w:t>
      </w:r>
    </w:p>
    <w:p>
      <w:pPr>
        <w:spacing w:after="0" w:line="79"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 contractual price for the acquisition was $207.5 million, subject to certain adjustments as specified in the merger agreement. The aggregate purchase price was determined to be $199.9 million, as detailed in the table below (in thousands):</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Estimated Fair Value</w:t>
            </w: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126,048</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Issued 1,759,007 shares of Fluidigm common stock</w:t>
            </w:r>
          </w:p>
        </w:tc>
        <w:tc>
          <w:tcPr>
            <w:tcW w:w="24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76,805</w:t>
            </w: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consideration paid at Acquisition Date</w:t>
            </w:r>
          </w:p>
        </w:tc>
        <w:tc>
          <w:tcPr>
            <w:tcW w:w="2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202,853</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 xml:space="preserve">Accelerated stock compensation </w:t>
            </w:r>
            <w:r>
              <w:rPr>
                <w:rFonts w:ascii="Arial" w:cs="Arial" w:eastAsia="Arial" w:hAnsi="Arial"/>
                <w:sz w:val="12"/>
                <w:szCs w:val="12"/>
                <w:color w:val="auto"/>
              </w:rPr>
              <w:t>(1)</w:t>
            </w:r>
          </w:p>
        </w:tc>
        <w:tc>
          <w:tcPr>
            <w:tcW w:w="2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(6,690)</w:t>
            </w: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Estimated fair value of vested Fluidigm equivalent stock options </w:t>
            </w:r>
            <w:r>
              <w:rPr>
                <w:rFonts w:ascii="Arial" w:cs="Arial" w:eastAsia="Arial" w:hAnsi="Arial"/>
                <w:sz w:val="12"/>
                <w:szCs w:val="12"/>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Working capital adjustment</w:t>
            </w:r>
          </w:p>
        </w:tc>
        <w:tc>
          <w:tcPr>
            <w:tcW w:w="2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57"/>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Aggregate purchase price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199,933</w:t>
            </w: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right="100" w:hanging="328"/>
        <w:spacing w:after="0" w:line="288"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a part of the acquisition, we accelerated vesting of certain DVS stock options and shares of restricted stock, and incurred a $6.7 million expense, based upon the per share consideration paid to holders of shares of DVS common stock as of February 13, 2014. This expense is accounted for as a separate transaction and reflected in the acquisition-related expenses line of the condensed consolidated statements of operations.</w:t>
      </w:r>
    </w:p>
    <w:p>
      <w:pPr>
        <w:ind w:left="660" w:right="1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conjunction with the acquisition, we assumed all outstanding DVS stock options and unvested shares of restricted stock and converted, as of the Acquisition Date, the unvested stock options outstanding under the DVS stock option plan</w:t>
      </w:r>
    </w:p>
    <w:p>
      <w:pPr>
        <w:ind w:left="660" w:right="200"/>
        <w:spacing w:after="0" w:line="292" w:lineRule="auto"/>
        <w:rPr>
          <w:rFonts w:ascii="Arial" w:cs="Arial" w:eastAsia="Arial" w:hAnsi="Arial"/>
          <w:sz w:val="18"/>
          <w:szCs w:val="18"/>
          <w:color w:val="auto"/>
        </w:rPr>
      </w:pPr>
      <w:r>
        <w:rPr>
          <w:rFonts w:ascii="Arial" w:cs="Arial" w:eastAsia="Arial" w:hAnsi="Arial"/>
          <w:sz w:val="16"/>
          <w:szCs w:val="16"/>
          <w:color w:val="auto"/>
        </w:rPr>
        <w:t>into unvested stock options to purchase approximately 143,000 shares of Fluidigm common stock and the unvested DVS restricted stock into approximately 186,000 shares of restricted Fluidigm common stock, retaining the original vesting schedules. The fair value of all converted share-based awards was $14.6 million, of which $4.0 million was attributed to the pre-combination service period and was included in the calculation of the purchase price. The remaining fair value will be recognized over the awards’ remaining vesting periods subsequent to the acquisition. The fair value of the Fluidigm equivalent share-based awards as of the Acquisition Date was estimated using the Black-Scholes valuation model.</w:t>
      </w:r>
    </w:p>
    <w:p>
      <w:pPr>
        <w:spacing w:after="0" w:line="5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Approximately 885,000 shares of Fluidigm common stock, with a fair value of $38.6 million, representing 50.3030% of the shares otherwise payable to the former stockholders of DVS, were deposited into escrow. These shares comprise a portion of the merger consideration and will be held in escrow to secure indemnification obligations under the merger agreement, if any, for a period of 13 to 18 months following the Acquisition Date, subject to any then pending indemnification claims.</w:t>
      </w:r>
    </w:p>
    <w:p>
      <w:pPr>
        <w:spacing w:after="0" w:line="7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Prior to the closing of the acquisition, we closed an underwritten public offering of $201.3 million aggregate principal amount of our Notes (See Note 3) to fund a portion of the cash consideration payable in connection with the acquisition. The results of DVS's operations have been included in the condensed consolidated financial statements for the period from February 13, 2014 to September 30, 2014.</w:t>
      </w:r>
    </w:p>
    <w:p>
      <w:pPr>
        <w:spacing w:after="0" w:line="73"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As of September 30, 2014, the accounting for the acquisition is preliminary due to the ongoing analysis of the developed technology relating to intellectual property rights acquired in connection with the acquisition, associated royalty obligations pursuant to third-party license agreements, and certain tax liabilities. Upon completion of this analysis and during the measurement period, we may record adjustments to the estimated amounts recorded.</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Acquired</w:t>
      </w:r>
    </w:p>
    <w:p>
      <w:pPr>
        <w:spacing w:after="0" w:line="12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that assets acquired and liabilities assumed be recognized at their fair values as of the acquisition date. The following table summarizes the assets acquired and liabilities assumed as of the Acquisition Date (in thousands):</w:t>
      </w:r>
    </w:p>
    <w:p>
      <w:pPr>
        <w:spacing w:after="0" w:line="339"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Allocation of purchase price</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8,405</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7,698</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1,482</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112,000</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104,245</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238,609</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and related benefits</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(1,204)</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Tax payable</w:t>
            </w: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(32,079)</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(1,629)</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57"/>
        </w:trPr>
        <w:tc>
          <w:tcPr>
            <w:tcW w:w="6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199,933</w:t>
            </w: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is a summary of the fair value estimate of the identifiable intangible asset (in thousands) and its useful life:</w:t>
      </w:r>
    </w:p>
    <w:p>
      <w:pPr>
        <w:spacing w:after="0" w:line="167"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32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Useful Life</w:t>
            </w:r>
          </w:p>
        </w:tc>
        <w:tc>
          <w:tcPr>
            <w:tcW w:w="380" w:type="dxa"/>
            <w:vAlign w:val="bottom"/>
          </w:tcPr>
          <w:p>
            <w:pPr>
              <w:spacing w:after="0"/>
              <w:rPr>
                <w:sz w:val="20"/>
                <w:szCs w:val="20"/>
                <w:color w:val="auto"/>
              </w:rPr>
            </w:pPr>
          </w:p>
        </w:tc>
        <w:tc>
          <w:tcPr>
            <w:tcW w:w="21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Estimated Fair Value</w:t>
            </w:r>
          </w:p>
        </w:tc>
      </w:tr>
      <w:tr>
        <w:trPr>
          <w:trHeight w:val="27"/>
        </w:trPr>
        <w:tc>
          <w:tcPr>
            <w:tcW w:w="53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7"/>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3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6"/>
              </w:rPr>
              <w:t>10 years</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112,000</w:t>
            </w:r>
          </w:p>
        </w:tc>
      </w:tr>
      <w:tr>
        <w:trPr>
          <w:trHeight w:val="27"/>
        </w:trPr>
        <w:tc>
          <w:tcPr>
            <w:tcW w:w="5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The $104.2 million of goodwill recognized as part of the transaction is attributable primarily to expected synergies and other benefits from the acquisition and is not expected to be deductible for income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Costs</w:t>
      </w:r>
    </w:p>
    <w:p>
      <w:pPr>
        <w:spacing w:after="0" w:line="17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Acquisition-related expenses were $10.7 million for the nine months ended September 30, 2014 and primarily included accelerated vesting of certain DVS restricted stock and options, and consulting, legal, and investment banking fees. These costs are included within the acquisition-related expenses line of the condensed consolidated statements of operations.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Results</w:t>
      </w:r>
    </w:p>
    <w:p>
      <w:pPr>
        <w:spacing w:after="0" w:line="175" w:lineRule="exact"/>
        <w:rPr>
          <w:sz w:val="20"/>
          <w:szCs w:val="20"/>
          <w:color w:val="auto"/>
        </w:rPr>
      </w:pPr>
    </w:p>
    <w:p>
      <w:pPr>
        <w:ind w:right="440" w:firstLine="405"/>
        <w:spacing w:after="0" w:line="312" w:lineRule="auto"/>
        <w:rPr>
          <w:sz w:val="20"/>
          <w:szCs w:val="20"/>
          <w:color w:val="auto"/>
        </w:rPr>
      </w:pPr>
      <w:r>
        <w:rPr>
          <w:rFonts w:ascii="Arial" w:cs="Arial" w:eastAsia="Arial" w:hAnsi="Arial"/>
          <w:sz w:val="16"/>
          <w:szCs w:val="16"/>
          <w:color w:val="auto"/>
        </w:rPr>
        <w:t>The unaudited financial information in the table below summarizes our results of operations combined with DVS's as though the companies were combined as of the beginning of each of the periods presented. The unaudited pro forma information does not necessarily reflect the actual results of operations had the acquisition been consummated at the beginning of the fiscal reporting periods indicated nor is it indicative of future operating results.</w:t>
      </w:r>
    </w:p>
    <w:p>
      <w:pPr>
        <w:spacing w:after="0" w:line="28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4"/>
          </w:tcPr>
          <w:p>
            <w:pPr>
              <w:jc w:val="right"/>
              <w:ind w:right="79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0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36"/>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6"/>
                <w:szCs w:val="16"/>
                <w:color w:val="auto"/>
              </w:rPr>
            </w:pPr>
          </w:p>
        </w:tc>
        <w:tc>
          <w:tcPr>
            <w:tcW w:w="1140" w:type="dxa"/>
            <w:vAlign w:val="bottom"/>
          </w:tcPr>
          <w:p>
            <w:pPr>
              <w:jc w:val="right"/>
              <w:ind w:right="541"/>
              <w:spacing w:after="0"/>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6"/>
                <w:szCs w:val="16"/>
                <w:color w:val="auto"/>
              </w:rPr>
            </w:pPr>
          </w:p>
        </w:tc>
        <w:tc>
          <w:tcPr>
            <w:tcW w:w="860" w:type="dxa"/>
            <w:vAlign w:val="bottom"/>
          </w:tcPr>
          <w:p>
            <w:pPr>
              <w:jc w:val="right"/>
              <w:ind w:right="476"/>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28"/>
        </w:trPr>
        <w:tc>
          <w:tcPr>
            <w:tcW w:w="4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29,634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25,862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86,755</w:t>
            </w:r>
          </w:p>
        </w:tc>
        <w:tc>
          <w:tcPr>
            <w:tcW w:w="6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68,810</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Pro forma 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(13,790)</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(9,142)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
              <w:spacing w:after="0"/>
              <w:rPr>
                <w:sz w:val="20"/>
                <w:szCs w:val="20"/>
                <w:color w:val="auto"/>
              </w:rPr>
            </w:pPr>
            <w:r>
              <w:rPr>
                <w:rFonts w:ascii="Arial" w:cs="Arial" w:eastAsia="Arial" w:hAnsi="Arial"/>
                <w:sz w:val="18"/>
                <w:szCs w:val="18"/>
                <w:color w:val="auto"/>
              </w:rPr>
              <w:t>(44,305)</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(29,679)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94"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Upon the acquisition of DVS, we acquired $104.2 million of goodwill. There were no changes in goodwill between the Acquisition Date and September 30,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details of our intangible assets related to the DVS acquisition as of September 30, 2014 (in thousands, except years):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112,000</w:t>
            </w:r>
          </w:p>
        </w:tc>
        <w:tc>
          <w:tcPr>
            <w:tcW w:w="4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105,000</w:t>
            </w:r>
          </w:p>
        </w:tc>
        <w:tc>
          <w:tcPr>
            <w:tcW w:w="44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400" w:firstLine="432"/>
        <w:spacing w:after="0" w:line="308" w:lineRule="auto"/>
        <w:rPr>
          <w:sz w:val="20"/>
          <w:szCs w:val="20"/>
          <w:color w:val="auto"/>
        </w:rPr>
      </w:pPr>
      <w:r>
        <w:rPr>
          <w:rFonts w:ascii="Arial" w:cs="Arial" w:eastAsia="Arial" w:hAnsi="Arial"/>
          <w:sz w:val="17"/>
          <w:szCs w:val="17"/>
          <w:color w:val="auto"/>
        </w:rPr>
        <w:t>We recognized $2.8 million and $7.0 million in intangible asset amortization expense during the three and nine months ended September 30, 2014, respectively. The estimated future amortization expense of intangible assets as of September 30, 2014 is as follows (in thousands):</w:t>
      </w:r>
    </w:p>
    <w:p>
      <w:pPr>
        <w:spacing w:after="0" w:line="341"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3000" w:type="dxa"/>
            <w:vAlign w:val="bottom"/>
            <w:tcBorders>
              <w:bottom w:val="single" w:sz="8" w:color="CCEEFF"/>
            </w:tcBorders>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 (remainder of year)</w:t>
            </w:r>
          </w:p>
        </w:tc>
        <w:tc>
          <w:tcPr>
            <w:tcW w:w="4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2015</w:t>
            </w:r>
          </w:p>
        </w:tc>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2017</w:t>
            </w:r>
          </w:p>
        </w:tc>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57,400</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shd w:val="clear" w:color="auto" w:fill="CCEEFF"/>
          </w:tcPr>
          <w:p>
            <w:pPr>
              <w:spacing w:after="0"/>
              <w:rPr>
                <w:sz w:val="22"/>
                <w:szCs w:val="22"/>
                <w:color w:val="auto"/>
              </w:rPr>
            </w:pPr>
          </w:p>
        </w:tc>
        <w:tc>
          <w:tcPr>
            <w:tcW w:w="4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240" w:type="dxa"/>
            <w:vAlign w:val="bottom"/>
            <w:vMerge w:val="restart"/>
          </w:tcPr>
          <w:p>
            <w:pPr>
              <w:jc w:val="right"/>
              <w:ind w:right="281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00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Balance Sheet Details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560" w:type="dxa"/>
            <w:vAlign w:val="bottom"/>
          </w:tcPr>
          <w:p>
            <w:pPr>
              <w:jc w:val="right"/>
              <w:ind w:right="43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2013</w:t>
            </w: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2,650</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1,627</w:t>
            </w:r>
          </w:p>
        </w:tc>
      </w:tr>
      <w:tr>
        <w:trPr>
          <w:trHeight w:val="27"/>
        </w:trPr>
        <w:tc>
          <w:tcPr>
            <w:tcW w:w="7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3,871</w:t>
            </w:r>
          </w:p>
        </w:tc>
      </w:tr>
      <w:tr>
        <w:trPr>
          <w:trHeight w:val="237"/>
        </w:trPr>
        <w:tc>
          <w:tcPr>
            <w:tcW w:w="75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16,960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8,148</w:t>
            </w:r>
          </w:p>
        </w:tc>
      </w:tr>
      <w:tr>
        <w:trPr>
          <w:trHeight w:val="27"/>
        </w:trPr>
        <w:tc>
          <w:tcPr>
            <w:tcW w:w="7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Property and Equipment, net</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31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7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2,728</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Laboratory and manufacturing equipment</w:t>
            </w: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15,839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13,972</w:t>
            </w: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1,485</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Office furniture and fixtures</w:t>
            </w: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822</w:t>
            </w:r>
          </w:p>
        </w:tc>
      </w:tr>
      <w:tr>
        <w:trPr>
          <w:trHeight w:val="27"/>
        </w:trPr>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19,007</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(14,470)</w:t>
            </w: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2,281</w:t>
            </w:r>
          </w:p>
        </w:tc>
      </w:tr>
      <w:tr>
        <w:trPr>
          <w:trHeight w:val="257"/>
        </w:trPr>
        <w:tc>
          <w:tcPr>
            <w:tcW w:w="7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12,668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6,818</w:t>
            </w: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a basis for considering fair value, we follow a three-tier value hierarchy, which prioritizes the inputs used in measuring fair value as follows: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III: unobservable inputs in which there is little or no market data, which requires us to develop our own assumptions.</w:t>
      </w:r>
    </w:p>
    <w:p>
      <w:pPr>
        <w:spacing w:after="0" w:line="17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Our cash equivalents, which include money market funds, are classified as Level I because they are valued using quoted market prices. Our investments are generally classified as Level II because their value is based on valuations using significant inputs derived from or corroborated by observable market data. Depending on the security, the income and market approaches are used in the model driven valuations. Inputs of these models include recently executed transaction prices in securities of the issuer or comparable issuers and yield curves.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our financial instruments that were measured at fair value by level within the fair value hierarchy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September 30, 2014</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2013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I</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II</w:t>
            </w:r>
          </w:p>
        </w:tc>
        <w:tc>
          <w:tcPr>
            <w:tcW w:w="18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III</w:t>
            </w:r>
          </w:p>
        </w:tc>
        <w:tc>
          <w:tcPr>
            <w:tcW w:w="220" w:type="dxa"/>
            <w:vAlign w:val="bottom"/>
          </w:tcPr>
          <w:p>
            <w:pPr>
              <w:spacing w:after="0"/>
              <w:rPr>
                <w:sz w:val="22"/>
                <w:szCs w:val="22"/>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II</w:t>
            </w:r>
          </w:p>
        </w:tc>
        <w:tc>
          <w:tcPr>
            <w:tcW w:w="18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III</w:t>
            </w:r>
          </w:p>
        </w:tc>
        <w:tc>
          <w:tcPr>
            <w:tcW w:w="240" w:type="dxa"/>
            <w:vAlign w:val="bottom"/>
          </w:tcPr>
          <w:p>
            <w:pPr>
              <w:spacing w:after="0"/>
              <w:rPr>
                <w:sz w:val="22"/>
                <w:szCs w:val="22"/>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10,564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10,564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17,547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17,547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government and agency</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116,286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116,286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51,025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51,025</w:t>
            </w:r>
          </w:p>
        </w:tc>
        <w:tc>
          <w:tcPr>
            <w:tcW w:w="0" w:type="dxa"/>
            <w:vAlign w:val="bottom"/>
          </w:tcPr>
          <w:p>
            <w:pPr>
              <w:spacing w:after="0"/>
              <w:rPr>
                <w:sz w:val="1"/>
                <w:szCs w:val="1"/>
                <w:color w:val="auto"/>
              </w:rPr>
            </w:pPr>
          </w:p>
        </w:tc>
      </w:tr>
      <w:tr>
        <w:trPr>
          <w:trHeight w:val="205"/>
        </w:trPr>
        <w:tc>
          <w:tcPr>
            <w:tcW w:w="242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5"/>
              </w:rPr>
              <w:t>Total assets measured at fair</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10,564</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116,286</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126,850</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17,547</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51,025</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68,572</w:t>
            </w:r>
          </w:p>
        </w:tc>
        <w:tc>
          <w:tcPr>
            <w:tcW w:w="0" w:type="dxa"/>
            <w:vAlign w:val="bottom"/>
          </w:tcPr>
          <w:p>
            <w:pPr>
              <w:spacing w:after="0"/>
              <w:rPr>
                <w:sz w:val="1"/>
                <w:szCs w:val="1"/>
                <w:color w:val="auto"/>
              </w:rPr>
            </w:pPr>
          </w:p>
        </w:tc>
      </w:tr>
      <w:tr>
        <w:trPr>
          <w:trHeight w:val="246"/>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rPr>
              <w:t>value</w:t>
            </w:r>
          </w:p>
        </w:tc>
        <w:tc>
          <w:tcPr>
            <w:tcW w:w="22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There were no significant transfers in and out of Level I and Level II fair value measurement categories during the three and nine months ended September 30, 2014 and 2013.</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investments at September 30, 2014 and December 31, 2013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September 30, 2014</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3"/>
                <w:szCs w:val="13"/>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Gain</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28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5"/>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116,279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116,286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December 31, 2013</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3"/>
                <w:szCs w:val="13"/>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Gain</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28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5"/>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51,012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51,025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The contractual maturity dates of $64.3 million of our investments are within one year from September 30, 2014. The contractual maturity dates of our remaining securities are less than eighteen months from September 30, 2014.</w:t>
      </w:r>
    </w:p>
    <w:p>
      <w:pPr>
        <w:spacing w:after="0" w:line="3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Based on an evaluation of securities that were in a loss position, we did not recognize any other-than-temporary impairment charges for the three and nine months ended September 30, 2014 and 2013. All of these investments have been in a continuous loss position for less than 12 months. Our conclusion that these losses are not “other-than-temporary” is based on the high credit quality of the securities, their short remaining maturity and our intent and ability to hold such securities until the date of recovery of their respective market values or maturity.</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our cash and cash equivalents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2014</w:t>
            </w:r>
          </w:p>
        </w:tc>
        <w:tc>
          <w:tcPr>
            <w:tcW w:w="22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December 31, 2013</w:t>
            </w:r>
          </w:p>
        </w:tc>
      </w:tr>
      <w:tr>
        <w:trPr>
          <w:trHeight w:val="250"/>
        </w:trPr>
        <w:tc>
          <w:tcPr>
            <w:tcW w:w="8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17,714</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10,564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17,547</w:t>
            </w:r>
          </w:p>
        </w:tc>
      </w:tr>
      <w:tr>
        <w:trPr>
          <w:trHeight w:val="27"/>
        </w:trPr>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35,261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September 30, 2014, we had approximately $0.1 million in restricted cash which is included in other non-current assets on the condensed consolidated balance sheets.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Line of Credit</w:t>
      </w:r>
    </w:p>
    <w:p>
      <w:pPr>
        <w:spacing w:after="0" w:line="17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 bank line of credit, as amended, provides us with the ability to borrow up to $10.0 million, of which $6.0 million is available on a non-formula basis, subject to certain covenants and other restrictions. The balance of $4.0 million is available based on eligible receivables. The line of credit expires in December 2014 and is collateralized by our assets, excluding our intellectual property, and bears interest at a rate equal to the greater of (i) 3.75% or (ii) the prime rate plus 0.50% per year. On May 9, 2014, we entered into a modification agreement with the lender to amend and waive certain financial covenants under the financing agreement, effective as of March 31, 2014. On July 31, 2014, we entered into a modification agreement with the lender to amend and waive the financial covenant under the financing agreement regarding our effective tangible net worth amount, which cannot at any time exceed a deficit of more than $100.0 million, effective as of June 30, 2014. Except to the extent specifically amended pursuant to the modification agreements, the financing agreement remains in full force and effect. As of September 30, 2014, there was no outstanding balance on the line of credit and we were in compliance with all applicable covenants under the financing agreement.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7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On April 9, 2013, we entered into an amendment (the 2013 Amendment) to the lease agreement dated September 14, 2010 (as amended, the Lease) relating to the lease of office and laboratory space at our corporate headquarters located in South San Francisco, California. The 2013 Amendment provided for an expansion of the premises covered under the Lease, effective April 1, 2014; an extension of the term of the Lease to April 30, 2020 with an option to renew for an additional five years; payment of base rent with rent escalation; and payment of certain operating expenses during the term of the Lease. The 2013 Amendment also provided for an allowance of approximately $0.7 million for tenant improvements, which, to the extent not used by March 31, 2015, will be used to offset base rent obligations, and an additional allowance of approximately $0.5 million for tenant improvements, which, if used, will be repaid in equal monthly payments with interest at a rate of 9% per annum over the remaining term of the Lease.</w:t>
      </w:r>
    </w:p>
    <w:p>
      <w:pPr>
        <w:spacing w:after="0" w:line="12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On June 4, 2014, we entered into an additional amendment to the Lease (the June 2014 Amendment), which provided for an expansion of the premises covered under the Lease by approximately 13,000 square feet, effective October 1, 2014; payment of base rent with rent escalation; and payment of certain operating expenses during the term of the Lease. The June 2014 Amendment also provided for an allowance of approximately $0.2 million for tenant improvements, which, to the extent not used by March 31, 2015, will be used to offset base rent obligations, and an additional allowance of approximately $0.1 million for tenant improvements, which, if used, will be repaid in equal monthly payments with interest at a rate of 9% per annum over the remaining term of the Lease. The total future minimum lease payments for the additional space, which will be paid through April 2020, are approximately $2.5 million as of September 30, 2014.</w:t>
      </w:r>
    </w:p>
    <w:p>
      <w:pPr>
        <w:spacing w:after="0" w:line="13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On September 15, 2014, we entered into an additional amendment to the Lease (the September 2014 Amendment), which provided for an expansion of the premises covered under the Lease by approximately 9,000 square feet, effective October 1, 2014; payment of base rent with rent escalation; and payment of certain operating expenses during the term of the Lease. The September 2014 Amendment also provided for an allowance of approximately $0.2 million for tenant improvements. The total future minimum lease payments for the additional space, which will be paid through April 2020, are approximately $1.7 million as of September 30, 2014.</w:t>
      </w:r>
    </w:p>
    <w:p>
      <w:pPr>
        <w:spacing w:after="0" w:line="134"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On October 14, 2013, Fluidigm Singapore Pte. Ltd., our wholly-owned subsidiary (Fluidigm Singapore), accepted an offer of tenancy (Lease) from HSBC Institutional Trust Services (Singapore) Limited, as trustee of Ascendas Real Estate Investment Trust (Landlord), relating to the lease of a new facility located in Singapore. Pursuant to the terms of the Lease, Fluidigm Singapore took possession of the facility commencing on March 3, 2014 for a term of 99 months, and the Lease and rental obligations thereunder commenced on June 3, 2014. The Lease also provides Fluidigm Singapore with an option to renew the Lease for an additional 60 months at the then prevailing market rent, and on similar terms as the existing Lease. In June 2014, Fluidigm Singapore leased additional space of approximately 2,400 square feet in the same building as the new facility on the same terms as the Lease. We completed the consolidation of our Singapore manufacturing operations in the new space in July 2014 and the site qualification was completed in August 2014. The leases relating to our prior manufacturing facility in Singapore terminated on August 31, 2014. The total future minimum lease payments for the additional space, which will be paid through June 2022, are approximately $259,000 as of September 30, 2014.</w:t>
      </w:r>
    </w:p>
    <w:p>
      <w:pPr>
        <w:spacing w:after="0" w:line="4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 connection with our acquisition of DVS (See Note 4), we assumed the operating leases for facilities in Sunnyvale, California and Markham, Ontario, Canada, which expire in January 2016 and July 2016, respectively. The Canada lease includes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125" w:right="2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 option to renew the lease for an additional five years at the then prevailing market rent, and on similar terms as the existing lease. We recognize rent expense on a straight-line basis over the non-cancelable lease term. The total future minimum lease payments for the assumed operating leases in Sunnyvale, California and Markham, Ontario, Canada are approximately $550,000 as of September 30, 2014.</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w:t>
      </w:r>
    </w:p>
    <w:p>
      <w:pPr>
        <w:spacing w:after="0" w:line="17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accrue for estimated warranty obligations at the time of product shipment. Management periodically reviews the estimated fair value of its warranty liability and records adjustments based on the terms of warranties provided to customers, historical and anticipated warranty claim experience. Activity for our warranty accrual for the three and nine months ended September 30, 2014 and 2013, which is included in other accrued liabilities, is summarized below (in thousands):</w:t>
      </w:r>
    </w:p>
    <w:p>
      <w:pPr>
        <w:spacing w:after="0" w:line="27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92"/>
        </w:trPr>
        <w:tc>
          <w:tcPr>
            <w:tcW w:w="4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264"/>
        </w:trPr>
        <w:tc>
          <w:tcPr>
            <w:tcW w:w="48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257</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Acquired warranty obligation from DVS</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accrual, net</w:t>
            </w: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r>
      <w:tr>
        <w:trPr>
          <w:trHeight w:val="264"/>
        </w:trPr>
        <w:tc>
          <w:tcPr>
            <w:tcW w:w="48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2"/>
                <w:szCs w:val="22"/>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313</w:t>
            </w:r>
          </w:p>
        </w:tc>
      </w:tr>
      <w:tr>
        <w:trPr>
          <w:trHeight w:val="20"/>
        </w:trPr>
        <w:tc>
          <w:tcPr>
            <w:tcW w:w="4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From time to time, we may be subject to various legal proceedings and claims arising in the ordinary course of business. We assess contingencies to determine the degree of probability and range of possible loss for potential accrual in our financial statements. An estimated loss contingency is accrued in the financial statements if it is probable that a liability has been incurred and the amount of the loss can be reasonably estimated.</w:t>
      </w:r>
    </w:p>
    <w:p>
      <w:pPr>
        <w:spacing w:after="0" w:line="93"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On November 6, 2012, we filed a complaint against NanoString Technologies, Inc., or NanoString, in the United States District Court in the Northern District of California (Civil Action No. 12-5712), alleging claims of false advertising, unfair competition, and unlawful trade practice in violation of the Lanham Act and corresponding sections of the California Business &amp; Professions Code. Our complaint sought to enjoin NanoString from continuing to make or disseminate any of the false and misleading claims, misrepresenting and/or exaggerating the performance of its product in comparison with our BioMark System, to require NanoString to retract, remove, or correct the false and misleading advertising claims, and to recover damages and other relief for harm caused to us by NanoString. We also filed a lawsuit against NanoString in the High Court of the Republic of Singapore (Case No. S 282/2013) on April 5, 2013 alleging malicious falsehood in advertising and trademark infringement and sought relief similar to the relief sought in our complaint filed in the United States. On September 30, 2013, we and NanoString agreed to settle the lawsuits. The terms of the settlement require NanoString to, among other things, pay us $0.6 million, remove all references - from its marketing materials, website, and promotional activities - to a single-cell comparison study comparing Fluidigm and NanoString single-cell products, as well as recall and destroy all materials related to and/or based on the study. The case brought in the United States District Court in the Northern District of California was dismissed on October 22, 2013, and the case brought in Singapore was discontinued on October 29, 2013.</w:t>
      </w:r>
    </w:p>
    <w:p>
      <w:pPr>
        <w:spacing w:after="0" w:line="126"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Pursuant to the terms of a patent cross license agreement with Applied Biosystems, LLC (a subsidiary of Life Technologies Corporation, or Life, and now part of Thermo Fisher Scientific), we were obligated to make a $1.0 million payment to Life upon satisfaction of certain conditions. We do not believe that the conditions triggering the payment obligation have been met; however, on October 16, 2013, Life provided notice that the $1.0 million payment was due and payable under the license agreement. We accrued a loss contingency of $1.0 million on September 30, 2013 and on January 30, 2014, we paid Life the amount due while reserving our rights with respect to such matter. Among other reasons, we made the payment to avoid what would have been, in our view, an improper termination of our license to certain Life patent filings under the agreement, which could have subjected our relevant product lines to risks associated with patent infringement litigation.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During the three and nine months ended September 30, 2014, we granted certain employees options to purchase 22,000 and 425,000 shares of common stock, respectively. The options granted during the three months ended September 30, 2014 had exercise prices ranging from $27.00 to $28.63 and a total grant date fair value of $0.3 million. The options granted during the nine months ended September 30, 2014 had exercise prices ranging from $27.00 to $47.55 and a total grant date fair value of $10.1 million.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During the three and nine months ended September 30, 2014, we granted certain employees 42,000 and 365,000 restricted stock units, respectively. The restricted stock units granted during the three months ended September 30, 2014 had fair market values ranging from $24.50 to $31.26 and a total grant date fair value of $1.2 million. The restricted stock units granted during the nine months ended September 30, 2014 had fair market values ranging from $24.50 to $47.55 and a total grant date fair value of $15.9 million. The fair value of restricted stock units is determined based on the value of the underlying common stock on the date of grant.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expenses relating to these options and restricted stock units will be recognized over their respective four-year vesting periods.</w:t>
      </w:r>
    </w:p>
    <w:p>
      <w:pPr>
        <w:spacing w:after="0" w:line="171"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We recognized stock-based compensation expense of $6.0 million and $1.7 million during the three months ended September 30, 2014 and 2013, respectively. We recognized stock-based compensation expense of $15.3 million and $4.7 million during the nine months ended September 30, 2014 and 2013, respectively. As of September 30, 2014, we had $20.1 million and $15.9 million of unrecognized stock-based compensation costs related to stock options and restricted stock units, respectively, which are expected to be recognized over a weighted average period of 2.5 years and 3.0 years, respectively.</w:t>
      </w:r>
    </w:p>
    <w:p>
      <w:pPr>
        <w:spacing w:after="0" w:line="100"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In conjunction with the DVS acquisition, we assumed all outstanding DVS stock options and unvested shares of restricted stock (See Note 4). As of September 30, 2014, we had $1.5 million and $2.4 million of unrecognized stock-based compensation costs related to the assumed stock options and restricted stock, respectively, which are expected to be recognized over a remaining weighted average period of 1.6 years and 0.4 years,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Income taxes are primarily comprised of state and foreign income taxes. The provision or benefit for income taxes for the periods presented differs from the 34% U.S. Federal statutory rate primarily due to maintaining a valuation allowance for U.S. losses and tax assets, which we do not consider to be realizable. Income tax expense primarily consists of amounts payable in foreign jurisdictions. As a result of the intangible assets arising from the DVS acquisition (See Note 4), we recorded foreign and California deferred tax liabilities of approximately $30.0 million and approximately $2.0 million, respectively. The related valuation allowance associated with our California deferred tax assets was released and recorded as an income tax benefit in the quarter ended March 31, 2014. Additional tax benefit was recorded in the quarter ended September 30, 2014 attributable to the acquired entity's operating losses and its related deferred tax liabilities from the amortization of acquired intangible assets.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Information about Geographic Areas</w:t>
      </w:r>
    </w:p>
    <w:p>
      <w:pPr>
        <w:spacing w:after="0" w:line="17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operate in one reporting segment, which is the development, manufacturing, and commercialization of life science analytical and preparatory systems consisting of instruments and consumables for academic institutions, clinical laboratories, and pharmaceutical, biotechnology, and Ag-Bio companies in growth markets, such as single-cell biology and production genomics.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our product revenue by geography based on the billing address of our customers for each period presented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68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47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27,213</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8,077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21,991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11,899</w:t>
            </w:r>
          </w:p>
        </w:tc>
      </w:tr>
      <w:tr>
        <w:trPr>
          <w:trHeight w:val="27"/>
        </w:trPr>
        <w:tc>
          <w:tcPr>
            <w:tcW w:w="4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4,504</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2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9,496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4,375</w:t>
            </w:r>
          </w:p>
        </w:tc>
      </w:tr>
      <w:tr>
        <w:trPr>
          <w:trHeight w:val="27"/>
        </w:trPr>
        <w:tc>
          <w:tcPr>
            <w:tcW w:w="4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1,575</w:t>
            </w: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29,564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18,045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82,492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49,566</w:t>
            </w:r>
          </w:p>
        </w:tc>
      </w:tr>
      <w:tr>
        <w:trPr>
          <w:trHeight w:val="27"/>
        </w:trPr>
        <w:tc>
          <w:tcPr>
            <w:tcW w:w="4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Our license and grant revenues are primarily generated in the United States. No individual customer represented more than 10% of our revenues for the three and nine month periods ended September 30, 2014 and 2013.</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operating and other expenses, unit sales, business strategies, financing plans, expansion of our business,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24"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Form 10-Q, and in our Annual Report on Form 10-K filed with the Securities and Exchange Commission, or SEC. Given these uncertainties, you should not place undue reliance on these forward-looking statements. Also, forward-looking statements represent our management’s beliefs and assumptions only as of the date of this Form 10-Q.</w:t>
      </w:r>
    </w:p>
    <w:p>
      <w:pPr>
        <w:spacing w:after="0" w:line="10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1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i w:val="1"/>
          <w:iCs w:val="1"/>
          <w:color w:val="auto"/>
        </w:rPr>
        <w:t>“Fluidigm,” the Fluidigm logo, “BioMark,” “Access Array,” “C</w:t>
      </w:r>
      <w:r>
        <w:rPr>
          <w:rFonts w:ascii="Arial" w:cs="Arial" w:eastAsia="Arial" w:hAnsi="Arial"/>
          <w:sz w:val="12"/>
          <w:szCs w:val="12"/>
          <w:i w:val="1"/>
          <w:iCs w:val="1"/>
          <w:color w:val="auto"/>
        </w:rPr>
        <w:t>1</w:t>
      </w:r>
      <w:r>
        <w:rPr>
          <w:rFonts w:ascii="Arial" w:cs="Arial" w:eastAsia="Arial" w:hAnsi="Arial"/>
          <w:sz w:val="18"/>
          <w:szCs w:val="18"/>
          <w:i w:val="1"/>
          <w:iCs w:val="1"/>
          <w:color w:val="auto"/>
        </w:rPr>
        <w:t>,” “CyTOF,” “EP1,” “SNPtype,” and “DELTAgene” are trademarks or registered trademarks of Fluidigm Corporation. Other service marks, trademarks, and trade names referred to in this Form 10-Q are the property of their respective owners.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 this Form 10-Q, “we,” “us” and “our” refer to Fluidigm Corporation and its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develop, manufacture, and market life science analytical and preparatory systems for growth markets such as single-cell biology and production genomics. We sell to leading academic institutions, clinical laboratories, and pharmaceutical, biotechnology, and agricultural biotechnology, or Ag-Bio, companies worldwide. Our systems are based on proprietary microfluidics and multi-parameter mass cytometry technology, and are designed to significantly simplify experimental workflow, increase throughput, and reduce costs, while providing excellent data quality. We have sold approximately 1,230 systems to customers in 35 countries worldwide (including 74 instruments sold by DVS prior to our acquisition in February 2014).</w:t>
      </w:r>
    </w:p>
    <w:p>
      <w:pPr>
        <w:spacing w:after="0" w:line="119"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We have launched several product lines since 2006, including systems for gene expression analysis, genotyping, digital polymerase chain reaction, or digital PCR, single nucleotide polymorphism genotyping, or SNP genotyping, target enrichment, high-throughput gene expression analysis, targeted single-cell gene expression analysis, and single-cell sample preparation. In May 2011, we launched assay products for gene expression and genotyping, and primers for targeted next-generation DNA sequencing. Our genomics systems utilize one or more integrated fluidic circuits, or IFCs, designed for particular applications and include specialized instrumentation and software, as well as assays and other reagents for certain applications. Additionally, pursuant to our acquisition of DVS Sciences, Inc. (now Fluidigm Sciences Inc.), or DVS, on February 13, 2014, we now also develop, manufacture, market, and sell multi-parameter single-cell protein analysis systems and related reagents and data analysis tools.</w:t>
      </w:r>
    </w:p>
    <w:p>
      <w:pPr>
        <w:spacing w:after="0" w:line="12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primarily located in Singapore and Canada. Our facility in Singapore manufactures our genomics analytical and preparatory instruments, several of which are assembled at facilities of our contract manufacturers in Singapore, with testing and calibration of the assembled products performed at our Singapore facility. All of our IFCs for commercial sale and some IFCs for our research and development purposes are also fabricated at our Singapore facility. Our proteomics analytical instruments are manufactured at our facility in Canada, and our assays and reagents for commercial sale and IFCs for our research and development purposes are manufactured at our facilities in South San Francisco and Sunnyvale, California.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Our total revenue grew from $52.3 million in 2012 to $71.2 million in 2013, and for the nine months ended September 30, 2014, our total revenue was $83.0 million. We have incurred significant net losses since our inception in 1999 and, as of September 30, 2014, our accumulated deficit was $299.2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9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condensed consolidated financial statements and the related notes included elsewhere in this Form 10-Q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there are material differences between these estimates and actual results, our future financial statement presentation, financial condition, results of operations, and cash flows will be affected.</w:t>
      </w:r>
    </w:p>
    <w:p>
      <w:pPr>
        <w:spacing w:after="0" w:line="12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Except as otherwise disclosed, there have been no material changes in our critical accounting policies and estimates in the preparation of our condensed consolidated financial statements during the nine months ended September 30, 2014 compared to those disclosed in our Annual Report on Form 10-K for the year ended December 31, 2013, as filed with the SEC on March 12, 2014.</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nine months ended September 30, 2014, we have revised or added the following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Accounting for business acquisitions requires management to make judgments as to whether a purchase transaction is a multiple element contract, meaning that it includes other transaction components such as a settlement of a preexisting relationship. This judgment and determination affects the amount of consideration paid that is allocable to assets and liabilities acquired in the business purchase transaction.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including Goodwill</w:t>
      </w:r>
    </w:p>
    <w:p>
      <w:pPr>
        <w:spacing w:after="0" w:line="171"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values. If the fair values of our reporting unit exceed the carrying value of the net assets, goodwill is not considered impaired and no further analysis is required. If the carrying values of the net assets exceed the fair values of the reporting unit, then the second step of the impairment test must be performed in order to determine the implied fair value of the goodwill. If the carrying value of the goodwill exceeds the implied fair value, then an impairment loss equal to the difference would be recorded.</w:t>
      </w:r>
    </w:p>
    <w:p>
      <w:pPr>
        <w:spacing w:after="0" w:line="112"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evaluate our finite lived intangible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our historical condensed consolidated statements of operations data for the three and nine months ended September 30, 2014 and 2013, and as a percentage of total revenue for the respective period ($ in thousands):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3"/>
              </w:rPr>
              <w:t>Three Months Ended</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5"/>
          </w:tcPr>
          <w:p>
            <w:pPr>
              <w:ind w:left="280"/>
              <w:spacing w:after="0"/>
              <w:rPr>
                <w:sz w:val="20"/>
                <w:szCs w:val="20"/>
                <w:color w:val="auto"/>
              </w:rPr>
            </w:pPr>
            <w:r>
              <w:rPr>
                <w:rFonts w:ascii="Arial" w:cs="Arial" w:eastAsia="Arial" w:hAnsi="Arial"/>
                <w:sz w:val="16"/>
                <w:szCs w:val="16"/>
                <w:b w:val="1"/>
                <w:bCs w:val="1"/>
                <w:color w:val="auto"/>
              </w:rPr>
              <w:t>Nine months ended</w:t>
            </w:r>
          </w:p>
        </w:tc>
        <w:tc>
          <w:tcPr>
            <w:tcW w:w="820" w:type="dxa"/>
            <w:vAlign w:val="bottom"/>
          </w:tcPr>
          <w:p>
            <w:pPr>
              <w:spacing w:after="0"/>
              <w:rPr>
                <w:sz w:val="18"/>
                <w:szCs w:val="18"/>
                <w:color w:val="auto"/>
              </w:rPr>
            </w:pPr>
          </w:p>
        </w:tc>
      </w:tr>
      <w:tr>
        <w:trPr>
          <w:trHeight w:val="297"/>
        </w:trPr>
        <w:tc>
          <w:tcPr>
            <w:tcW w:w="2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r>
      <w:tr>
        <w:trPr>
          <w:trHeight w:val="264"/>
        </w:trPr>
        <w:tc>
          <w:tcPr>
            <w:tcW w:w="25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5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29,635</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100 %</w:t>
            </w:r>
          </w:p>
        </w:tc>
        <w:tc>
          <w:tcPr>
            <w:tcW w:w="1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18,287</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100 %</w:t>
            </w:r>
          </w:p>
        </w:tc>
        <w:tc>
          <w:tcPr>
            <w:tcW w:w="1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82,966</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100 %</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50,302</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50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11,421</w:t>
            </w:r>
          </w:p>
        </w:tc>
        <w:tc>
          <w:tcPr>
            <w:tcW w:w="120" w:type="dxa"/>
            <w:vAlign w:val="bottom"/>
          </w:tcPr>
          <w:p>
            <w:pPr>
              <w:spacing w:after="0"/>
              <w:rPr>
                <w:sz w:val="21"/>
                <w:szCs w:val="21"/>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5,138</w:t>
            </w:r>
          </w:p>
        </w:tc>
        <w:tc>
          <w:tcPr>
            <w:tcW w:w="120" w:type="dxa"/>
            <w:vAlign w:val="bottom"/>
          </w:tcPr>
          <w:p>
            <w:pPr>
              <w:spacing w:after="0"/>
              <w:rPr>
                <w:sz w:val="21"/>
                <w:szCs w:val="21"/>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30,080</w:t>
            </w:r>
          </w:p>
        </w:tc>
        <w:tc>
          <w:tcPr>
            <w:tcW w:w="100" w:type="dxa"/>
            <w:vAlign w:val="bottom"/>
          </w:tcPr>
          <w:p>
            <w:pPr>
              <w:spacing w:after="0"/>
              <w:rPr>
                <w:sz w:val="21"/>
                <w:szCs w:val="21"/>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14,273</w:t>
            </w:r>
          </w:p>
        </w:tc>
        <w:tc>
          <w:tcPr>
            <w:tcW w:w="120" w:type="dxa"/>
            <w:vAlign w:val="bottom"/>
          </w:tcPr>
          <w:p>
            <w:pPr>
              <w:spacing w:after="0"/>
              <w:rPr>
                <w:sz w:val="21"/>
                <w:szCs w:val="21"/>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28</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31,707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14,198</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28</w:t>
            </w:r>
          </w:p>
        </w:tc>
      </w:tr>
      <w:tr>
        <w:trPr>
          <w:trHeight w:val="229"/>
        </w:trPr>
        <w:tc>
          <w:tcPr>
            <w:tcW w:w="2500" w:type="dxa"/>
            <w:vAlign w:val="bottom"/>
          </w:tcPr>
          <w:p>
            <w:pPr>
              <w:ind w:left="180"/>
              <w:spacing w:after="0"/>
              <w:rPr>
                <w:sz w:val="20"/>
                <w:szCs w:val="20"/>
                <w:color w:val="auto"/>
              </w:rPr>
            </w:pPr>
            <w:r>
              <w:rPr>
                <w:rFonts w:ascii="Arial" w:cs="Arial" w:eastAsia="Arial" w:hAnsi="Arial"/>
                <w:sz w:val="18"/>
                <w:szCs w:val="18"/>
                <w:color w:val="auto"/>
              </w:rPr>
              <w:t>Selling, general and</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500" w:type="dxa"/>
            <w:vAlign w:val="bottom"/>
          </w:tcPr>
          <w:p>
            <w:pPr>
              <w:ind w:left="18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18,574</w:t>
            </w:r>
          </w:p>
        </w:tc>
        <w:tc>
          <w:tcPr>
            <w:tcW w:w="120" w:type="dxa"/>
            <w:vAlign w:val="bottom"/>
          </w:tcPr>
          <w:p>
            <w:pPr>
              <w:spacing w:after="0"/>
              <w:rPr>
                <w:sz w:val="20"/>
                <w:szCs w:val="20"/>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12,097</w:t>
            </w:r>
          </w:p>
        </w:tc>
        <w:tc>
          <w:tcPr>
            <w:tcW w:w="120" w:type="dxa"/>
            <w:vAlign w:val="bottom"/>
          </w:tcPr>
          <w:p>
            <w:pPr>
              <w:spacing w:after="0"/>
              <w:rPr>
                <w:sz w:val="20"/>
                <w:szCs w:val="20"/>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52,486</w:t>
            </w:r>
          </w:p>
        </w:tc>
        <w:tc>
          <w:tcPr>
            <w:tcW w:w="100" w:type="dxa"/>
            <w:vAlign w:val="bottom"/>
          </w:tcPr>
          <w:p>
            <w:pPr>
              <w:spacing w:after="0"/>
              <w:rPr>
                <w:sz w:val="20"/>
                <w:szCs w:val="20"/>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34,840</w:t>
            </w:r>
          </w:p>
        </w:tc>
        <w:tc>
          <w:tcPr>
            <w:tcW w:w="120" w:type="dxa"/>
            <w:vAlign w:val="bottom"/>
          </w:tcPr>
          <w:p>
            <w:pPr>
              <w:spacing w:after="0"/>
              <w:rPr>
                <w:sz w:val="20"/>
                <w:szCs w:val="20"/>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70</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r>
      <w:tr>
        <w:trPr>
          <w:trHeight w:val="243"/>
        </w:trPr>
        <w:tc>
          <w:tcPr>
            <w:tcW w:w="2500" w:type="dxa"/>
            <w:vAlign w:val="bottom"/>
          </w:tcPr>
          <w:p>
            <w:pPr>
              <w:ind w:left="180"/>
              <w:spacing w:after="0"/>
              <w:rPr>
                <w:sz w:val="20"/>
                <w:szCs w:val="20"/>
                <w:color w:val="auto"/>
              </w:rPr>
            </w:pPr>
            <w:r>
              <w:rPr>
                <w:rFonts w:ascii="Arial" w:cs="Arial" w:eastAsia="Arial" w:hAnsi="Arial"/>
                <w:sz w:val="18"/>
                <w:szCs w:val="18"/>
                <w:color w:val="auto"/>
                <w:w w:val="99"/>
              </w:rPr>
              <w:t>Acquisition-related expenses</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10,696</w:t>
            </w:r>
          </w:p>
        </w:tc>
        <w:tc>
          <w:tcPr>
            <w:tcW w:w="100" w:type="dxa"/>
            <w:vAlign w:val="bottom"/>
          </w:tcPr>
          <w:p>
            <w:pPr>
              <w:spacing w:after="0"/>
              <w:rPr>
                <w:sz w:val="21"/>
                <w:szCs w:val="21"/>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2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42,682</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144</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23,239</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127</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124,969</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150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64,311</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128</w:t>
            </w:r>
          </w:p>
        </w:tc>
      </w:tr>
      <w:tr>
        <w:trPr>
          <w:trHeight w:val="237"/>
        </w:trPr>
        <w:tc>
          <w:tcPr>
            <w:tcW w:w="2500" w:type="dxa"/>
            <w:vAlign w:val="bottom"/>
          </w:tcPr>
          <w:p>
            <w:pPr>
              <w:ind w:left="380"/>
              <w:spacing w:after="0"/>
              <w:rPr>
                <w:sz w:val="20"/>
                <w:szCs w:val="20"/>
                <w:color w:val="auto"/>
              </w:rPr>
            </w:pPr>
            <w:r>
              <w:rPr>
                <w:rFonts w:ascii="Arial" w:cs="Arial" w:eastAsia="Arial" w:hAnsi="Arial"/>
                <w:sz w:val="18"/>
                <w:szCs w:val="18"/>
                <w:color w:val="auto"/>
              </w:rPr>
              <w:t>Loss from operations</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(13,047)</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(4,952)</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(42,003)</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(14,009)</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(28)</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2500" w:type="dxa"/>
            <w:vAlign w:val="bottom"/>
          </w:tcPr>
          <w:p>
            <w:pPr>
              <w:ind w:left="180"/>
              <w:spacing w:after="0"/>
              <w:rPr>
                <w:sz w:val="20"/>
                <w:szCs w:val="20"/>
                <w:color w:val="auto"/>
              </w:rPr>
            </w:pPr>
            <w:r>
              <w:rPr>
                <w:rFonts w:ascii="Arial" w:cs="Arial" w:eastAsia="Arial" w:hAnsi="Arial"/>
                <w:sz w:val="18"/>
                <w:szCs w:val="18"/>
                <w:color w:val="auto"/>
                <w:w w:val="92"/>
              </w:rPr>
              <w:t>Gain from sale of investment in</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500" w:type="dxa"/>
            <w:vAlign w:val="bottom"/>
          </w:tcPr>
          <w:p>
            <w:pPr>
              <w:ind w:left="180"/>
              <w:spacing w:after="0"/>
              <w:rPr>
                <w:sz w:val="20"/>
                <w:szCs w:val="20"/>
                <w:color w:val="auto"/>
              </w:rPr>
            </w:pPr>
            <w:r>
              <w:rPr>
                <w:rFonts w:ascii="Arial" w:cs="Arial" w:eastAsia="Arial" w:hAnsi="Arial"/>
                <w:sz w:val="18"/>
                <w:szCs w:val="18"/>
                <w:color w:val="auto"/>
              </w:rPr>
              <w:t>Verinata</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0"/>
                <w:szCs w:val="20"/>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1,777</w:t>
            </w:r>
          </w:p>
        </w:tc>
        <w:tc>
          <w:tcPr>
            <w:tcW w:w="120" w:type="dxa"/>
            <w:vAlign w:val="bottom"/>
          </w:tcPr>
          <w:p>
            <w:pPr>
              <w:spacing w:after="0"/>
              <w:rPr>
                <w:sz w:val="20"/>
                <w:szCs w:val="20"/>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3</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r>
      <w:tr>
        <w:trPr>
          <w:trHeight w:val="237"/>
        </w:trPr>
        <w:tc>
          <w:tcPr>
            <w:tcW w:w="2500" w:type="dxa"/>
            <w:vAlign w:val="bottom"/>
          </w:tcPr>
          <w:p>
            <w:pPr>
              <w:ind w:left="380"/>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(14,506)</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(4,244)</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(45,873)</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(11,788)</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(24)</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from (provision for)</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2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3,987</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57"/>
        </w:trPr>
        <w:tc>
          <w:tcPr>
            <w:tcW w:w="2500" w:type="dxa"/>
            <w:vAlign w:val="bottom"/>
          </w:tcPr>
          <w:p>
            <w:pPr>
              <w:ind w:left="38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(13,790)</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(4,286)</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(41,886)</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(11,883)</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generate revenue from sales of our products, license agreements, and government grants. Our product revenue consists of sales of instruments and related services, and consumables, including IFCs, assays, and other reagents. We have entered into license agreements and have received government grants to conduct research and development activities.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7"/>
                <w:szCs w:val="17"/>
                <w:color w:val="auto"/>
              </w:rPr>
            </w:pPr>
          </w:p>
        </w:tc>
        <w:tc>
          <w:tcPr>
            <w:tcW w:w="1720" w:type="dxa"/>
            <w:vAlign w:val="bottom"/>
            <w:gridSpan w:val="4"/>
          </w:tcPr>
          <w:p>
            <w:pPr>
              <w:jc w:val="right"/>
              <w:ind w:right="193"/>
              <w:spacing w:after="0"/>
              <w:rPr>
                <w:sz w:val="20"/>
                <w:szCs w:val="20"/>
                <w:color w:val="auto"/>
              </w:rPr>
            </w:pPr>
            <w:r>
              <w:rPr>
                <w:rFonts w:ascii="Arial" w:cs="Arial" w:eastAsia="Arial" w:hAnsi="Arial"/>
                <w:sz w:val="16"/>
                <w:szCs w:val="16"/>
                <w:b w:val="1"/>
                <w:bCs w:val="1"/>
                <w:color w:val="auto"/>
                <w:w w:val="95"/>
              </w:rPr>
              <w:t>Nine Months Ended</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5"/>
          </w:tcPr>
          <w:p>
            <w:pPr>
              <w:ind w:left="3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720" w:type="dxa"/>
            <w:vAlign w:val="bottom"/>
            <w:gridSpan w:val="4"/>
          </w:tcPr>
          <w:p>
            <w:pPr>
              <w:jc w:val="right"/>
              <w:ind w:right="333"/>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500" w:type="dxa"/>
            <w:vAlign w:val="bottom"/>
            <w:tcBorders>
              <w:bottom w:val="single" w:sz="8" w:color="CCEEFF"/>
            </w:tcBorders>
          </w:tcPr>
          <w:p>
            <w:pPr>
              <w:spacing w:after="0"/>
              <w:rPr>
                <w:sz w:val="22"/>
                <w:szCs w:val="22"/>
                <w:color w:val="auto"/>
              </w:rPr>
            </w:pPr>
          </w:p>
        </w:tc>
        <w:tc>
          <w:tcPr>
            <w:tcW w:w="39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Revenue:</w:t>
            </w:r>
          </w:p>
        </w:tc>
        <w:tc>
          <w:tcPr>
            <w:tcW w:w="3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4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17,850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10,894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48,327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28,964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39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34,165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20,602</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39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29,564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18,045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82,492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49,566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 revenue</w:t>
            </w:r>
          </w:p>
        </w:tc>
        <w:tc>
          <w:tcPr>
            <w:tcW w:w="3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Grant revenue</w:t>
            </w:r>
          </w:p>
        </w:tc>
        <w:tc>
          <w:tcPr>
            <w:tcW w:w="3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4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82,966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50,302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 presents our product revenue by geography and as a percentage of total product revenue by geography based on the billing address of our customers for each period presented ($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9"/>
          </w:tcPr>
          <w:p>
            <w:pPr>
              <w:jc w:val="right"/>
              <w:ind w:right="60"/>
              <w:spacing w:after="0"/>
              <w:rPr>
                <w:sz w:val="20"/>
                <w:szCs w:val="20"/>
                <w:color w:val="auto"/>
              </w:rPr>
            </w:pPr>
            <w:r>
              <w:rPr>
                <w:rFonts w:ascii="Arial" w:cs="Arial" w:eastAsia="Arial" w:hAnsi="Arial"/>
                <w:sz w:val="16"/>
                <w:szCs w:val="16"/>
                <w:b w:val="1"/>
                <w:bCs w:val="1"/>
                <w:color w:val="auto"/>
              </w:rPr>
              <w:t>Three Months Ended September 30,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gridSpan w:val="9"/>
          </w:tcPr>
          <w:p>
            <w:pPr>
              <w:jc w:val="right"/>
              <w:ind w:right="80"/>
              <w:spacing w:after="0"/>
              <w:rPr>
                <w:sz w:val="20"/>
                <w:szCs w:val="20"/>
                <w:color w:val="auto"/>
              </w:rPr>
            </w:pPr>
            <w:r>
              <w:rPr>
                <w:rFonts w:ascii="Arial" w:cs="Arial" w:eastAsia="Arial" w:hAnsi="Arial"/>
                <w:sz w:val="16"/>
                <w:szCs w:val="16"/>
                <w:b w:val="1"/>
                <w:bCs w:val="1"/>
                <w:color w:val="auto"/>
              </w:rPr>
              <w:t>Nine Months Ended September 30,</w:t>
            </w:r>
          </w:p>
        </w:tc>
        <w:tc>
          <w:tcPr>
            <w:tcW w:w="52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8"/>
        </w:trPr>
        <w:tc>
          <w:tcPr>
            <w:tcW w:w="39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8,077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21,991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11,899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9,496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4,375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392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29,564</w:t>
            </w: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18,045</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100%</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82,492</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49,566</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100%</w:t>
            </w:r>
          </w:p>
        </w:tc>
      </w:tr>
      <w:tr>
        <w:trPr>
          <w:trHeight w:val="20"/>
        </w:trPr>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0" w:firstLine="432"/>
        <w:spacing w:after="0" w:line="312" w:lineRule="auto"/>
        <w:rPr>
          <w:sz w:val="20"/>
          <w:szCs w:val="20"/>
          <w:color w:val="auto"/>
        </w:rPr>
      </w:pPr>
      <w:r>
        <w:rPr>
          <w:rFonts w:ascii="Arial" w:cs="Arial" w:eastAsia="Arial" w:hAnsi="Arial"/>
          <w:sz w:val="16"/>
          <w:szCs w:val="16"/>
          <w:color w:val="auto"/>
        </w:rPr>
        <w:t>Our customers include academic research institutions, clinical laboratories, and pharmaceutical, biotechnology, and Ag-Bio companies worldwide. Total revenue from our five largest customers in each of the periods presented comprised 15% and 16% of our total revenue in the three and nine months ended September 30, 2014, respectively, and 21% and 18% of our total revenue in the three and nine months ended September 30, 2013,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2014 and September 30, 2013</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Total revenue increased by $11.3 million, or 62%, to $29.6 million for the three months ended September 30, 2014, compared to $18.3 million for the three months ended September 30, 2013.</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Product revenue increased by $11.5 million, or 64%, to $29.6 million for the three months ended September 30, 2014, compared to $18.0 million for the three months ended September 30, 2013.</w:t>
      </w:r>
    </w:p>
    <w:p>
      <w:pPr>
        <w:spacing w:after="0" w:line="116"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Instrument revenue increased by $7.0 million, or 64%, primarily driven by the impact of our CyTOF 2 systems which we commenced selling upon the acquisition of DVS, and increased net unit sales of both preparatory and analytical systems. Higher sales of service offerings, including service related to CyTOF 2 systems, also contributed to the increase in instrument revenue. Instrument revenue growth, excluding revenue attributable to the recently acquired operations of DVS, was 29% for the three months ended September 30, 2014 compared to the comparable period in 2013.</w:t>
      </w:r>
    </w:p>
    <w:p>
      <w:pPr>
        <w:spacing w:after="0" w:line="10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Consumables revenue increased by $4.6 million, or 64%, primarily due to growth in IFC sales. Sales from our recently acquired antibody consumables and, to a lesser extent, higher sales of our reagents and assays also contributed to the overall increase in consumables revenue. Consumables revenue growth, excluding revenue attributable to the recently acquired operations of DVS, was 48% for the three months ended September 30, 2014 compared to the same period in 2013 driven equally by growth in production genomics and single-cell genomics applications. Annualized IFC pull-through for our genomics analytical systems was within our historical range of $40,000 to $50,000 per system and our expected range of $15,000 to $25,000 per system for our genomics preparatory systems. Annualized consumables pull-through for our proteomics analytical systems was within the historical range of $50,000 to $70,000 per system.</w:t>
      </w:r>
    </w:p>
    <w:p>
      <w:pPr>
        <w:spacing w:after="0" w:line="135"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expect total unit sales of both instruments and consumables to increase over time as we continue our efforts to grow our customer base, expand our geographic market coverage, and launch new products. However, we expect the average selling prices of our products to fluctuate over time based on market conditions, product mix, and currency fluctuations.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Grant revenue consists of a grant from California Institute for Regenerative Medicine, or CIRM. Our CIRM grant was awarded in 2011 in the amount of $1.9 million to be earned over a three-year period which ended in April 2014. The CIRM grant revenue is recognized as the related research and development services are performed and costs associated with the grants are recognized as research and development expense during the period incurred.</w:t>
      </w:r>
    </w:p>
    <w:p>
      <w:pPr>
        <w:spacing w:after="0" w:line="93"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We did not receive any grant revenue for the three months ended September 30, 2014. Grant revenue was $164,000 for the three months ended September 30,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our cost of product revenue and product margin for each period presented (in thousands, other than percentages):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Three Months Ended</w:t>
            </w:r>
          </w:p>
        </w:tc>
        <w:tc>
          <w:tcPr>
            <w:tcW w:w="1160" w:type="dxa"/>
            <w:vAlign w:val="bottom"/>
          </w:tcPr>
          <w:p>
            <w:pPr>
              <w:spacing w:after="0"/>
              <w:rPr>
                <w:sz w:val="17"/>
                <w:szCs w:val="17"/>
                <w:color w:val="auto"/>
              </w:rPr>
            </w:pPr>
          </w:p>
        </w:tc>
      </w:tr>
      <w:tr>
        <w:trPr>
          <w:trHeight w:val="210"/>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gridSpan w:val="3"/>
          </w:tcPr>
          <w:p>
            <w:pPr>
              <w:jc w:val="right"/>
              <w:ind w:right="170"/>
              <w:spacing w:after="0"/>
              <w:rPr>
                <w:sz w:val="20"/>
                <w:szCs w:val="20"/>
                <w:color w:val="auto"/>
              </w:rPr>
            </w:pPr>
            <w:r>
              <w:rPr>
                <w:rFonts w:ascii="Arial" w:cs="Arial" w:eastAsia="Arial" w:hAnsi="Arial"/>
                <w:sz w:val="16"/>
                <w:szCs w:val="16"/>
                <w:b w:val="1"/>
                <w:bCs w:val="1"/>
                <w:color w:val="auto"/>
              </w:rPr>
              <w:t>September 30,</w:t>
            </w:r>
          </w:p>
        </w:tc>
        <w:tc>
          <w:tcPr>
            <w:tcW w:w="1160" w:type="dxa"/>
            <w:vAlign w:val="bottom"/>
          </w:tcPr>
          <w:p>
            <w:pPr>
              <w:spacing w:after="0"/>
              <w:rPr>
                <w:sz w:val="18"/>
                <w:szCs w:val="18"/>
                <w:color w:val="auto"/>
              </w:rPr>
            </w:pPr>
          </w:p>
        </w:tc>
      </w:tr>
      <w:tr>
        <w:trPr>
          <w:trHeight w:val="33"/>
        </w:trPr>
        <w:tc>
          <w:tcPr>
            <w:tcW w:w="7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8"/>
        </w:trPr>
        <w:tc>
          <w:tcPr>
            <w:tcW w:w="75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2013</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8"/>
              </w:rPr>
              <w:t>11,421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5,138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17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royalty costs for licensed technologies included in our products, warranty, service, provisions for slow-moving and obsolete inventory, and stock-based compensation expense. Costs related to license and grant revenue are included in research and development expense.</w:t>
      </w:r>
    </w:p>
    <w:p>
      <w:pPr>
        <w:spacing w:after="0" w:line="13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Cost of product revenue increased by $6.3 million, or 122%, to $11.4 million for the three months ended September 30, 2014 from $5.1 million for the three months ended September 30, 2013. Cost of product revenue for the three months ended September 30, 2014 includes $2.9 million of amortization of acquired intangible assets and inventory fair-value write-up resulting from our recent acquisition of DVS with no corresponding charges in the comparable period in 2013. Overall cost of product revenue as a percentage of related revenue was 39% (including 10 percentage points related to these charges) and 28% for the three months ended September 30, 2014 and 2013, respectively.</w:t>
      </w:r>
    </w:p>
    <w:p>
      <w:pPr>
        <w:spacing w:after="0" w:line="134"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Product margin declined 11 percentage points for the three months ended September 30, 2014 compared to the corresponding period in 2013 primarily because of the acquisition-related charges described above, and higher instrument warranty costs, partially offset by favorable changes in the mix of both instruments and consumables sold.</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our operating expenses for each period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689610</wp:posOffset>
            </wp:positionV>
            <wp:extent cx="721233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Research and development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43"/>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12,687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5,004</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18,574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12,097</w:t>
            </w:r>
          </w:p>
        </w:tc>
      </w:tr>
      <w:tr>
        <w:trPr>
          <w:trHeight w:val="27"/>
        </w:trPr>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31,261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17,101</w:t>
            </w:r>
          </w:p>
        </w:tc>
      </w:tr>
      <w:tr>
        <w:trPr>
          <w:trHeight w:val="27"/>
        </w:trPr>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60" w:space="720"/>
            <w:col w:w="2640"/>
          </w:cols>
          <w:pgMar w:left="240" w:top="125" w:right="239" w:bottom="1440" w:gutter="0" w:footer="0" w:header="0"/>
          <w:type w:val="continuous"/>
        </w:sectPr>
      </w:pPr>
    </w:p>
    <w:p>
      <w:pPr>
        <w:spacing w:after="0" w:line="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33"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Research and development expense increased $7.7 million, or 154%, to $12.7 million for the three months ended September 30, 2014, compared to $5.0 million for the three months ended September 30, 2013, primarily attributable to higher headcount and compensation-related costs of $4.3 million, increases in lab supplies and equipment costs of $2.3 million, outside services of $0.6 million, and other expenses of $0.5 million. These increases were primarily driven by the acquisition of DVS Sciences in February 2014 and to support our revenue growth through both new and existing products and services.</w:t>
      </w:r>
    </w:p>
    <w:p>
      <w:pPr>
        <w:spacing w:after="0" w:line="100"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and these expenses may increase in future periods.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Selling, general and administrative expense for the three months ended September 30, 2014 increased $6.5 million, or 54%, to $18.6 million, compared to $12.1 million for the three months ended September 30, 2013. The increase was primarily attributable to higher headcount and compensation-related costs of $3.7 million, increases in legal, accounting and other professional fees of $1.5 million, trade shows and other marketing expenses of $0.5 million, and other expenses of $0.8 million. These increases were primarily driven by the acquisition of DVS Sciences in February 2014, the expansion of our worldwide commercial capabilities, and to a lesser extent, general and administrative expense to support our growth.</w:t>
      </w:r>
    </w:p>
    <w:p>
      <w:pPr>
        <w:spacing w:after="0" w:line="11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expect selling, general and administrative expense to increase in future periods as we continue to grow our sales, technical support, marketing, and administrative headcount, support increased product sales, broaden our customer base, and incur additional costs to support our expanding global footprint and the overall growth in our business.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90"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Pursuant to the terms of a patent cross license agreement with Applied Biosystems, LLC (a subsidiary of Life Technologies Corporation, or Life, and now part of Thermo Fisher Scientific), we were obligated to make a $1.0 million payment to Life upon satisfaction of certain conditions. We do not believe that the conditions triggering the payment obligation have been met; however, on October 16, 2013, Life provided notice that the $1.0 million payment was due and payable under the license agreement. We accrued a loss contingency of $1.0 million on September 30, 2013 and on January 30, 2014, we paid Life the amount due while reserving our rights with respect to such matter. Among other reasons, we made the payment to avoid what would have been, in our view, an improper termination of our license to certain Life patent filings under the agreement, which could have subjected our relevant product lines to risks associated with patent infringement litigation. Litigation expense for the three months ended September 30, 2014 and September 30, 2013 was zero and $1.0 million, respectively.</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and Expense, Net</w:t>
      </w:r>
    </w:p>
    <w:p>
      <w:pPr>
        <w:spacing w:after="0" w:line="17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have incurred interest expense and amortization of debt discount related to our long-term debt. The following table presents interest expense and other (expense) income, net for each period presented (in thousands):</w:t>
      </w:r>
    </w:p>
    <w:p>
      <w:pPr>
        <w:spacing w:after="0" w:line="279"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September 30,</w:t>
            </w:r>
          </w:p>
        </w:tc>
        <w:tc>
          <w:tcPr>
            <w:tcW w:w="1120" w:type="dxa"/>
            <w:vAlign w:val="bottom"/>
          </w:tcPr>
          <w:p>
            <w:pPr>
              <w:spacing w:after="0"/>
              <w:rPr>
                <w:sz w:val="18"/>
                <w:szCs w:val="18"/>
                <w:color w:val="auto"/>
              </w:rPr>
            </w:pPr>
          </w:p>
        </w:tc>
      </w:tr>
      <w:tr>
        <w:trPr>
          <w:trHeight w:val="25"/>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79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ind w:right="614"/>
              <w:spacing w:after="0"/>
              <w:rPr>
                <w:sz w:val="20"/>
                <w:szCs w:val="20"/>
                <w:color w:val="auto"/>
              </w:rPr>
            </w:pPr>
            <w:r>
              <w:rPr>
                <w:rFonts w:ascii="Arial" w:cs="Arial" w:eastAsia="Arial" w:hAnsi="Arial"/>
                <w:sz w:val="14"/>
                <w:szCs w:val="14"/>
                <w:b w:val="1"/>
                <w:bCs w:val="1"/>
                <w:color w:val="auto"/>
              </w:rPr>
              <w:t>2013</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708</w:t>
            </w:r>
          </w:p>
        </w:tc>
      </w:tr>
      <w:tr>
        <w:trPr>
          <w:trHeight w:val="27"/>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February 4, 2014, we closed an underwritten public offering of $201.3 million aggregate principal amount of our 2.75% Senior Convertible Notes due 2034, or the Notes. The Notes will accrue interest at a rate of 2.75% per year, payable semi-annually in arrears on February 1 and August 1 of each year, commencing August 1, 2014. The Notes will mature on February 1, 2034, unless earlier converted, redeemed, or repurchased in accordance with the terms of the Notes.</w:t>
      </w:r>
    </w:p>
    <w:p>
      <w:pPr>
        <w:spacing w:after="0" w:line="133"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Interest expense for the three months ended September 30, 2014 increased by $1.5 million compared to the three months ended September 30, 2013 due to accrual of interest under the terms of the Notes, which were issued in the first quarter of 2014.</w:t>
      </w:r>
    </w:p>
    <w:p>
      <w:pPr>
        <w:spacing w:after="0" w:line="116" w:lineRule="exact"/>
        <w:rPr>
          <w:sz w:val="20"/>
          <w:szCs w:val="20"/>
          <w:color w:val="auto"/>
        </w:rPr>
      </w:pPr>
    </w:p>
    <w:p>
      <w:pPr>
        <w:jc w:val="both"/>
        <w:ind w:right="160" w:firstLine="432"/>
        <w:spacing w:after="0" w:line="297" w:lineRule="auto"/>
        <w:rPr>
          <w:sz w:val="20"/>
          <w:szCs w:val="20"/>
          <w:color w:val="auto"/>
        </w:rPr>
      </w:pPr>
      <w:r>
        <w:rPr>
          <w:rFonts w:ascii="Arial" w:cs="Arial" w:eastAsia="Arial" w:hAnsi="Arial"/>
          <w:sz w:val="16"/>
          <w:szCs w:val="16"/>
          <w:color w:val="auto"/>
        </w:rPr>
        <w:t>In February 2013, Illumina, Inc. acquired Verinata Health, Inc. (Verinata) for $350 million in cash and up to an additional $100 million in milestone payments through 2015. In March 2013, we received cash proceeds of $3.1 million in exchange for our ownership interest in Verinata resulting in a gain of $1.8 million. If the milestone payments become payable in the future, we could receive up to $3.2 million in additional proceeds. During the third quarter of 2014, we received cash proceeds of $0.3 million from the escrow account related to Verinata. We recorded the proceeds as "Gain from sale of investment in Verinata" in the accompanying condensed consolidated statements of operations for the three and nine months ended September 30, 2014.</w:t>
      </w:r>
    </w:p>
    <w:p>
      <w:pPr>
        <w:spacing w:after="0" w:line="104"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Other expense for the three months ended September 30, 2014 was $0.3 million compared to other income of $0.7 million for the three months ended September 30, 2013 primarily due to $0.4 million in losses from revaluation of certain foreign currency denominated assets and liabilities during the third quarter of 2014 whereas a gain of $0.6 million was realized from settlement of litigation with NanoString during the third quarter of 2013.</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7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We recorded a tax benefit of $0.7 million, or an effective tax benefit of 4.9%, for the three months ended September 30, 2014. The tax benefit for the three months ended September 30, 2014 was primarily attributable to amortization of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acquisition-related deferred tax liability and income tax benefit from our foreign operations. We recorded a tax expense of $42,000 for the three months ended September 30,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2014 and September 30, 2013</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Total revenue increased by $32.7 million, or 65%, to $83.0 million for the nine months ended September 30, 2014, compared to $50.3 million for the nine months ended September 30, 2013.</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Product revenue increased by $32.9 million, or 66%, to $82.5 million for the nine months ended September 30, 2014, compared to $49.6 million for the nine months ended September 30, 2013.</w:t>
      </w:r>
    </w:p>
    <w:p>
      <w:pPr>
        <w:spacing w:after="0" w:line="116"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Instrument revenue increased by $19.4 million, or 67%, primarily driven by the impact of our CyTOF 2 systems which we commenced selling upon the acquisition of DVS, and increased net unit sales of both preparatory and analytical systems. Higher sales of service offerings, including service related to CyTOF 2 systems, also contributed to the increase in instrument revenue. Instrument revenue growth, excluding revenue attributable to the recently acquired operations of DVS, was 35% for the nine months ended September 30, 2014 compared to the comparable period in 2013.</w:t>
      </w:r>
    </w:p>
    <w:p>
      <w:pPr>
        <w:spacing w:after="0" w:line="11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Consumables revenue increased by $13.6 million, or 66%, primarily due to growth in IFC sales. Sales from our recently acquired antibody consumables and higher sales of our reagents and assays also contributed to the overall increase in consumables revenue. Consumables growth, excluding revenue attributable to the recently acquired operations of DVS, was 51% for the nine months ended September 30, 2014 compared to the same period in 2013 driven by growth in production genomics and single-cell genomics applications. Annualized IFC pull-through for our genomics analytical systems was within our historical range of $40,000 to $50,000 per system and our expected range of $15,000 to $25,000 per system for our genomics preparatory systems. Annualized consumables pull-through for our proteomics analytical systems was within the historical range of $50,000 to $70,000 per system.</w:t>
      </w:r>
    </w:p>
    <w:p>
      <w:pPr>
        <w:spacing w:after="0" w:line="11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expect total unit sales of both instruments and consumables to increase over time as we continue our efforts to grow our customer base, expand our geographic market coverage, and launch new products. However, we expect the average selling prices of our products to fluctuate over time based on market conditions, product mix, and currency fluctuations.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Grant revenue consists of a grant from CIRM. Our CIRM grant was awarded in 2011 in the amount of $1.9 million to be earned over a three-year period which ended in April 2014. The CIRM grant revenue is recognized as the related research and development services are performed and costs associated with the grants are recognized as research and development expense during the period incurred.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Grant revenue was $0.2 million and $0.5 million for the nine months ended September 30, 2014 and 2013, respectively.</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our cost of product revenue and product margin for each period presented (in thousands, other than percentages):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w w:val="97"/>
              </w:rPr>
              <w:t>Nine Months Ended</w:t>
            </w:r>
          </w:p>
        </w:tc>
        <w:tc>
          <w:tcPr>
            <w:tcW w:w="1180" w:type="dxa"/>
            <w:vAlign w:val="bottom"/>
          </w:tcPr>
          <w:p>
            <w:pPr>
              <w:spacing w:after="0"/>
              <w:rPr>
                <w:sz w:val="17"/>
                <w:szCs w:val="17"/>
                <w:color w:val="auto"/>
              </w:rPr>
            </w:pPr>
          </w:p>
        </w:tc>
      </w:tr>
      <w:tr>
        <w:trPr>
          <w:trHeight w:val="210"/>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gridSpan w:val="3"/>
          </w:tcPr>
          <w:p>
            <w:pPr>
              <w:jc w:val="right"/>
              <w:ind w:right="150"/>
              <w:spacing w:after="0"/>
              <w:rPr>
                <w:sz w:val="20"/>
                <w:szCs w:val="20"/>
                <w:color w:val="auto"/>
              </w:rPr>
            </w:pPr>
            <w:r>
              <w:rPr>
                <w:rFonts w:ascii="Arial" w:cs="Arial" w:eastAsia="Arial" w:hAnsi="Arial"/>
                <w:sz w:val="16"/>
                <w:szCs w:val="16"/>
                <w:b w:val="1"/>
                <w:bCs w:val="1"/>
                <w:color w:val="auto"/>
              </w:rPr>
              <w:t>September 30,</w:t>
            </w:r>
          </w:p>
        </w:tc>
        <w:tc>
          <w:tcPr>
            <w:tcW w:w="1180" w:type="dxa"/>
            <w:vAlign w:val="bottom"/>
          </w:tcPr>
          <w:p>
            <w:pPr>
              <w:spacing w:after="0"/>
              <w:rPr>
                <w:sz w:val="18"/>
                <w:szCs w:val="18"/>
                <w:color w:val="auto"/>
              </w:rPr>
            </w:pPr>
          </w:p>
        </w:tc>
      </w:tr>
      <w:tr>
        <w:trPr>
          <w:trHeight w:val="33"/>
        </w:trPr>
        <w:tc>
          <w:tcPr>
            <w:tcW w:w="7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8"/>
        </w:trPr>
        <w:tc>
          <w:tcPr>
            <w:tcW w:w="75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2013</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8"/>
              </w:rPr>
              <w:t>30,080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14,273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17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royalty costs for licensed technologies included in our products, warranty, service, provisions for slow-moving and obsolete inventory, and stock-based compensation expense. Costs related to license and grant revenue are included in research and development expense.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Cost of product revenue increased by $15.8 million, or 111%, to $30.1 million for the nine months ended September 30, 2014. Cost of product revenue for the nine months ended September 30, 2014 includes $7.8 million of amortization of acquired intangible assets and inventory fair-value write-up resulting from our recent acquisition of DVS with no corresponding charges in the comparable period in 2013. Overall cost of product revenue as a percentage of related revenue was 36% (including 9 percentage points related to these charges) and 28% for the nine months ended September 30, 2014 and 2013, respectively.</w:t>
      </w:r>
    </w:p>
    <w:p>
      <w:pPr>
        <w:spacing w:after="0" w:line="134"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Product margin declined 7 percentage points for the nine months ended September 30, 2014 compared to the corresponding period in 2013 primarily because of the acquisition-related charges described above, and higher instrument warranty costs, partially offset by favorable changes in the mix of both instruments and consumables sold.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361" w:lineRule="exact"/>
        <w:rPr>
          <w:sz w:val="20"/>
          <w:szCs w:val="20"/>
          <w:color w:val="auto"/>
        </w:rPr>
      </w:pPr>
    </w:p>
    <w:p>
      <w:pPr>
        <w:ind w:left="884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September 30,</w:t>
            </w:r>
          </w:p>
        </w:tc>
        <w:tc>
          <w:tcPr>
            <w:tcW w:w="1200" w:type="dxa"/>
            <w:vAlign w:val="bottom"/>
          </w:tcPr>
          <w:p>
            <w:pPr>
              <w:spacing w:after="0"/>
              <w:rPr>
                <w:sz w:val="18"/>
                <w:szCs w:val="18"/>
                <w:color w:val="auto"/>
              </w:rPr>
            </w:pPr>
          </w:p>
        </w:tc>
      </w:tr>
      <w:tr>
        <w:trPr>
          <w:trHeight w:val="25"/>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8"/>
        </w:trPr>
        <w:tc>
          <w:tcPr>
            <w:tcW w:w="76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31,707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14,198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52,486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34,840</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expenses</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10,696</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94,889</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49,038</w:t>
            </w:r>
          </w:p>
        </w:tc>
      </w:tr>
      <w:tr>
        <w:trPr>
          <w:trHeight w:val="27"/>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33"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Research and development expense increased $17.5 million, or 123%, to $31.7 million for the nine months ended September 30, 2014, compared to $14.2 million for the nine months ended September 30, 2013, primarily attributable to higher headcount and other compensation-related costs of $11.2 million, increases in lab supplies and equipment costs of $3.8 million, facility expenses of $1.3 million, and outside services of $1.1 million. These increases were primarily driven by the acquisition of DVS Sciences in February 2014 and to support our revenue growth through both new and existing products and services.</w:t>
      </w:r>
    </w:p>
    <w:p>
      <w:pPr>
        <w:spacing w:after="0" w:line="13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and these expenses may increase in future periods.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71"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16"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Selling, general and administrative expense for the nine months ended September 30, 2014 increased $17.6 million, or 51%, to $52.5 million compared to $34.8 million for the nine months ended September 30, 2013. The increase was primarily attributable to higher headcount and other compensation-related costs of $10.0 million, increases in legal, accounting and other professional services of $4.3 million, trade shows and other marketing expenses of $1.6 million, integration expenses of $1.3 million, and other expenses of $0.4 million. These increases were driven by the acquisition of DVS Sciences in February 2014, the expansion of our worldwide commercial capabilities, and to a lesser extent, general and administrative expense to support our growth.</w:t>
      </w:r>
    </w:p>
    <w:p>
      <w:pPr>
        <w:spacing w:after="0" w:line="10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expect selling, general and administrative expenses to increase in future periods as we continue to grow our sales, technical support, marketing, and administrative headcount, support increased product sales, broaden our customer base, and incur additional costs to support our expanding global footprint and the overall growth in our business.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90"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Pursuant to the terms of a patent cross license agreement with Applied Biosystems, LLC (a subsidiary of Life Technologies Corporation, or Life, and now part of Thermo Fisher Scientific), we were obligated to make a $1.0 million payment to Life upon satisfaction of certain conditions. We do not believe that the conditions triggering the payment obligation have been met;</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however, on October 16, 2013, Life provided notice that the $1.0 million payment was due and payable under the license agreement. We accrued a loss contingency of $1.0 million on September 30, 2013 and on January 30, 2014, we paid Life the amount due while reserving our rights with respect to such matter. Among other reasons, we made the payment to avoid what would have been, in our view, an improper termination of our license to certain Life patent filings under the agreement, which could have subjected our relevant product lines to risks associated with patent infringement litigation. Litigation expense for the nine months ended September 30, 2014 and September 30, 2013 was zero and $1.0 million, respectively.</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Acquisition-Related Expenses</w:t>
      </w:r>
    </w:p>
    <w:p>
      <w:pPr>
        <w:spacing w:after="0" w:line="9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Acquisition-related expenses were $10.7 million for the nine months ended September 30, 2014 and primarily included accelerated vesting of certain DVS restricted stock and options and consulting, legal, and investment banking fees relating to our acquisition of DVS.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and Expense, Net</w:t>
      </w:r>
    </w:p>
    <w:p>
      <w:pPr>
        <w:spacing w:after="0" w:line="9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have incurred interest expense and amortization of debt discount related to our long-term debt. The following table presents interest expense and other (expense) income, net for each period presented (in thousands):</w:t>
      </w:r>
    </w:p>
    <w:p>
      <w:pPr>
        <w:spacing w:after="0" w:line="279"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September 30,</w:t>
            </w:r>
          </w:p>
        </w:tc>
        <w:tc>
          <w:tcPr>
            <w:tcW w:w="1120" w:type="dxa"/>
            <w:vAlign w:val="bottom"/>
          </w:tcPr>
          <w:p>
            <w:pPr>
              <w:spacing w:after="0"/>
              <w:rPr>
                <w:sz w:val="18"/>
                <w:szCs w:val="18"/>
                <w:color w:val="auto"/>
              </w:rPr>
            </w:pPr>
          </w:p>
        </w:tc>
      </w:tr>
      <w:tr>
        <w:trPr>
          <w:trHeight w:val="25"/>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2013</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Gain from sales of investment in Verinata</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1,777</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2,221</w:t>
            </w:r>
          </w:p>
        </w:tc>
      </w:tr>
      <w:tr>
        <w:trPr>
          <w:trHeight w:val="27"/>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On February 4, 2014, we closed an underwritten public offering of $201.3 million aggregate principal amount of our Notes. The Notes will accrue interest at a rate of 2.75% per year, payable semi-annually in arrears on February 1 and August 1 of each year, commencing August 1, 2014. The Notes will mature on February 1, 2034, unless earlier converted, redeemed, or repurchased in accordance with the terms of the Notes.</w:t>
      </w:r>
    </w:p>
    <w:p>
      <w:pPr>
        <w:spacing w:after="0" w:line="11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Interest expense increased by $3.9 million for the nine months ended September 30, 2014 compared to the nine months ended September 30, 2013 due to accrual of interest under the terms of the Notes, which were issued in the first quarter of 2014.</w:t>
      </w:r>
    </w:p>
    <w:p>
      <w:pPr>
        <w:spacing w:after="0" w:line="116"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February 2013, Illumina, Inc. acquired Verinata for $350 million in cash and up to an additional $100 million in milestone payments through 2015. In March 2013, we received cash proceeds of $3.1 million in exchange for our ownership interest in Verinata resulting in a gain of $1.8 million. If the milestone payments become payable in the future, we could receive up to $3.2 million in additional proceeds. During the third quarter of 2014, we received cash proceeds of $0.3 million from the escrow account related to Verinata. We recorded the proceeds as "Gain from sale of investment in Verinata" in the accompanying condensed consolidated statements of operations for the three and nine months ended September 30, 2014.</w:t>
      </w:r>
    </w:p>
    <w:p>
      <w:pPr>
        <w:spacing w:after="0" w:line="119"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Other expense for the nine months ended September 30, 2014 was $0.3 million compared to other income of $0.5 million for the nine months ended September 30, 2013 primarily due to $0.5 million in losses from revaluation of certain foreign currency denominated assets and liabilities during the nine months ended September 30, 2014 whereas a gain of $0.6 million was realized from settlement of litigation with NanoString during the nine months ended September 30, 2013.</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71" w:lineRule="exact"/>
        <w:rPr>
          <w:sz w:val="20"/>
          <w:szCs w:val="20"/>
          <w:color w:val="auto"/>
        </w:rPr>
      </w:pPr>
    </w:p>
    <w:p>
      <w:pPr>
        <w:jc w:val="both"/>
        <w:ind w:right="200" w:firstLine="405"/>
        <w:spacing w:after="0" w:line="286" w:lineRule="auto"/>
        <w:rPr>
          <w:sz w:val="20"/>
          <w:szCs w:val="20"/>
          <w:color w:val="auto"/>
        </w:rPr>
      </w:pPr>
      <w:r>
        <w:rPr>
          <w:rFonts w:ascii="Arial" w:cs="Arial" w:eastAsia="Arial" w:hAnsi="Arial"/>
          <w:sz w:val="17"/>
          <w:szCs w:val="17"/>
          <w:color w:val="auto"/>
        </w:rPr>
        <w:t>We recorded a tax benefit of $4.0 million, or an effective tax benefit rate of 8.7%, for the nine months ended September 30, 2014. Of the $4.0 million tax benefit, $2.0 million related to the valuation allowance released in the quarter ended March 31, 2014 and $1.3 million primarily consisted of net income tax benefit from foreign operations and deferred tax liabilities from the amortization of acquired intangible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September 30, 2014, our principal sources of liquidity consisted of $30.9 million of cash and cash equivalents and $116.3 million of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2014, our working capital excluding deferred revenue totaled $112.1 million.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w w:val="99"/>
              </w:rPr>
              <w:t>Nine Months Ended</w:t>
            </w:r>
          </w:p>
        </w:tc>
        <w:tc>
          <w:tcPr>
            <w:tcW w:w="1120" w:type="dxa"/>
            <w:vAlign w:val="bottom"/>
          </w:tcPr>
          <w:p>
            <w:pPr>
              <w:spacing w:after="0"/>
              <w:rPr>
                <w:sz w:val="17"/>
                <w:szCs w:val="17"/>
                <w:color w:val="auto"/>
              </w:rPr>
            </w:pPr>
          </w:p>
        </w:tc>
      </w:tr>
      <w:tr>
        <w:trPr>
          <w:trHeight w:val="210"/>
        </w:trPr>
        <w:tc>
          <w:tcPr>
            <w:tcW w:w="7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8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September 30,</w:t>
            </w:r>
          </w:p>
        </w:tc>
        <w:tc>
          <w:tcPr>
            <w:tcW w:w="112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76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Cash flow summary</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(19,098)</w:t>
            </w:r>
          </w:p>
        </w:tc>
        <w:tc>
          <w:tcPr>
            <w:tcW w:w="12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(4,829)</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(184,037)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w w:val="98"/>
              </w:rPr>
              <w:t>199,296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3,501</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0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(38,550)</w:t>
            </w:r>
          </w:p>
        </w:tc>
      </w:tr>
      <w:tr>
        <w:trPr>
          <w:trHeight w:val="27"/>
        </w:trPr>
        <w:tc>
          <w:tcPr>
            <w:tcW w:w="76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derive cash flows from operations primarily from cash collected from the sale of our products, license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13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Net cash used in operating activities was $19.1 million for the nine months ended September 30, 2014, compared to $4.8 million for the nine months ended September 30, 2013, an increase of $14.3 million. The cash used in operations in the first nine months of 2014 resulted from a net loss of $41.9 million, adjusted for $28.4 million in non-cash charges and a $5.6 million net increase in assets and liabilities. The significant non-cash charges included stock-based compensation expense, amortization of intangible assets, depreciation and amortization, and acquisition-related share-based awards acceleration expense. The net change in assets and liabilities was driven primarily by higher inventory, higher prepaid expenses and other assets, and a net decrease in other liabilities, partially offset by a decrease in accounts receivable and an increase in accounts payable and deferred revenue. Our net loss, adjusted for non-cash and non-operating items, for the nine months ended September 30, 2014 increased by $10.0 million, compared to the same period in 2013 primarily due to acquisition-related expenses of $6.5 million paid in cash.</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90"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Our primary investing activities consist of purchases, sales, and maturities of our short-term and long-term investments, and capital expenditures for manufacturing, laboratory, and computer equipment and software to support our expanding infrastructure and work force. We expect to continue to expand our manufacturing capability, including improvements in manufacturing productivity, and expect to incur additional costs for capital expenditures related to these efforts in future periods. In addition, we expect to continue to incur costs for capital expenditures for demonstration units and loaner equipment to support our sales and service efforts, and computer equipment and software to support our growth.</w:t>
      </w:r>
    </w:p>
    <w:p>
      <w:pPr>
        <w:spacing w:after="0" w:line="37" w:lineRule="exact"/>
        <w:rPr>
          <w:sz w:val="20"/>
          <w:szCs w:val="20"/>
          <w:color w:val="auto"/>
        </w:rPr>
      </w:pPr>
    </w:p>
    <w:p>
      <w:pPr>
        <w:ind w:right="440" w:firstLine="432"/>
        <w:spacing w:after="0" w:line="276" w:lineRule="auto"/>
        <w:rPr>
          <w:sz w:val="20"/>
          <w:szCs w:val="20"/>
          <w:color w:val="auto"/>
        </w:rPr>
      </w:pPr>
      <w:r>
        <w:rPr>
          <w:rFonts w:ascii="Arial" w:cs="Arial" w:eastAsia="Arial" w:hAnsi="Arial"/>
          <w:sz w:val="17"/>
          <w:szCs w:val="17"/>
          <w:color w:val="auto"/>
        </w:rPr>
        <w:t>Net cash used in investing activities was $184.0 million during the nine months ended September 30, 2014. Net cash used in investing activities primarily consisted of $113.2 million related to the acquisition of DVS, net of acquired cash of $8.4 million, and excluding $4.1 million attributed to the acceleration of DVS share-based awards and classified as cash used in operating activities; purchases of investments of $106.7 million; and capital expenditures of $5.9 million primarily to support growth in our manufacturing operations; partially offset by proceeds from sales and maturities of investments of $41.4 million, and additional proceeds from the 2013 sale of our investment in Verinata of $0.3 million.</w:t>
      </w:r>
    </w:p>
    <w:p>
      <w:pPr>
        <w:spacing w:after="0" w:line="119"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Net cash used in investing activities was $37.2 million during the nine months ended September 30, 2013. Net cash used in investing activities primarily consisted of purchases of investments of $56.8 million, purchase of intangible assets from Helicos Biosciences Corporation and related transaction costs of $1.0 million, and purchases of capital equipment of $1.6 million to support growth in our commercial and manufacturing operations, partially offset by proceeds from sales and maturities of investments of $19.1 million and proceeds from the sale of our investment in Verinata of $3.1 million.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Net cash provided by financing activities was $199.3 million during the nine months ended September 30, 2014 and consists of net proceeds of $195.2 million from the issuance of the Notes and proceeds received in connection with the exercise of options for our common stock of $4.1 million.</w:t>
      </w:r>
    </w:p>
    <w:p>
      <w:pPr>
        <w:spacing w:after="0" w:line="93"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Net cash provided by financing activities was $3.5 million during the nine months ended September 30, 2013 from proceeds received in connection with the exercise of options for our common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At September 30, 2014, our working capital excluding deferred revenue was $112.1 million, including cash, cash equivalents, and short-term investments of $95.3 million. On February 4, 2014, we closed an underwritten public offering of approximately $201.3 million aggregate principal amount of our 2.75% Senior Convertible Notes due 2034, or the Notes. We received cash proceeds of $195.2 million, net of underwriting discounts. Debt issuance costs were approximately $1.1 million. We used $126.0 million of the net proceeds to fund the cash portion of the consideration payable by us in connection with our acquisition of DVS.</w:t>
      </w:r>
    </w:p>
    <w:p>
      <w:pPr>
        <w:spacing w:after="0" w:line="53" w:lineRule="exact"/>
        <w:rPr>
          <w:sz w:val="20"/>
          <w:szCs w:val="20"/>
          <w:color w:val="auto"/>
        </w:rPr>
      </w:pPr>
    </w:p>
    <w:p>
      <w:pPr>
        <w:jc w:val="both"/>
        <w:ind w:right="320" w:firstLine="432"/>
        <w:spacing w:after="0" w:line="286" w:lineRule="auto"/>
        <w:rPr>
          <w:sz w:val="20"/>
          <w:szCs w:val="20"/>
          <w:color w:val="auto"/>
        </w:rPr>
      </w:pPr>
      <w:r>
        <w:rPr>
          <w:rFonts w:ascii="Arial" w:cs="Arial" w:eastAsia="Arial" w:hAnsi="Arial"/>
          <w:sz w:val="17"/>
          <w:szCs w:val="17"/>
          <w:color w:val="auto"/>
        </w:rPr>
        <w:t>We have a bank line of credit agreement that is collateralized by our assets, excluding intellectual property, and provides us the ability to draw up to $10.0 million, of which $6.0 million is available on a non-formula basis, subject to certain covenants and other restrictions. The balance of $4.0 million is available based on eligible receivables. At September 30, 2014, we had no borrowing outstanding under the bank line of credit.</w:t>
      </w:r>
    </w:p>
    <w:p>
      <w:pPr>
        <w:spacing w:after="0" w:line="111"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expand the commercialization of our products, expand and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 We currently have no material commitments or agreements relating to any such acquisitions.</w:t>
      </w:r>
    </w:p>
    <w:p>
      <w:pPr>
        <w:spacing w:after="0" w:line="11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If we require additional funds in the future,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As of September 30, 2014, we did not have any off-balance sheet arrangements as defined in Item 303(a)(4) of Regulation S-K promulgated under the Exchange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On April 9, 2013, we entered into an amendment (the 2013 Amendment) to the lease agreement dated September 14, 2010 (as amended, the Lease) relating to the lease of office and laboratory space at our corporate headquarters located in South San Francisco, California. The 2013 Amendment provided for an expansion of the premises covered under the Lease, effective April 1, 2014; an extension of the term of the Lease to April 30, 2020 with an option to renew for an additional five years; payment of base rent with rent escalation; and payment of certain operating expenses during the term of the Lease. The 2013 Amendment also provided for an allowance of approximately $0.7 million for tenant improvements, which, to the extent not used by March 31, 2015, will be used to offset base rent obligations, and an additional allowance of approximately $0.5 million for tenant improvements, which, if used, will be repaid in equal monthly payments with interest at a rate of 9% per annum over the remaining term of the Lease.</w:t>
      </w:r>
    </w:p>
    <w:p>
      <w:pPr>
        <w:spacing w:after="0" w:line="124"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On June 4, 2014, we entered into an additional amendment to the Lease (the June 2014 Amendment), which provided for an expansion of the premises covered under the Lease by approximately 13,000 square feet, effective October 1, 2014; payment of base rent with rent escalation; and payment of certain operating expenses during the term of the Lease. The June 2014 Amendment also provided for an allowance of approximately $0.2 million for tenant improvements, which, to the extent not used by March 31, 2015, will be used to offset base rent obligations, and an additional allowance of approximately $0.1 million for tenant improvements, which, if used, will be repaid in equal monthly payments with interest at a rate of 9% per annum over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remaining term of the Lease. The total future minimum lease payments for the additional space, which will be paid through April 2020, are approximately $2.5 million as of September 30, 2014.</w:t>
      </w:r>
    </w:p>
    <w:p>
      <w:pPr>
        <w:spacing w:after="0" w:line="11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On September 15, 2014, we entered into an additional amendment to the Lease (the September 2014 Amendment), which provided for an expansion of the premises covered under the Lease by approximately 9,000 square feet, effective October 1, 2014; payment of base rent with rent escalation; and payment of certain operating expenses during the term of the Lease. The September 2014 Amendment also provided for an allowance of approximately $0.2 million for tenant improvements. The total future minimum lease payments for the additional space, which will be paid through April 2020, are approximately $1.7 million as of September 30, 2014.</w:t>
      </w:r>
    </w:p>
    <w:p>
      <w:pPr>
        <w:spacing w:after="0" w:line="134"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On October 14, 2013, Fluidigm Singapore Pte. Ltd., our wholly-owned subsidiary (Fluidigm Singapore), accepted an offer of tenancy (Lease) from HSBC Institutional Trust Services (Singapore) Limited, as trustee of Ascendas Real Estate Investment Trust (Landlord), relating to the lease of a new facility located in Singapore. Pursuant to the terms of the Lease, Fluidigm Singapore took possession of the facility commencing on March 3, 2014 for a term of 99 months, and the Lease and rental obligations thereunder commenced on June 3, 2014. The Lease also provides Fluidigm Singapore with an option to renew the Lease for an additional 60 months at the then prevailing market rent, and on similar terms as the existing Lease. In June 2014, Fluidigm Singapore leased additional space of approximately 2,400 square feet in the same building as the new facility on the same terms as the Lease. We completed the consolidation of our Singapore manufacturing operations in the new space in July 2014 and the site qualification was completed in August 2014. The leases relating to our prior manufacturing facility in Singapore terminated on August 31, 2014. The total future minimum lease payments for the additional space, which will be paid through June 2022, are approximately $259,000 as of September 30, 2014.</w:t>
      </w:r>
    </w:p>
    <w:p>
      <w:pPr>
        <w:spacing w:after="0" w:line="4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connection with our acquisition of DVS (as discussed in Note 4 of our notes to the condensed consolidated financial statements), we assumed the operating leases for facilities in Sunnyvale, California and Markham, Ontario, Canada, which expire in January 2016 and July 2016, respectively. The Canada lease includes an option to renew the lease for an additional five years at the then prevailing market rent, and on similar terms as the existing lease. We recognize rent expense on a straight-line basis over the non-cancelable lease term. The total future minimum lease payments for the assumed operating leases in Sunnyvale, California and Markham, Ontario, Canada are approximately $550,000 as of September 30, 2014.</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200" w:firstLine="432"/>
        <w:spacing w:after="0" w:line="291"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where our manufacturing facility is located. Our results of operations and cash flows are, therefore, subject to fluctuations due to changes in foreign currency exchange rates. Fluctuations in currency exchange rates could harm our business in the future. The effect of a 10% adverse change in exchange rates on foreign currency denominated cash, receivables and payables as of September 30, 2014 would not have been material. To date, we have not entered into any foreign currency hedging contracts although we may do so in the future.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We had cash and cash equivalents of $30.9 million at September 30, 2014. These amounts were held primarily in cash on deposit with banks and cash equivalents. We had $116.3 million in investments at September 30, 2014 held primarily in U.S. government and agency securities. The contractual maturity dates of $64.3 million of our U.S. government and agency securities are within one year from September 30, 2014. The contractual maturity dates of our remaining U.S. government and agency securities are less than eighteen months from September 30, 2014. Cash and cash equivalents and investments are held for working capital purposes.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September 30,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2014, our Chief Executive Officer and Chief Financial Officer concluded that, as of such date, our disclosure controls and procedures were effective at the reasonable assurance level.</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There were no changes in our internal control over financial reporting that occurred during the three months ended September 30, 2014 that have materially affected, or are reasonably likely to materially affect, our internal control over financial reporting. However, during the quarter ended March 31, 2014, we completed our acquisition of DVS Sciences Inc. (now Fluidigm Sciences Inc.), or DVS, which is now our wholly-owned subsidiary and a "significant subsidiary" as defined by Rule 1-02 of Regulation S-X promulgated by the Securities and Exchange Commission. We are in the process of integrating DVS's operations with our operations, including integration of financial reporting processes and procedures and internal controls over financing reporting. In the course of integrating DVS's financial reporting processes and procedures with ours, we may implement changes to financial reporting processes and procedures and internal controls over financing reporting and will disclose any such changes if material as required by the rules of the SEC.</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90"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currently engaged in any material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10-Q. If any of the risks or uncertainties we face were to occur, the trading price of our securities could decline, and you may lose all or part of your investment.</w:t>
      </w:r>
    </w:p>
    <w:p>
      <w:pPr>
        <w:spacing w:after="0" w:line="52"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i w:val="1"/>
          <w:iCs w:val="1"/>
          <w:color w:val="auto"/>
        </w:rPr>
        <w:t>On February 13, 2014, we completed the acquisition of DVS Sciences, Inc., or DVS (now Fluidigm Sciences Inc., or Fluidigm Sciences), which develops, manufactures, markets, and sells multi-parameter single-cell protein analysis systems. For purposes of the risk factors below, Fluidigm Sciences refers to Fluidigm Sciences and its wholly-owned Canadian subsidiary, Fluidigm Canada Inc., or Fluidigm Canada (formerly DVS Sciences Inc.).</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171"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Emerging market opportunities may not develop as quickly as we expect, limiting our ability to successfully market and sell our products, or our product development and strategic plans relating to such markets may change and our entry into these emerging markets may be delayed, if it occurs at all.</w:t>
      </w:r>
    </w:p>
    <w:p>
      <w:pPr>
        <w:spacing w:after="0" w:line="4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application of our technologies to single-cell biology (across genomics and proteomics) and production genomics applications are emerging market opportunities. We believe these opportunities will take several years to develop or mature and we cannot be certain that these market opportunities will develop as we expect. For example, we launched our C</w:t>
      </w:r>
      <w:r>
        <w:rPr>
          <w:rFonts w:ascii="Arial" w:cs="Arial" w:eastAsia="Arial" w:hAnsi="Arial"/>
          <w:sz w:val="11"/>
          <w:szCs w:val="11"/>
          <w:color w:val="auto"/>
        </w:rPr>
        <w:t>1</w:t>
      </w:r>
      <w:r>
        <w:rPr>
          <w:rFonts w:ascii="Arial" w:cs="Arial" w:eastAsia="Arial" w:hAnsi="Arial"/>
          <w:sz w:val="17"/>
          <w:szCs w:val="17"/>
          <w:color w:val="auto"/>
        </w:rPr>
        <w:t xml:space="preserve"> Single-Cell Auto Prep System in June 2012, which applies our technology to, among other things, improve single-cell analytic workflow for single-cell genomics. The future growth of the single-cell biology market and the success of our products depend on many factors beyond our control, including recognition and acceptance by the scientific community, and the growth, prevalence, and costs of competing methods of genetic and protein analysis. If the market for single-cell biology and production genomics do not develop as we expect, our business may be adversely affected. Additionally, our success in these emerging markets may depend to a large extent on our ability to successfully market and sell products using our technologies.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emerging markets.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financial results may vary significantly from quarter-to-quarter due to a number of factors, which may lead to volatility in our stock price.</w:t>
      </w:r>
    </w:p>
    <w:p>
      <w:pPr>
        <w:spacing w:after="0" w:line="10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Our quarterly revenue and results of operations have varied in the past and may continue to vary significantly from quarter-to-quarter. For example, in 2011 and 2012, we experienced higher sales in the fourth quarter than in the first quarter of the next fiscal year. In addition, revenue from sales of our instruments relative to sales of our consumables may fluctuate or deviate significantly from expectations. The variability in our quarterly results of operations, including revenue from sales of our instruments relative to our consumables, may lead to volatility in our stock price as research analysts and investors respond to these quarterly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and deliver products to our customers in a timely and cost-effective manner; quality control or yield problems in our manufacturing operations; our ability to timely obtain adequate quantities of the components used in our products;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quarter-to-quarter financial results could be significantly impacted.</w:t>
      </w:r>
    </w:p>
    <w:p>
      <w:pPr>
        <w:spacing w:after="0" w:line="13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foregoing factors, as well as other factors, could materially and adversely affect our quarterly and annual results of operations. In addition, a significant amount of our operating expenses are relatively fixed due to our manufacturing, research and development, and sales and general administrative efforts. Any failure to adjust spending quickly enough to compensate for a revenue shortfall could magnify the adverse impact of such revenue shortfall on our results of operations. We expect that our sales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will continue to fluctuate on a quarterly basis and that our financial results for some periods may be below those projected by securities analysts, which could significantly decrease the price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94"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We have a limited operating history and have incurred significant losses in each fiscal year since our inception, including net losses of $41.9 million, $16.5 million, $19.0 million, and $22.5 million during the nine months ended September 30, 2014 and years 2013, 2012, and 2011, respectively. As of September 30, 2014, we had an accumulated deficit of $299.2 million. These losses have resulted principally from costs incurred in our research and development programs, and from our manufacturing costs and selling, general, and administrative expenses. We may continue to incur substantial operating and net losses and negative cash flow from operations. We expect that our selling, general, and administrative expenses will continue to increase due to the additional operational and reporting costs associated with being a public company. We anticipate that our business will generate operating losses until we successfully implement our commercial development strategy and generate significant additional revenue to support our level of operating expenses.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5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Actual results relating to Fluidigm Sciences (formerly DVS Sciences, Inc.) may differ from any guidance issued by us concerning future revenue and revenue growth of Fluidigm Sciences or the anticipated impact of the acquisition on the operating results of the combined company, and these differences could be material.</w:t>
      </w:r>
    </w:p>
    <w:p>
      <w:pPr>
        <w:spacing w:after="0" w:line="45"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cannot provide assurances with respect to the future revenues or revenue growth rates we may realize as a result of our acquisition of DVS and sales of its CyTOF mass spectrometer and associated consumables for the proteomics market. Fluidigm Sciences’ revenues increased substantially through fiscal 2013, but we previously reduced our revenue expectations for 2014 and do not expect revenue from sales of Fluidigm Sciences’ proteomics products to grow, if at all, at the same rates experienced in recent periods. We currently expect 2014 revenues from sales of our proteomics products to be less than DVS's 2013 revenues for such products. In addition, Fluidigm Sciences has experienced substantial quarter-to-quarter variations in levels of demand and revenue growth for its instruments and consumables, and we expect that these variances may continue in the future. Additional risks and uncertainties that could cause actual results from our proteomics product line to differ materially from currently anticipated results include, but are not limited to, risks relating to our ability to successfully integrate Fluidigm Sciences; our ability to commercialize Fluidigm Sciences products; market acceptance of Fluidigm Sciences products; our ability to successfully launch new products and applications in Fluidigm Sciences’ target markets; competition; our sales, marketing, and distribution capabilities; our planned sales, marketing, and research and development activities; reduction in research and development spending or changes in budget priorities by customers; interruptions or delays in the supply of components or materials for, or manufacturing of, Fluidigm Sciences’ products, which in certain cases are purchased through sole and single source suppliers; seasonal variations in customer operations; unanticipated increases in costs or expenses; risks associated with international operations; and the other risks identified in this report. Other unknown or unpredictable factors also could harm our results. Consequently, actual results or developments from our proteomics product line that are currently anticipated by us may not be realized or, even if substantially realized, may not have the expected consequences to, or effects on, us. Any failure to meet any proteomics guidance that we have provided or may provide in the future could have a material adverse effect on the trading price or volume of our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made certain assumptions relating to our recent acquisition which may prove to be materially inaccurate.</w:t>
      </w:r>
    </w:p>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made certain assumptions relating to the acquisition of DVS, which assumptions may be inaccurate, including as the result of the failure to realize the expected benefits of the acquisition, failure to realize expected revenue growth rates, higher than expected operating, transaction and integration costs, as well as general economic and business conditions that adversely affect the combined company following the acquisition. These assumptions relate to numerous matters, including:</w:t>
      </w:r>
    </w:p>
    <w:p>
      <w:pPr>
        <w:spacing w:after="0" w:line="79"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projections of Fluidigm Sciences’ revenue growth, if any, and future revenues;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goodwill and intangibles that resulted from the acquisition;</w:t>
      </w:r>
    </w:p>
    <w:p>
      <w:pPr>
        <w:spacing w:after="0" w:line="117" w:lineRule="exact"/>
        <w:rPr>
          <w:rFonts w:ascii="Arial" w:cs="Arial" w:eastAsia="Arial" w:hAnsi="Arial"/>
          <w:sz w:val="18"/>
          <w:szCs w:val="18"/>
          <w:color w:val="auto"/>
        </w:rPr>
      </w:pPr>
    </w:p>
    <w:p>
      <w:pPr>
        <w:ind w:left="1300" w:right="84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other purchase accounting adjustments that we expect may be recorded in our financial statements in connection with the acquisition;</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develop, and deepen relationships with customers of Fluidigm Sciences;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financial and strategic risks of the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carrying value of long-lived and intangible assets may become impaired and result in an impairment charge.</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As of September 30, 2014, we had approximately $209.2 million of net intangible assets, net of amortization, and goodwill, all of which relates to the acquisition. In addition, if in the future we acquire additional complementary businesses or technologies, a substantial portion of the value of such assets may be recorded as intangible assets or goodwill. The carrying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amounts of intangible assets and goodwill are affected whenever events or changes in circumstances indicate that the carrying amount of any asset may not be recoverable. Such events or changes might include a significant decline in market share, a significant decline in revenues, a significant increase in losses or decrease in profits, rapid changes in technology, failure to achieve the benefits of capacity increases and utilization, significant litigation arising out of an acquisition or other matters. Adverse events or changes in circumstances may affect the estimated undiscounted future operating cash flows expected to be derived from intangible assets and goodwill. If at any time we determine that an impairment has occurred, we will be required to reflect the impaired value as a charge, resulting in a reduction in earnings in the quarter such impairment is identified and a corresponding reduction in our net asset value. The potential recognition of impairment in the carrying value, if any, could have a material and adverse effect on our financial condition and results of operations.</w:t>
      </w:r>
    </w:p>
    <w:p>
      <w:pPr>
        <w:spacing w:after="0" w:line="10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31"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1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one or more of our manufacturing facilities become unavailable or inoperable, we will be unable to continue manufacturing our instruments, IFCs, and/or assays and, as a result, our business will be harmed until we are able to secure a new facility.</w:t>
      </w:r>
    </w:p>
    <w:p>
      <w:pPr>
        <w:spacing w:after="0" w:line="3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manufacture all of our genomics analytical and preparatory instruments and integrated fluidic circuits, or IFCs, for commercial sale at our facility in Singapore, our proteomics analytical instruments for commercial sale at our facility in Canada, and our assays for commercial sale at our facilities in South San Francisco and Sunnyvale, California. No other manufacturing facilities are currently available to us, particularly facilities of the size and scope required by our Singapore and Canada operations. Our facilities and the equipment we use to manufacture our instruments, IFCs, and assays would be costly to replace and could require substantial lead time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development or manufacturing problems or delays that could limit the growth of our revenue or increase our losses.</w:t>
      </w:r>
    </w:p>
    <w:p>
      <w:pPr>
        <w:spacing w:after="0" w:line="106"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w:t>
      </w:r>
    </w:p>
    <w:p>
      <w:pPr>
        <w:spacing w:after="0" w:line="12"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3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7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are dependent on single source suppliers for some of the components and materials used in our products, and the loss of any of these suppliers could harm our business.</w:t>
      </w:r>
    </w:p>
    <w:p>
      <w:pPr>
        <w:spacing w:after="0" w:line="3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rely on single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the single source suppliers of any of the following components and/or materials would require significant time and effort to locate and qualify an alternative source of supply:</w:t>
      </w:r>
    </w:p>
    <w:p>
      <w:pPr>
        <w:spacing w:after="0" w:line="79" w:lineRule="exact"/>
        <w:rPr>
          <w:sz w:val="20"/>
          <w:szCs w:val="20"/>
          <w:color w:val="auto"/>
        </w:rPr>
      </w:pPr>
    </w:p>
    <w:p>
      <w:pPr>
        <w:ind w:left="130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Specialized pneumatic and electronic components for our C</w:t>
      </w:r>
      <w:r>
        <w:rPr>
          <w:rFonts w:ascii="Arial" w:cs="Arial" w:eastAsia="Arial" w:hAnsi="Arial"/>
          <w:sz w:val="11"/>
          <w:szCs w:val="11"/>
          <w:color w:val="auto"/>
        </w:rPr>
        <w:t>1</w:t>
      </w:r>
      <w:r>
        <w:rPr>
          <w:rFonts w:ascii="Arial" w:cs="Arial" w:eastAsia="Arial" w:hAnsi="Arial"/>
          <w:sz w:val="16"/>
          <w:szCs w:val="16"/>
          <w:color w:val="auto"/>
        </w:rPr>
        <w:t xml:space="preserve"> Single-Cell Auto Prep System are available from a limited number of sources.</w:t>
      </w:r>
    </w:p>
    <w:p>
      <w:pPr>
        <w:spacing w:after="0" w:line="140" w:lineRule="exact"/>
        <w:rPr>
          <w:rFonts w:ascii="Arial" w:cs="Arial" w:eastAsia="Arial" w:hAnsi="Arial"/>
          <w:sz w:val="16"/>
          <w:szCs w:val="16"/>
          <w:color w:val="auto"/>
        </w:rPr>
      </w:pPr>
    </w:p>
    <w:p>
      <w:pPr>
        <w:ind w:left="1300" w:right="54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electron multiplier included in the CyTOF system, and the nickel sampler cone and certain metal isotopes used with the CyTOF system, are purchased from single source suppliers and are available from a limited number of sources.</w:t>
      </w:r>
    </w:p>
    <w:p>
      <w:pPr>
        <w:spacing w:after="0" w:line="62"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raw materials for our DELTAgene and SNPtype assays and Access Array Target-Specific primers are available from a limited number of sources.</w:t>
      </w:r>
    </w:p>
    <w:p>
      <w:pPr>
        <w:spacing w:after="0" w:line="35"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Our reliance on single source suppliers and assembly service providers also subjects us to other risks that could harm our business, including the following:</w:t>
      </w:r>
    </w:p>
    <w:p>
      <w:pPr>
        <w:spacing w:after="0" w:line="62"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suppliers or service providers may make errors in manufacturing or assembly of components that could negatively affect the efficacy of our products or cause delays in shipment of our products; and</w:t>
      </w:r>
    </w:p>
    <w:p>
      <w:pPr>
        <w:spacing w:after="0" w:line="62"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suppliers or service providers may encounter capacity constraints or financial hardships unrelated to our demand for components or services, which could inhibit their ability to fulfill our orders and meet our requirements.</w:t>
      </w:r>
    </w:p>
    <w:p>
      <w:pPr>
        <w:spacing w:after="0" w:line="1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9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success depends, in part,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94"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Our customer base is primarily composed of academic institutions, clinical laboratories that use our technology to develop tests, and pharmaceutical, biotechnology, and agricultural biotechnology, or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requires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relationships, including customer relationships, may be subject to disruption due to uncertainty associated with our recent acquisition.</w:t>
      </w:r>
    </w:p>
    <w:p>
      <w:pPr>
        <w:spacing w:after="0" w:line="117" w:lineRule="exact"/>
        <w:rPr>
          <w:sz w:val="20"/>
          <w:szCs w:val="20"/>
          <w:color w:val="auto"/>
        </w:rPr>
      </w:pPr>
    </w:p>
    <w:p>
      <w:pPr>
        <w:jc w:val="both"/>
        <w:ind w:right="220" w:firstLine="432"/>
        <w:spacing w:after="0" w:line="276" w:lineRule="auto"/>
        <w:rPr>
          <w:sz w:val="20"/>
          <w:szCs w:val="20"/>
          <w:color w:val="auto"/>
        </w:rPr>
      </w:pPr>
      <w:r>
        <w:rPr>
          <w:rFonts w:ascii="Arial" w:cs="Arial" w:eastAsia="Arial" w:hAnsi="Arial"/>
          <w:sz w:val="17"/>
          <w:szCs w:val="17"/>
          <w:color w:val="auto"/>
        </w:rPr>
        <w:t>Parties with which we or Fluidigm Sciences do business may experience uncertainty associated with the recent acquisition, including with respect to current or future business relationships with us, Fluidigm Sciences, or the combined business. These business relationships may be subject to disruption as customers and others may attempt to negotiate changes in existing business relationships or consider entering into business relationships with parties other than us, Fluidigm Sciences, or the combined business, including our competitors. These disruptions could have a material adverse effect on the businesses, operating results, and financial condition of the combined business.</w:t>
      </w:r>
    </w:p>
    <w:p>
      <w:pPr>
        <w:spacing w:after="0" w:line="115"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The life science research and applied markets are highly competitive and subject to rapid technological change, and we may not be able to successfully compete.</w:t>
      </w:r>
    </w:p>
    <w:p>
      <w:pPr>
        <w:spacing w:after="0" w:line="31"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Affymetrix, Inc., Agilent Technologies, Inc., Becton, Dickinson and Company, Bio-Rad Laboratories, Inc.,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Roche Diagnostics Corporation, Sequenom, Inc., Sony Corporation, Thermo Fisher Scientific Inc., and WaferGen Bio-systems, Inc. have products that compete in certain segments of the market in which we sell our products.</w:t>
      </w:r>
    </w:p>
    <w:p>
      <w:pPr>
        <w:spacing w:after="0" w:line="134"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09"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Our business depends on research and development spending levels of academic, clinical, and governmental research institutions, and pharmaceutical, biotechnology, and Ag-Bio companies, a reduction in which could limit our ability to sell our products and adversely affect our business.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expect that our revenue in the foreseeable future will be derived primarily from sales of our systems and IFCs to academic institutions, clinical laboratories that use our technology to develop tests, and pharmaceutical, biotechnology, and Ag-Bio companies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and IFCs. These reductions and delays may result from factors that are not within our control, such as:</w:t>
      </w:r>
    </w:p>
    <w:p>
      <w:pPr>
        <w:spacing w:after="0" w:line="61"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the regulatory environment affecting life science and Ag-Bio companies engaged in research and commercial activities;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112" w:lineRule="exact"/>
        <w:rPr>
          <w:sz w:val="20"/>
          <w:szCs w:val="20"/>
          <w:color w:val="auto"/>
        </w:rPr>
      </w:pPr>
    </w:p>
    <w:p>
      <w:pPr>
        <w:ind w:right="120"/>
        <w:spacing w:after="0" w:line="33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single-cell biology and production genomics,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33"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Our products could become subject to regulation as medical devices by the U.S. Food and Drug Administration, or FDA, or other regulatory agencies in the future.</w:t>
      </w:r>
    </w:p>
    <w:p>
      <w:pPr>
        <w:spacing w:after="0" w:line="31"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Our products are currently labeled, promoted and sold to academic institutions, life sciences laboratories, and pharmaceutical, biotechnology, and Ag-Bio companies for research purposes only, and not as diagnostic tests or medical devices. As products labeled, promoted and intended for research use only, or RUO, they are not subject to regulation as medical devices by the FDA. Products labeled and intended for research use only are not currently subject to regulation as medical devices by comparable agencies of other countries. However, the FDA could disagree with our conclusion that our products are for research use only or deem our current marketing and promotional efforts as being inconsistent with research use only products. In addition,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25"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we change the labeling or promotion of our products in the future to include indications for human diagnostic applications or medical uses, including treatment of diseases or medical conditions, or we have knowledge that our customers are using our products for clinical diagnostic or therapeutic purposes, our products or related applications could be subject to additional regulation as in vitro diagnostic devices, such as under the FDA’s pre- and post-market regulations for medical devices. For example, if we wish to label, promote or advertise our products for use in performing clinical diagnostics, we would first need to obtain FDA pre-market clearance or approval (depending on any product’s specific intended use and any such modified labeling claims), unless otherwise exempt from clearance or approval requirements. Obtaining FDA clearance or approval can be expensive and uncertain, and generally takes several months to years to obtain, and may require detailed and comprehensive scientific and clinical data. Notwithstanding the expense, these efforts may never result in FDA clearance or approval. Even if we were to obtain regulatory approval or clearance, it may not be for the uses we believe are important or commercially attractive.</w:t>
      </w:r>
    </w:p>
    <w:p>
      <w:pPr>
        <w:spacing w:after="0" w:line="62"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Further, the FDA may expand its regulatory oversight of our products or the products of our customers, which could impose restrictions on our ability to market and sell our products. For example, our customers may elect to use our research use only labeled products in their own laboratory developed tests, or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diagnostics currently on the market. The guidance documents, if and when finalized, may significantly impact the sales of our products and how customers use our products, and may require us to change our business model in order to maintain compliance with these laws.</w:t>
      </w:r>
    </w:p>
    <w:p>
      <w:pPr>
        <w:spacing w:after="0" w:line="47"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offered for clinical diagnostic uses. These circumstances may include written or verbal marketing claims or links to articles regarding a product’s performance in clinical applications and a manufacturer’s provision of technical support for clinical applications. If the FDA imposes significant changes to the regulation of LDTs, or modifies its approach to our products labeled and intended for research use only, it could reduce our revenue or increase our costs and adversely affect our business, prospects, results of operations or financial condition. In addition, if the FDA determined that our products labeled for research use only were intended, based on a review of the totality of circumstances, for use in clinical investigation or diagnosis, those products could be considered misbranded or adulterated under the Federal Food, Drug, and Cosmetic Act and subject to recall or other enforcement action.</w:t>
      </w:r>
    </w:p>
    <w:p>
      <w:pPr>
        <w:spacing w:after="0" w:line="3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may be required to proactively achieve compliance with certain FDA regulations and to conform our manufacturing operations to the FDA’s good manufacturing practice regulations for medical devices, known as the Quality System Regulation, or QSR, as part of our contracts with customers or as part of our collaborations with third parties. In addition, we may voluntarily seek to conform our manufacturing operations to QSR requirements. For clinical diagnostic products that are regulated as medical devices, the FDA enforces the QSR through pre-approved inspections and periodic unannounced inspections of registered manufacturing facilities. If we are subject to QSR requirements, the failure to comply with those requirements or take satisfactory corrective action in response to an adverse QSR inspection could result in enforcement actions, including a public warning letter or an untitled letter, a delay in approving or clearing, or a refusal to approve or clear, our products, a shutdown of manufacturing operations, a product recall, civil or criminal penalties or other sanctions, which could in turn cause our sales and business to suffer.</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Compliance or the failure to comply with current and future regulations, such as environmental regulations enacted in the European Union, could cause us significant expense and adversely impact our business.</w:t>
      </w:r>
    </w:p>
    <w:p>
      <w:pPr>
        <w:spacing w:after="0" w:line="31"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or will become subject to RoHS and WEEE requirements.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 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74" w:lineRule="exact"/>
        <w:rPr>
          <w:sz w:val="20"/>
          <w:szCs w:val="20"/>
          <w:color w:val="auto"/>
        </w:rPr>
      </w:pPr>
    </w:p>
    <w:p>
      <w:pPr>
        <w:ind w:right="340"/>
        <w:spacing w:after="0" w:line="313" w:lineRule="auto"/>
        <w:rPr>
          <w:sz w:val="20"/>
          <w:szCs w:val="20"/>
          <w:color w:val="auto"/>
        </w:rPr>
      </w:pPr>
      <w:r>
        <w:rPr>
          <w:rFonts w:ascii="Arial" w:cs="Arial" w:eastAsia="Arial" w:hAnsi="Arial"/>
          <w:sz w:val="17"/>
          <w:szCs w:val="17"/>
          <w:b w:val="1"/>
          <w:bCs w:val="1"/>
          <w:color w:val="auto"/>
        </w:rPr>
        <w:t>If we are unable to recruit and retain key executives, scientists and technical support personnel, we may be unable to achieve our goals. We may have difficulty attracting, motivating and retaining executives and other key employees in light of our recent acquisition.</w:t>
      </w:r>
    </w:p>
    <w:p>
      <w:pPr>
        <w:spacing w:after="0" w:line="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Our performance is substantially dependent on the performance of our senior management, particularly Gajus V. Worthington, our president and chief executive officer. Additionally, to expand our research and product development efforts, we need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11" w:lineRule="exact"/>
        <w:rPr>
          <w:sz w:val="20"/>
          <w:szCs w:val="20"/>
          <w:color w:val="auto"/>
        </w:rPr>
      </w:pPr>
    </w:p>
    <w:p>
      <w:pPr>
        <w:ind w:right="260" w:firstLine="432"/>
        <w:spacing w:after="0" w:line="276" w:lineRule="auto"/>
        <w:rPr>
          <w:sz w:val="20"/>
          <w:szCs w:val="20"/>
          <w:color w:val="auto"/>
        </w:rPr>
      </w:pPr>
      <w:r>
        <w:rPr>
          <w:rFonts w:ascii="Arial" w:cs="Arial" w:eastAsia="Arial" w:hAnsi="Arial"/>
          <w:sz w:val="17"/>
          <w:szCs w:val="17"/>
          <w:color w:val="auto"/>
        </w:rPr>
        <w:t>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In addition, our research and product development efforts could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19" w:lineRule="exact"/>
        <w:rPr>
          <w:sz w:val="20"/>
          <w:szCs w:val="20"/>
          <w:color w:val="auto"/>
        </w:rPr>
      </w:pPr>
    </w:p>
    <w:p>
      <w:pPr>
        <w:ind w:right="140" w:firstLine="432"/>
        <w:spacing w:after="0" w:line="287" w:lineRule="auto"/>
        <w:rPr>
          <w:sz w:val="20"/>
          <w:szCs w:val="20"/>
          <w:color w:val="auto"/>
        </w:rPr>
      </w:pPr>
      <w:r>
        <w:rPr>
          <w:rFonts w:ascii="Arial" w:cs="Arial" w:eastAsia="Arial" w:hAnsi="Arial"/>
          <w:sz w:val="16"/>
          <w:szCs w:val="16"/>
          <w:color w:val="auto"/>
        </w:rPr>
        <w:t>Uncertainty about the effect of the recent acquisition on our employees may have an adverse effect on us and, consequently, the combined business resulting from the acquisition. This uncertainty may impair our ability to attract, retain and motivate key personnel in the months after the merger for the combined entity. Employee retention may be particularly challenging as employees may experience uncertainty about their future roles with the combined business. Additionally, as a result of the acquisition, key Fluidigm Sciences employees became entitled to receive a portion of the acquisition consideration, the payment of which could provide sufficient financial incentive for certain officers and employees to no longer pursue employment with the combined business. In particular, we have identified several key Fluidigm Sciences employees, including key scientific and technical employees, who have been important to the development of Fluidigm Sciences’ products and technologies, and we have implemented employment compensation arrangements in connection with the acquisition to ensure these individuals’ continued employment with us. We cannot provide assurances that these arrangements will sufficiently incentivize these key employees to remain with us. If key employees depart because of issues relating to the uncertainty and difficulty of integration, financial incentives or a desire not to remain employees of the combined business, we may incur significant costs in identifying, hiring and retaining replacements for departing employees, which could substantially reduce or delay our ability to realize the anticipated benefits of the acquisition.</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25"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Any failure to successfully integrate Fluidigm Sciences’ business and operations or fully realize potential synergies from the acquisition in the expected time frame would adversely affect our business, operating results, and financial condition.</w:t>
      </w:r>
    </w:p>
    <w:p>
      <w:pPr>
        <w:spacing w:after="0" w:line="3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do not have a history of acquiring other companies, and the success of our recent acquisition will depend, in part, on our ability to successfully integrate the acquired business and operations and fully realize the anticipated benefits and potential synergies from the combined business. If we are unable to achieve these objectives, the anticipated benefits and potential synergies from the acquisition may not be realized fully or at all, or may take longer to realize than expected. Any failure to timely realize these anticipated benefits would have a material adverse effect on our business, operating results, and financial condition.</w:t>
      </w:r>
    </w:p>
    <w:p>
      <w:pPr>
        <w:spacing w:after="0" w:line="53"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completed our acquisition of DVS in February 2014 and the integration process is underway. In connection with the integration process, we could experience the loss of key employees, loss of key customers, decreases in revenues and increases in operating costs, as well as the disruption of our ongoing businesses, any or all of which could limit our ability to achieve the anticipated benefits and potential synergies from the acquisition and have a material adverse effect on our business,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and may continue to incur, significant acquisition-related integration costs in connection with the acquisition.</w:t>
      </w:r>
    </w:p>
    <w:p>
      <w:pPr>
        <w:spacing w:after="0" w:line="94"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have developed and are executing on a plan to integrate the operations of Fluidigm Sciences with our business. In connection with the integration, we have incurred, and may continue to incur, certain non-recurring charges; however, we cannot identify the timing, nature and amount of all such charges as of the date of this report. The integration costs are charged as an expense in the period incurred and could materially affect our results of operations in the period in which such charges are recorded. Although we believe that the elimination of duplicative costs, as well as the realization of other efficiencies related to the integration of the business, will offset incremental acquisition-related costs over time, this net benefit may not be achieved in the near term, or at all.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to our recent acquisition, we may make additional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Our acquisition of DVS was our first acquisition of another company. Any merger or acquisition we may pursue would involve numerous risks, including but not limited to the following:</w:t>
      </w:r>
    </w:p>
    <w:p>
      <w:pPr>
        <w:spacing w:after="0" w:line="80"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uncertainty of entry into markets in which we have limited or no prior experience and in which competitors have stronger market positions;</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171"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89"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3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31"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08"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During the nine months ended September 30, 2014 and years 2013, 2012, and 2011, approximately 49%, 48%, 47%, and 47%, respectively, of our product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79" w:lineRule="exact"/>
        <w:rPr>
          <w:sz w:val="20"/>
          <w:szCs w:val="20"/>
          <w:color w:val="auto"/>
        </w:rPr>
      </w:pPr>
    </w:p>
    <w:p>
      <w:pPr>
        <w:ind w:left="1300" w:hanging="644"/>
        <w:spacing w:after="0" w:line="34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required compliance with existing and changing foreign regulatory requirements and laws, such as the RoHS and WEEE directives, which regulate the use of certain hazardous substances in, and require the collection, reuse, and recycling of waste from, products we manufacture;</w:t>
      </w:r>
    </w:p>
    <w:p>
      <w:pPr>
        <w:spacing w:after="0" w:line="15" w:lineRule="exact"/>
        <w:rPr>
          <w:rFonts w:ascii="Arial" w:cs="Arial" w:eastAsia="Arial" w:hAnsi="Arial"/>
          <w:sz w:val="16"/>
          <w:szCs w:val="16"/>
          <w:color w:val="auto"/>
        </w:rPr>
      </w:pPr>
    </w:p>
    <w:p>
      <w:pPr>
        <w:ind w:left="1300" w:right="96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longer payment cycles and difficulties in enforcing agreements and collecting receivables through certain foreign legal systems;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unstable economic, political, and regulatory conditions;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16"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addition, 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it would become more costly in U.S. dollars for us to manufacture our products in Singapore.</w:t>
      </w:r>
    </w:p>
    <w:p>
      <w:pPr>
        <w:spacing w:after="0" w:line="134"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our anticipated growth effectively, our business could be harmed.</w:t>
      </w:r>
    </w:p>
    <w:p>
      <w:pPr>
        <w:spacing w:after="0" w:line="9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rapid growth of our business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believe our facilities located in Singapore, Canada, and California, are sufficient to meet our short-term manufacturing needs. The current lease for our manufacturing facility in Singapore expires in June 2022. In the event that we need to add to our existing manufacturing space in Singapore or move our manufacturing facility to a new location in Singapore, such a move will involve significant expense and efforts in connection with the establishment of new clean rooms and the recommissioning of key manufacturing equipment, and we cannot assure you that such a move would not delay or otherwise adversely affect our manufacturing activities. We cannot provide assurances that we will be able to secure a lease on a different manufacturing facility on acceptable terms and on a timely basis, if at all, to meet our future manufacturing needs.</w:t>
      </w:r>
    </w:p>
    <w:p>
      <w:pPr>
        <w:spacing w:after="0" w:line="124"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2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products could have unknown defects or errors, which may give rise to claims against us, adversely affect market adoption of our systems, and adversely affect our business, financial condition, and results of operations.</w:t>
      </w:r>
    </w:p>
    <w:p>
      <w:pPr>
        <w:spacing w:after="0" w:line="31" w:lineRule="exact"/>
        <w:rPr>
          <w:sz w:val="20"/>
          <w:szCs w:val="20"/>
          <w:color w:val="auto"/>
        </w:rPr>
      </w:pPr>
    </w:p>
    <w:p>
      <w:pPr>
        <w:jc w:val="both"/>
        <w:ind w:right="60" w:firstLine="432"/>
        <w:spacing w:after="0" w:line="302"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We also provide warranties relating to other parts of our systems. The costs incurred in correcting any defects or errors may be substantial and could adversely affect our operating margins.</w:t>
      </w:r>
    </w:p>
    <w:p>
      <w:pPr>
        <w:spacing w:after="0" w:line="10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11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17"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legal claims against us, including product liability claims, which could be costly and time consuming to defend and result in substantial damages.</w:t>
      </w:r>
    </w:p>
    <w:p>
      <w:pPr>
        <w:spacing w:after="0" w:line="11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our Access Array System is marketed as compatible with all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16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To use our products, our BioMark and CyTOF systems in particular, customers typically need to purchase specialized reagents. Any interruption in the availability of these reagents for use in our products could limit our ability to market our products.</w:t>
      </w:r>
    </w:p>
    <w:p>
      <w:pPr>
        <w:spacing w:after="0" w:line="3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Our products, our BioMark and CyTOF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16"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have limited experience in marketing, selling, and distributing our products, and if we are unable to expand our direct sales and marketing force or distribution capabilities to adequately address our customers’ needs, our business may be adversely affected.</w:t>
      </w:r>
    </w:p>
    <w:p>
      <w:pPr>
        <w:spacing w:after="0" w:line="31"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We have limited experience in marketing, selling, and distributing our products. 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 and profitability.</w:t>
      </w:r>
    </w:p>
    <w:p>
      <w:pPr>
        <w:spacing w:after="0" w:line="12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30"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12"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 Additionally, on February 13, 2014 we completed our acquisition of DVS, which is now our wholly-owned subsidiary and a "significant subsidiary" as defined by Rule 1-02 of Regulation S-X promulgated by the Securities and Exchange Commission. DVS was a private company and was not required to maintain internal controls over financial reporting to the same degree as public companies subject to the Sarbanes-Oxley Act. We are in the process of integrating DVS's operations with ours, including integration of financial reporting processes and procedures and internal controls over financing reporting. In the course of integration, we may identify internal control deficiencies or material weaknesses that require remediation.</w:t>
      </w:r>
    </w:p>
    <w:p>
      <w:pPr>
        <w:spacing w:after="0" w:line="12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Market, or NASDAQ, the SEC or other regulatory authorities, which would require additional financial and management resources.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Risks associated with a company-wide implementation of an enterprise resource planning, or ERP, system may adversely affect our business and results of operations or the effectiveness of internal control over financial reporting.</w:t>
      </w:r>
    </w:p>
    <w:p>
      <w:pPr>
        <w:spacing w:after="0" w:line="31"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have been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Additionally, we are in the process of integrating DVS's operations with our operations, including transitioning of DVS's business and financial processes to our ERP system. If we do not effectively implement the ERP system as planned, if the system does not operate as intended, or if we fail to properly integrate DVS's business and financial processes into our ERP system, our business, results of operations, and internal controls over financial reporting may be adversely affected.</w:t>
      </w:r>
    </w:p>
    <w:p>
      <w:pPr>
        <w:spacing w:after="0" w:line="10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believe that our existing cash and cash equivalents will be sufficient to meet our anticipated cash requirements for at least the next 18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need to raise substantial additional capital for various purposes, including:</w:t>
      </w:r>
    </w:p>
    <w:p>
      <w:pPr>
        <w:spacing w:after="0" w:line="49"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10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10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10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acquiring other businesses or assets and licensing technologies.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117"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 of defending, in litigation or otherwise, any claims that we infringe third-party patents or violate other intellectual property rights;</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300" w:right="68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224"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general, under Section 382 of the Internal Revenue Code, a corporation that undergoes an “ownership change” is subject to limitations on its ability to utilize its pre-change net operating losses, or NOLs, to offset future taxable income. If we undergo one or more ownership changes, our ability to utilize NOLs could be limited by Section 382 of the Internal Revenue Code. Future changes in our stock ownership, some of which are outside of our control, could result in an ownership change under Section 382 of the Internal Revenue Code.</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25"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6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2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64"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products and technologies or duplicate any of our products and technologies.</w:t>
      </w:r>
    </w:p>
    <w:p>
      <w:pPr>
        <w:spacing w:after="0" w:line="18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1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26"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2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For example, on June 4, 2008 we received a letter from Applied Biosystems, Inc., a wholly-owned subsidiary of Life Technologies Corporation (now part of Thermo Fisher Scientific Inc. and collectively referred to as Life), asserting that our BioMark System for gene expression analysis infringes upon U.S. Patent No. 6,814,934, or the ‘934 patent, and its foreign counterparts in Europe and Canada. In June 2011, we resolved this dispute by entering into license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agreements with Life which, among other matters, granted us a non-exclusive license to the ‘934 patent and its foreign counterparts.</w:t>
      </w:r>
    </w:p>
    <w:p>
      <w:pPr>
        <w:spacing w:after="0" w:line="17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2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3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w:t>
      </w:r>
    </w:p>
    <w:p>
      <w:pPr>
        <w:spacing w:after="0" w:line="127"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Our rights to use the technology we license are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For example, pursuant to the terms of a license agreement entered into with Life in June 2011, we were obligated to make a $1.0 million payment to Life upon satisfaction of certain conditions. On October 16, 2013, Life provided notice that the $1.0 million payment was due and payable under the license agreement. We believe that at least one of the conditions of the milestone payment remains unmet; however, we paid Life the amount due while reserving our rights with respect to such matter to, among other reasons, avoid what would have been, in our view, an improper termination of our license to certain Life patent filings under the agreement, which could have subjected our relevant product lines to risks associated with patent infringement litigation.</w:t>
      </w:r>
    </w:p>
    <w:p>
      <w:pPr>
        <w:spacing w:after="0" w:line="18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Fluidigm Sciences licenses core intellectual property rights covering its products under agreements with several third parties. Termination of or disputes relating to any of these license agreements would have a material adverse effect on our business, operating results, and financial condition and could result in our inability to sell Fluidigm Sciences’ mass cytometry products and otherwise to realize the benefits associated with the acquisition.</w:t>
      </w:r>
    </w:p>
    <w:p>
      <w:pPr>
        <w:spacing w:after="0" w:line="4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intellectual property rights covering Fluidigm Sciences’ products depend in substantial part on license agreements with third parties, in particular MDS, Inc., or MDS, and also with other third parties such as Nodality, Inc., or Nodality. The licensed intellectual property rights of MDS as well as MDS’s rights and obligations under the license agreement between Fluidigm Canada and MDS were subsequently assigned to and are now held by PerkinElmer Health Sciences, Inc., or PerkinElmer. Under the PerkinElmer license agreement, Fluidigm Canada received an exclusive, royalty bearing, worldwide license to certain patents that are now owned by PerkinElmer in the field of ICP-based mass cytometry, including the analysis of elemental tagged materials in connection therewith, and a non-exclusive license for reagents outside the field of ICP-based mass cytometry. Fluidigm Canada was also party to an interim license agreement, now expired, under which Nodality granted Fluidigm Canada a worldwide, non-exclusive, research use only, royalty bearing license to certain cytometric reagents, instruments, and other products. Fluidigm Canada and Nodality are currently in negotiations with respect to reinstating the license agreement and we cannot provide assurances that we will be able to reinstate or secure a new license agreement on acceptable terms, if at all. In addition, Fluidigm Sciences is party to additional in-license agreements with parties such as Stanford University that relate to significant intellectual property rights, and Fluidigm Sciences’ business and product development plans anticipate and will substantially depend on future in-license agreements with additional third parties, some of which are currently in the early discussion phase.</w:t>
      </w:r>
    </w:p>
    <w:p>
      <w:pPr>
        <w:spacing w:after="0" w:line="45"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In-licensed intellectual property rights that are fundamental to the business being operated present numerous risks relating to ownership and enforcement of intellectual property rights. For example, under the PerkinElmer license, Fluidigm Canada is not granted any right, and we do not have any right to bring enforcement actions with respect to the patents licensed from PerkinElmer, which could materially impair our ability to preclude competitors and other third parties from activities that we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consider to infringe on our exclusively licensed rights. In other cases such as with Nodality,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46"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In addition, Fluidigm Sciences’ licensors may generally terminate the applicable license agreement for uncured material breaches or if Fluidigm Sciences becomes insolvent, makes an assignment for the benefit of creditors, or has a petition in bankruptcy filed against it. In the case of Nodality, the existing license has expired and our acquisition of Fluidigm Sciences could adversely affect Fluidigm Sciences’ ability to negotiate a definitive license on commercially acceptable terms. Termination of material license agreements for any reason, including as a result of failure to obtain a required consent to assignment or as a result of an inability to negotiate a new or extended license where required, would result in a material loss of rights by us and Fluidigm Sciences and would be expected to have a material adverse effect on our business, operating results, and financial condition. In particular, any such termination could prevent us from manufacturing and selling Fluidigm Sciences’ products unless we can negotiate new license terms or develop or acquire alternative intellectual property rights that cover or enable similar functionality. While we do not believe that any existing material in-license agreements require the consent of the licensor in order for us to rely on these licenses, the question is not free from doubt, and one or more of Fluidigm Sciences’ licensors could contend that the failure to obtain their consent constituted a breach or default under the applicable license agreement or require the negotiation of a new license. In particular, in May 2014, we received a written notice of PerkinElmer’s position that the license agreement between Fluidigm Canada and PerkinElmer requires, as a result of the acquisition, that PerkinElmer consent to negotiate a commercially reasonable license to Fluidigm. We expect negotiations with PerkinElmer to ensue.</w:t>
      </w:r>
    </w:p>
    <w:p>
      <w:pPr>
        <w:spacing w:after="0" w:line="52"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In the case of a dispute over these or other terms of the applicable license agreements with any of Fluidigm Sciences’ licensors, including with respect to the license with PerkinElmer, we cannot provide assurances that we will be able to negotiate a new or amended license on commercially reasonable terms, if at all. Our potential dispute with PerkinElmer as well as any other disputes between us and one of Fluidigm Sciences’ existing licensors concerning the terms or conditions of the applicable license agreement, including with respect to its continued application following the acquisition, could result, among other risks, in substantial management distraction at a time when our management needs to focus on the integration of Fluidigm and Fluidigm Sciences; increased expenses associated with litigation or efforts to resolve disputes; substantial customer uncertainty concerning the direction of our proteomics product line; potential infringement claims against us and/or our customers, which could include efforts by a licensor to enjoin sales of Fluidigm Sciences products; customer requests for indemnification by Fluidigm; and, in the event of an adverse determination, our inability to operate the business of Fluidigm Sciences as currently operated or at all. Any of these factors would be expected to have a material adverse effect on our business, operating results, and financial condition and could result in a substantial decline in our stock price.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157"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All of our instruments, including microfluidic systems, and IFCs for commercial sale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Fluidigm Sciences is subject to certain obligations and restrictions relating to technologies developed in cooperation with Canadian government agencies.</w:t>
      </w:r>
    </w:p>
    <w:p>
      <w:pPr>
        <w:spacing w:after="0" w:line="31"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color w:val="auto"/>
        </w:rPr>
        <w:t>Some of Fluidigm Sciences’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Fluidigm Sciences’ intellectual property, including confidential information, and may reduce its competitive advantage in commercializing intellectual property developed through these projects. In certain projects Fluidigm Sciences has also agreed to use commercially reasonable efforts to commercialize intellectual property in Canada, or more specifically in the province of Ontario, for the economic benefit of Canada and the province of Ontario. These restrictions will limit its choice of business and manufacturing locations, business partners and corporate structure and may, in certain circumstances, restrict its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Fluidigm Sciences’ Canadian government funded projects is also subject to certain limited “march-in” rights in favor of the government of the Province of Ontario, under which Fluidigm Sciences may be required to grant a license to its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Fluidigm Sciences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Fluidigm Sciences’ business, operations and financial condition.</w:t>
      </w:r>
    </w:p>
    <w:p>
      <w:pPr>
        <w:spacing w:after="0" w:line="336" w:lineRule="exact"/>
        <w:rPr>
          <w:sz w:val="20"/>
          <w:szCs w:val="20"/>
          <w:color w:val="auto"/>
        </w:rPr>
      </w:pPr>
    </w:p>
    <w:p>
      <w:pPr>
        <w:ind w:right="620"/>
        <w:spacing w:after="0" w:line="33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Many of our employees were previously employed at universities or other life science or Ag-Bio companies, including our competitors or potential competitors. Although no claims against us are currently pending, Fluidigm Sciences has in the past received notices from third parties alleging potential disclosures of confidential information. We may become subject to claims that our employees or we have inadvertently or otherwise used or disclosed trade secrets or other proprietary information of their former employers or other third parties or institutions with whom Fluidigm Sciences employees may have been previously affiliated. Litigation may be necessary to defend against these claims. If we fail in defending such claims, in addition to paying monetary damages, we may lose valuable intellectual property rights. A loss of key research personnel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Common Stock</w:t>
      </w:r>
    </w:p>
    <w:p>
      <w:pPr>
        <w:spacing w:after="0" w:line="17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4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including affiliated stockholders, who hold substantial blocks of our stock. As of September 30, 2014, we had 28,235,898 shares of common stock outstanding, and stockholders holding at least 5% of our stock, individually or with affiliated persons or entities, collectively beneficially owned or controlled approximately 44%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w:t>
      </w:r>
    </w:p>
    <w:p>
      <w:pPr>
        <w:spacing w:after="0" w:line="11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62" w:lineRule="exact"/>
        <w:rPr>
          <w:sz w:val="20"/>
          <w:szCs w:val="20"/>
          <w:color w:val="auto"/>
        </w:rPr>
      </w:pPr>
    </w:p>
    <w:p>
      <w:pPr>
        <w:ind w:left="5620" w:right="2860" w:hanging="4964"/>
        <w:spacing w:after="0" w:line="559" w:lineRule="auto"/>
        <w:tabs>
          <w:tab w:leader="none" w:pos="130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 47</w:t>
      </w:r>
    </w:p>
    <w:p>
      <w:pPr>
        <w:sectPr>
          <w:pgSz w:w="11900" w:h="16838" w:orient="portrait"/>
          <w:cols w:equalWidth="0" w:num="1">
            <w:col w:w="11380"/>
          </w:cols>
          <w:pgMar w:left="240" w:top="125"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130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conditions in the life science, Ag-Bio, and clinical research sectors;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manufacturing disruptions that could occur if we were unable to successfully expand our production in our current or an alternative facility;</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7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3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3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3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directors, executive officers, and large stockholders have substantial control over and could limit your ability to influence the outcome of key transactions, including changes of control.</w:t>
      </w:r>
    </w:p>
    <w:p>
      <w:pPr>
        <w:spacing w:after="0" w:line="3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As of September 30, 2014, our current executive officers, directors, stockholders holding at least 5% of our outstanding stock, and their respective affiliates, collectively beneficially owned or controlled approximately 45% of the outstanding shares of our common stock. Accordingly, these executive officers, directors, large stockholders, and their respective affiliates, acting as a group, can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13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45" w:lineRule="exact"/>
        <w:rPr>
          <w:sz w:val="20"/>
          <w:szCs w:val="20"/>
          <w:color w:val="auto"/>
        </w:rPr>
      </w:pPr>
    </w:p>
    <w:p>
      <w:pPr>
        <w:ind w:right="880" w:firstLine="43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62" w:lineRule="exact"/>
        <w:rPr>
          <w:sz w:val="20"/>
          <w:szCs w:val="20"/>
          <w:color w:val="auto"/>
        </w:rPr>
      </w:pPr>
    </w:p>
    <w:p>
      <w:pPr>
        <w:ind w:left="1300" w:right="44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up to 10,000,000 shares of undesignated preferred stock;</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1300" w:right="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62"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Class I, Class II, and Class III, with each class serving staggered three year terms;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71"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94"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stockholders’ sole source of gain for the foreseeable future.</w:t>
      </w:r>
    </w:p>
    <w:p>
      <w:pPr>
        <w:spacing w:after="0" w:line="393"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Risks Related to Our Outstanding 2.75% Senior Convertible Notes due 2034</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outstanding 2.75% senior convertible notes due 2034 are effectively subordinated to our secured debt and any liabilities of our subsidiaries.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2.75% senior convertible notes due 2034, which we refer to as our “notes”, rank:</w:t>
      </w:r>
    </w:p>
    <w:p>
      <w:pPr>
        <w:spacing w:after="0" w:line="117"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senior in right of payment to any of our indebtedness that is expressly subordinated in right of payment to the notes;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equal in right of payment to all of our liabilities that are not so subordinated;</w:t>
      </w:r>
    </w:p>
    <w:p>
      <w:pPr>
        <w:spacing w:after="0" w:line="117"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junior in right of payment to any of our secured indebtedness to the extent of the value of the assets securing such indebtedness; and</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February 2014, we completed our offering of notes with an aggregate outstanding principal amount of $201.3 million. In the event of our bankruptcy, liquidation, reorganization, or other winding up, our assets that secure debt ranking senior in right of payment to the notes will be available to pay obligations on the notes only after the secured debt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 governing the notes does not prohibit us from incurring additional senior debt or secured debt, nor does it prohibit our subsidiaries from incurring additional liabilities.</w:t>
      </w:r>
    </w:p>
    <w:p>
      <w:pPr>
        <w:spacing w:after="0" w:line="18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notes are our obligations only and some of our operations are conducted through, and a portion of our consolidated assets are held by, our subsidiaries.</w:t>
      </w:r>
    </w:p>
    <w:p>
      <w:pPr>
        <w:spacing w:after="0" w:line="3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notes are our obligations exclusively and are not guaranteed by any of our operating subsidiaries. A portion of our consolidated assets is held by our subsidiaries. Accordingly, our ability to service our debt, including the notes, depends in part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and tax considerations.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notes.</w:t>
      </w:r>
    </w:p>
    <w:p>
      <w:pPr>
        <w:spacing w:after="0" w:line="94"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We expect that many investors in, and potential purchasers of, the notes will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notes to conduct the convertible arbitrage strategy that we believe they will employ, or seek to employ, with respect to the notes. This could, in turn, adversely affect the trading price and liquidity of the notes.</w:t>
      </w:r>
    </w:p>
    <w:p>
      <w:pPr>
        <w:spacing w:after="0" w:line="32"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Although the direction and magnitude of the effect that Regulation SHO, FINRA, securities exchange rule changes, and implementation of the Dodd-Frank Act may have on the trading price and the liquidity of the notes will depend on a variety of factors, many of which cannot be determined at the date of this report, past regulatory actions (such as certain emergency orders issued by the SEC in 2008 prohibiting short sales of stock of certain financial services companies) have had a significant impact on the trading prices and liquidity of convertible debt instruments. Any governmental or regulatory action that restricts the ability of investors in, or potential purchasers of, the notes to effect short sales of our common stock, borrow our common stock, or enter into swaps on our common stock or increases the costs of implementing an arbitrage strategy could adversely affect the trading price and the liquidity of the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market price and trading volume of our common stock could adversely impact the trading price of the notes.</w:t>
      </w:r>
    </w:p>
    <w:p>
      <w:pPr>
        <w:spacing w:after="0" w:line="9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report,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The market price of our common stock could also decline as a result of sales of a large number of shares of our common stock in the market, particularly sales by our directors, executive officers, employees, and significant stockholders, and the perception that these sales could occur may also depress the market price of our common stock.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still incur substantially more debt or take other actions which would intensify the risks discussed above.</w:t>
      </w:r>
    </w:p>
    <w:p>
      <w:pPr>
        <w:spacing w:after="0" w:line="9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currently have a financing arrangement pursuant to which we may incur up to $10 million of revolver borrowings and our subsidiaries may be able to incur substantial additional debt, subject to the restrictions contained in such arrangement or our future debt instruments, some of which may be secured debt. We are not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7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may not have the ability to raise the funds necessary to repurchase the notes upon specified dates or upon a fundamental change, and our future debt may contain limitations on our ability to repurchase the notes.</w:t>
      </w:r>
    </w:p>
    <w:p>
      <w:pPr>
        <w:spacing w:after="0" w:line="3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Holders of the notes have the right to require us to repurchase all or a portion of their notes on certain dates or upon the occurrence of a fundamental change at a repurchase price equal to 100% of the principal amount of the notes to be repurchased,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plus accrued and unpaid interest, if any. We may not have enough available cash or be able to obtain financing at the time we are required to make repurchases of notes surrendered therefor.</w:t>
      </w:r>
    </w:p>
    <w:p>
      <w:pPr>
        <w:spacing w:after="0" w:line="3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our ability to repurchase the notes may be limited by law, regulatory authority, or agreements governing our future indebtedness. Our failure to repurchase notes at a time when the repurchase is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18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Holders of notes are not entitled to any rights with respect to our common stock, but they are subject to all changes made with respect to them to the extent our conversion obligation includes shares of our common stock.</w:t>
      </w:r>
    </w:p>
    <w:p>
      <w:pPr>
        <w:spacing w:after="0" w:line="31" w:lineRule="exact"/>
        <w:rPr>
          <w:sz w:val="20"/>
          <w:szCs w:val="20"/>
          <w:color w:val="auto"/>
        </w:rPr>
      </w:pPr>
    </w:p>
    <w:p>
      <w:pPr>
        <w:ind w:right="240" w:firstLine="432"/>
        <w:spacing w:after="0" w:line="273" w:lineRule="auto"/>
        <w:rPr>
          <w:sz w:val="20"/>
          <w:szCs w:val="20"/>
          <w:color w:val="auto"/>
        </w:rPr>
      </w:pPr>
      <w:r>
        <w:rPr>
          <w:rFonts w:ascii="Arial" w:cs="Arial" w:eastAsia="Arial" w:hAnsi="Arial"/>
          <w:sz w:val="17"/>
          <w:szCs w:val="17"/>
          <w:color w:val="auto"/>
        </w:rPr>
        <w:t>Holders of notes are not entitled to any rights with respect to our common stock (including, without limitation, voting rights and rights to receive any dividends or other distributions on our common stock) prior to the conversion date with respect to any notes they surrender for conversion, but they are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the conversion date with respect to any notes surrendered for conversion, then the holder surrendering such notes will not be entitled to vote on the amendment, although such holder will nevertheless be subject to any changes affecting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made only limited covenants in the indenture governing the notes, and these limited covenants may not protect a noteholder's investment.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governing the notes does not:</w:t>
      </w:r>
    </w:p>
    <w:p>
      <w:pPr>
        <w:spacing w:after="0" w:line="117" w:lineRule="exact"/>
        <w:rPr>
          <w:sz w:val="20"/>
          <w:szCs w:val="20"/>
          <w:color w:val="auto"/>
        </w:rPr>
      </w:pPr>
    </w:p>
    <w:p>
      <w:pPr>
        <w:ind w:left="1300" w:right="180" w:hanging="644"/>
        <w:spacing w:after="0" w:line="342"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 us to maintain any financial ratios or specific levels of net worth, revenues, income, cash flows, or liquidity and, accordingly, does not protect holders of the notes in the event that we experience adverse changes in our financial condition or results of operations;</w:t>
      </w:r>
    </w:p>
    <w:p>
      <w:pPr>
        <w:spacing w:after="0" w:line="15" w:lineRule="exact"/>
        <w:rPr>
          <w:rFonts w:ascii="Arial" w:cs="Arial" w:eastAsia="Arial" w:hAnsi="Arial"/>
          <w:sz w:val="16"/>
          <w:szCs w:val="16"/>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subsidiaries’ ability to guarantee or incur indebtedness that would rank structurally senior to the notes;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ability to incur additional indebtedness, including secured indebtedness;</w:t>
      </w:r>
    </w:p>
    <w:p>
      <w:pPr>
        <w:spacing w:after="0" w:line="117"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that would be senior to our equity interests in our subsidiaries and therefore would be structurally senior to the notes;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our ability to repurchase our securities;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our ability to pledge our assets or those of our subsidiaries;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restrict our ability to make investments or pay dividends or make other payments in respect of our common stock or our other indebtedness.</w:t>
      </w:r>
    </w:p>
    <w:p>
      <w:pPr>
        <w:spacing w:after="0" w:line="11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Furthermore, the indenture governing the notes contains only limited protections in the event of a change of control. We could engage in many types of transactions, such as acquisitions, refinancings, or certain recapitalizations, that could substantially affect our capital structure and the value of the notes and our common stock but may not constitute a “fundamental change” that permits holders to require us to repurchase their notes or a “make-whole fundamental change” that permits holders to convert their notes at an increased conversion rate. For these reasons, the limited covenants in the indenture governing the notes may not protect a noteholder's investment in the notes.</w:t>
      </w:r>
    </w:p>
    <w:p>
      <w:pPr>
        <w:spacing w:after="0" w:line="184" w:lineRule="exact"/>
        <w:rPr>
          <w:sz w:val="20"/>
          <w:szCs w:val="20"/>
          <w:color w:val="auto"/>
        </w:rPr>
      </w:pPr>
    </w:p>
    <w:p>
      <w:pPr>
        <w:ind w:right="320"/>
        <w:spacing w:after="0" w:line="313" w:lineRule="auto"/>
        <w:rPr>
          <w:sz w:val="20"/>
          <w:szCs w:val="20"/>
          <w:color w:val="auto"/>
        </w:rPr>
      </w:pPr>
      <w:r>
        <w:rPr>
          <w:rFonts w:ascii="Arial" w:cs="Arial" w:eastAsia="Arial" w:hAnsi="Arial"/>
          <w:sz w:val="17"/>
          <w:szCs w:val="17"/>
          <w:b w:val="1"/>
          <w:bCs w:val="1"/>
          <w:color w:val="auto"/>
        </w:rPr>
        <w:t>The increase in the conversion rate for notes converted in connection with a make-whole fundamental change or provisional redemption may not adequately compensate noteholders for any lost value of the notes as a result of such transaction or redemption.</w:t>
      </w:r>
    </w:p>
    <w:p>
      <w:pPr>
        <w:spacing w:after="0" w:line="7"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If a make-whole fundamental change occurs prior to February 6, 2021 or upon our issuance of a notice of provisional redemption, under certain circumstances, we will increase the conversion rate by a number of additional shares of our common stock for notes converted in connection with such events. The increase in the conversion rate for notes converted in connection with such events may not adequately compensate noteholders for any lost value of the notes as a result of such transaction or redemption. In addition, if the price of our common stock in the transaction is greater than $180.00 per share or less than $39.96 per share (in each case, subject to adjustment), no additional shares will be added to the conversion rate. Moreover, in no event will the conversion rate per $1,000 principal amount of notes as a result of this adjustment exceed 25.0250 shares of common stock, subject to adjustment.</w:t>
      </w:r>
    </w:p>
    <w:p>
      <w:pPr>
        <w:spacing w:after="0" w:line="30"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Our obligation to increase the conversion rate for notes converted in connection with such events could be considered a penalty, in which case the enforceability thereof would be subject to general principles of reasonableness and equitable remedies.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conversion rate of the notes may not be adjusted for all dilutive events.</w:t>
      </w:r>
    </w:p>
    <w:p>
      <w:pPr>
        <w:spacing w:after="0" w:line="9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conversion rate of the notes is subject to adjustment for certain events, including, but not limited to, the issuance of certain stock dividends on our common stock, the issuance of certain rights or warrants, subdivisions, combinations, distributions of capital stock, indebtedness, or assets, cash dividends and certain issuer tender or exchange offers. However, the conversion rate will not be adjusted for other events, such as a third-party tender or exchange offer or an issuance of common stock for cash, that may adversely affect the trading price of the notes or our common stock. An event that adversely affects the value of the notes may occur, and that event may not result in an adjustment to the conversion rate.</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Some significant restructuring transactions may not constitute a fundamental change, in which case we would not be obligated to offer to repurchase the notes.</w:t>
      </w:r>
    </w:p>
    <w:p>
      <w:pPr>
        <w:spacing w:after="0" w:line="3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Upon the occurrence of a fundamental change, a holder of notes has the right to require us to repurchase the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may not constitute a fundamental change requiring us to repurchase the notes. In the event of any such transaction, the holders would not have the right to require us to repurchase the notes, even though each of these transactions could increase the amount of our indebtedness, or otherwise adversely affect our capital structure or any credit ratings, thereby adversely affecting the holders of notes.</w:t>
      </w:r>
    </w:p>
    <w:p>
      <w:pPr>
        <w:spacing w:after="0" w:line="58"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In addition, absent the occurrence of a fundamental change or a make-whole fundamental change as described under changes in the composition of our board of directors will not provide holders with the right to require us to repurchase the notes or to an increase in the conversion rate upon conversion.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noteholders that an active trading market will develop or be maintained for the notes.</w:t>
      </w:r>
    </w:p>
    <w:p>
      <w:pPr>
        <w:spacing w:after="0" w:line="9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do not intend to apply to list our outstanding convertible notes on any securities exchange or to arrange for quotation on any automated dealer quotation system. In addition, the liquidity of the trading market in the notes and the market price quoted for the notes may be adversely affected by changes in the overall market for this type of security and by changes in our financial performance or prospects or in the prospects for companies in our industry generally. As a result, we cannot assure noteholders that an active trading market will develop or be maintained for the notes. If an active trading market does not develop or is not maintained, the market price and liquidity of the notes may be adversely affected. In that case, noteholders may not be able to sell the notes at a particular time or at a favorable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adverse rating of the notes may cause their trading price to fall.</w:t>
      </w:r>
    </w:p>
    <w:p>
      <w:pPr>
        <w:spacing w:after="0" w:line="94"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We do not intend to seek a rating on the notes. However, if a rating service were to rate the notes and if such rating service were to lower its rating on the notes below the rating initially assigned to the notes or otherwise announces its intention to put the notes on credit watch, the trading price of the notes could decline.</w:t>
      </w:r>
    </w:p>
    <w:p>
      <w:pPr>
        <w:spacing w:after="0" w:line="17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Holders of notes may be subject to tax if we make or fail to make certain adjustments to the conversion rate of the notes even though they do not receive a corresponding cash distribution.</w:t>
      </w:r>
    </w:p>
    <w:p>
      <w:pPr>
        <w:spacing w:after="0" w:line="31"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conversion rate of the notes is subject to adjustment in certain circumstances, including the payment of cash dividends. If the conversion rate is adjusted as a result of a distribution that is taxable to our common stockholders, such as a cash dividend, a noteholder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you. If a make-whole fundamental change occurs prior to February 6, 2021 or we provide notice of a provisional redemption, under some circumstances, we will increase the conversion rate for notes converted in connection with the make-whole fundamental change or provisional redemption. Such increase may also be treated as a distribution subject to U.S. federal income tax as a dividend. For a non-U.S. holder, any deemed dividend would be subject to U.S. federal withholding tax at a 30% rate, or such lower rate as may be specified by an applicable treaty, which may be set off against subsequent payments on the notes.</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Any conversions of the notes will dilute the ownership interest of our existing stockholders, including holders who had previously converted their notes.</w:t>
      </w:r>
    </w:p>
    <w:p>
      <w:pPr>
        <w:spacing w:after="0" w:line="31"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Any conversion of some or all of the notes will dilute the ownership interests of our existing stockholders.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depress the price of our common stock.</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Incorporated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Incorporated by</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From</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49"/>
        </w:trPr>
        <w:tc>
          <w:tcPr>
            <w:tcW w:w="1960" w:type="dxa"/>
            <w:vAlign w:val="bottom"/>
            <w:gridSpan w:val="2"/>
            <w:vMerge w:val="continue"/>
          </w:tcPr>
          <w:p>
            <w:pPr>
              <w:spacing w:after="0"/>
              <w:rPr>
                <w:sz w:val="12"/>
                <w:szCs w:val="12"/>
                <w:color w:val="auto"/>
              </w:rPr>
            </w:pPr>
          </w:p>
        </w:tc>
        <w:tc>
          <w:tcPr>
            <w:tcW w:w="492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360" w:type="dxa"/>
            <w:vAlign w:val="bottom"/>
            <w:vMerge w:val="restart"/>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Exhibit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3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471"/>
        </w:trPr>
        <w:tc>
          <w:tcPr>
            <w:tcW w:w="1620" w:type="dxa"/>
            <w:vAlign w:val="bottom"/>
          </w:tcPr>
          <w:p>
            <w:pPr>
              <w:ind w:left="4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Business Financing Modification Agreement dated July 31, 2014,</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8/4/2014</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by and between Bridge Bank, National Association and Fluidigm</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Corporation (File No. 001-34180)</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620" w:type="dxa"/>
            <w:vAlign w:val="bottom"/>
          </w:tcPr>
          <w:p>
            <w:pPr>
              <w:ind w:left="4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2"/>
                <w:szCs w:val="22"/>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Fifth Amendment to Lease Agreement between ARE-San</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Francisco No. 17, LLC and the registrant, dated September 15,</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920" w:type="dxa"/>
            <w:vAlign w:val="bottom"/>
          </w:tcPr>
          <w:p>
            <w:pPr>
              <w:ind w:left="40"/>
              <w:spacing w:after="0"/>
              <w:rPr>
                <w:sz w:val="20"/>
                <w:szCs w:val="20"/>
                <w:color w:val="auto"/>
              </w:rPr>
            </w:pPr>
            <w:r>
              <w:rPr>
                <w:rFonts w:ascii="Arial" w:cs="Arial" w:eastAsia="Arial" w:hAnsi="Arial"/>
                <w:sz w:val="18"/>
                <w:szCs w:val="18"/>
                <w:color w:val="auto"/>
              </w:rPr>
              <w:t>2014</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62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32.2(1)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Instance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Definition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0" w:right="240" w:hanging="565"/>
        <w:spacing w:after="0" w:line="271" w:lineRule="auto"/>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FLUIDIGM CORPORATION</w:t>
      </w:r>
    </w:p>
    <w:p>
      <w:pPr>
        <w:spacing w:after="0" w:line="185" w:lineRule="exact"/>
        <w:rPr>
          <w:sz w:val="20"/>
          <w:szCs w:val="20"/>
          <w:color w:val="auto"/>
        </w:rPr>
      </w:pPr>
    </w:p>
    <w:p>
      <w:pPr>
        <w:ind w:left="40"/>
        <w:spacing w:after="0"/>
        <w:tabs>
          <w:tab w:leader="none" w:pos="7100" w:val="left"/>
          <w:tab w:leader="none" w:pos="7780" w:val="left"/>
        </w:tabs>
        <w:rPr>
          <w:sz w:val="20"/>
          <w:szCs w:val="20"/>
          <w:color w:val="auto"/>
        </w:rPr>
      </w:pPr>
      <w:r>
        <w:rPr>
          <w:rFonts w:ascii="Arial" w:cs="Arial" w:eastAsia="Arial" w:hAnsi="Arial"/>
          <w:sz w:val="18"/>
          <w:szCs w:val="18"/>
          <w:color w:val="auto"/>
        </w:rPr>
        <w:t>Dated: November 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President and Chief Executive Officer</w:t>
      </w:r>
    </w:p>
    <w:p>
      <w:pPr>
        <w:spacing w:after="0" w:line="196" w:lineRule="exact"/>
        <w:rPr>
          <w:sz w:val="20"/>
          <w:szCs w:val="20"/>
          <w:color w:val="auto"/>
        </w:rPr>
      </w:pPr>
    </w:p>
    <w:p>
      <w:pPr>
        <w:ind w:left="40"/>
        <w:spacing w:after="0"/>
        <w:tabs>
          <w:tab w:leader="none" w:pos="7100" w:val="left"/>
          <w:tab w:leader="none" w:pos="7780" w:val="left"/>
        </w:tabs>
        <w:rPr>
          <w:sz w:val="20"/>
          <w:szCs w:val="20"/>
          <w:color w:val="auto"/>
        </w:rPr>
      </w:pPr>
      <w:r>
        <w:rPr>
          <w:rFonts w:ascii="Arial" w:cs="Arial" w:eastAsia="Arial" w:hAnsi="Arial"/>
          <w:sz w:val="18"/>
          <w:szCs w:val="18"/>
          <w:color w:val="auto"/>
        </w:rPr>
        <w:t>Dated: November 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720"/>
          </w:cols>
          <w:pgMar w:left="240" w:top="125" w:right="9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LIST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Incorporated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Incorporated by</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From</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49"/>
        </w:trPr>
        <w:tc>
          <w:tcPr>
            <w:tcW w:w="1960" w:type="dxa"/>
            <w:vAlign w:val="bottom"/>
            <w:gridSpan w:val="2"/>
            <w:vMerge w:val="continue"/>
          </w:tcPr>
          <w:p>
            <w:pPr>
              <w:spacing w:after="0"/>
              <w:rPr>
                <w:sz w:val="12"/>
                <w:szCs w:val="12"/>
                <w:color w:val="auto"/>
              </w:rPr>
            </w:pPr>
          </w:p>
        </w:tc>
        <w:tc>
          <w:tcPr>
            <w:tcW w:w="492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360" w:type="dxa"/>
            <w:vAlign w:val="bottom"/>
            <w:vMerge w:val="restart"/>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Exhibit</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3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350"/>
        </w:trPr>
        <w:tc>
          <w:tcPr>
            <w:tcW w:w="1620" w:type="dxa"/>
            <w:vAlign w:val="bottom"/>
          </w:tcPr>
          <w:p>
            <w:pPr>
              <w:ind w:left="4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Business Financing Modification Agreement dated July 31, 2014,</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8/4/2014</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by and between Bridge Bank, National Association and Fluidigm</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Corporation (File No. 001-34180)</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620" w:type="dxa"/>
            <w:vAlign w:val="bottom"/>
          </w:tcPr>
          <w:p>
            <w:pPr>
              <w:ind w:left="4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2"/>
                <w:szCs w:val="22"/>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Fifth Amendment to Lease Agreement between ARE-San</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Francisco No. 17, LLC and the registrant, dated September 15,</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920" w:type="dxa"/>
            <w:vAlign w:val="bottom"/>
          </w:tcPr>
          <w:p>
            <w:pPr>
              <w:ind w:left="40"/>
              <w:spacing w:after="0"/>
              <w:rPr>
                <w:sz w:val="20"/>
                <w:szCs w:val="20"/>
                <w:color w:val="auto"/>
              </w:rPr>
            </w:pPr>
            <w:r>
              <w:rPr>
                <w:rFonts w:ascii="Arial" w:cs="Arial" w:eastAsia="Arial" w:hAnsi="Arial"/>
                <w:sz w:val="18"/>
                <w:szCs w:val="18"/>
                <w:color w:val="auto"/>
              </w:rPr>
              <w:t>2014</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62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32.2(1)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Instance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Definition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600" w:right="440" w:hanging="565"/>
        <w:spacing w:after="0" w:line="271" w:lineRule="auto"/>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TO LEASE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THIS FIFTH AMENDMENT TO LEASE (this "</w:t>
      </w:r>
      <w:r>
        <w:rPr>
          <w:rFonts w:ascii="Arial" w:cs="Arial" w:eastAsia="Arial" w:hAnsi="Arial"/>
          <w:sz w:val="18"/>
          <w:szCs w:val="18"/>
          <w:b w:val="1"/>
          <w:bCs w:val="1"/>
          <w:color w:val="auto"/>
        </w:rPr>
        <w:t>Fifth Amendment</w:t>
      </w:r>
      <w:r>
        <w:rPr>
          <w:rFonts w:ascii="Arial" w:cs="Arial" w:eastAsia="Arial" w:hAnsi="Arial"/>
          <w:sz w:val="18"/>
          <w:szCs w:val="18"/>
          <w:color w:val="auto"/>
        </w:rPr>
        <w:t xml:space="preserve">") is made as of September 15, 2014, by and between </w:t>
      </w:r>
      <w:r>
        <w:rPr>
          <w:rFonts w:ascii="Arial" w:cs="Arial" w:eastAsia="Arial" w:hAnsi="Arial"/>
          <w:sz w:val="18"/>
          <w:szCs w:val="18"/>
          <w:b w:val="1"/>
          <w:bCs w:val="1"/>
          <w:color w:val="auto"/>
        </w:rPr>
        <w:t>ARE-SAN</w:t>
      </w:r>
      <w:r>
        <w:rPr>
          <w:rFonts w:ascii="Arial" w:cs="Arial" w:eastAsia="Arial" w:hAnsi="Arial"/>
          <w:sz w:val="18"/>
          <w:szCs w:val="18"/>
          <w:color w:val="auto"/>
        </w:rPr>
        <w:t xml:space="preserve"> </w:t>
      </w:r>
      <w:r>
        <w:rPr>
          <w:rFonts w:ascii="Arial" w:cs="Arial" w:eastAsia="Arial" w:hAnsi="Arial"/>
          <w:sz w:val="18"/>
          <w:szCs w:val="18"/>
          <w:b w:val="1"/>
          <w:bCs w:val="1"/>
          <w:color w:val="auto"/>
        </w:rPr>
        <w:t>FRANCISCO NO. 17,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FLUIDIGM CORPORATION</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47" w:lineRule="exact"/>
        <w:rPr>
          <w:sz w:val="20"/>
          <w:szCs w:val="20"/>
          <w:color w:val="auto"/>
        </w:rPr>
      </w:pPr>
    </w:p>
    <w:p>
      <w:pPr>
        <w:jc w:val="both"/>
        <w:ind w:firstLine="656"/>
        <w:spacing w:after="0" w:line="252" w:lineRule="auto"/>
        <w:tabs>
          <w:tab w:leader="none" w:pos="1103"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Landlord and Tenant are now parties to that certain Lease Agreement dated as of September 14, 2010, as amended by that certain First Amendment to Lease dated as of September 22, 2010, as further amended by that certain letter agreement dated August 2, 2012, as further amended by that certain Second Amendment to Lease dated as of April 9, 2013 (“</w:t>
      </w:r>
      <w:r>
        <w:rPr>
          <w:rFonts w:ascii="Arial" w:cs="Arial" w:eastAsia="Arial" w:hAnsi="Arial"/>
          <w:sz w:val="18"/>
          <w:szCs w:val="18"/>
          <w:b w:val="1"/>
          <w:bCs w:val="1"/>
          <w:color w:val="auto"/>
        </w:rPr>
        <w:t>Second Amendment</w:t>
      </w:r>
      <w:r>
        <w:rPr>
          <w:rFonts w:ascii="Arial" w:cs="Arial" w:eastAsia="Arial" w:hAnsi="Arial"/>
          <w:sz w:val="18"/>
          <w:szCs w:val="18"/>
          <w:color w:val="auto"/>
        </w:rPr>
        <w:t>”), as further amended by that certain Third Amendment to Lease dated as of June 25, 2013, and as further amended by that certain Fourth Amendment to Lease dated as of June 4, 2014 (as amended, the "</w:t>
      </w:r>
      <w:r>
        <w:rPr>
          <w:rFonts w:ascii="Arial" w:cs="Arial" w:eastAsia="Arial" w:hAnsi="Arial"/>
          <w:sz w:val="18"/>
          <w:szCs w:val="18"/>
          <w:b w:val="1"/>
          <w:bCs w:val="1"/>
          <w:color w:val="auto"/>
        </w:rPr>
        <w:t>Lease</w:t>
      </w:r>
      <w:r>
        <w:rPr>
          <w:rFonts w:ascii="Arial" w:cs="Arial" w:eastAsia="Arial" w:hAnsi="Arial"/>
          <w:sz w:val="18"/>
          <w:szCs w:val="18"/>
          <w:color w:val="auto"/>
        </w:rPr>
        <w:t>"). Pursuant to the Lease, Tenant leases certain premises consisting of approximately 61,793 rentable square feet ("</w:t>
      </w:r>
      <w:r>
        <w:rPr>
          <w:rFonts w:ascii="Arial" w:cs="Arial" w:eastAsia="Arial" w:hAnsi="Arial"/>
          <w:sz w:val="18"/>
          <w:szCs w:val="18"/>
          <w:b w:val="1"/>
          <w:bCs w:val="1"/>
          <w:color w:val="auto"/>
        </w:rPr>
        <w:t>Current Premises</w:t>
      </w:r>
      <w:r>
        <w:rPr>
          <w:rFonts w:ascii="Arial" w:cs="Arial" w:eastAsia="Arial" w:hAnsi="Arial"/>
          <w:sz w:val="18"/>
          <w:szCs w:val="18"/>
          <w:color w:val="auto"/>
        </w:rPr>
        <w:t>") in a building located at 7000 Shoreline Court, South San Francisco, California. The Current Premises are more particularly described in the Lease. Capitalized terms used herein without definition shall have the meanings defined for such terms in the Lease.</w:t>
      </w:r>
    </w:p>
    <w:p>
      <w:pPr>
        <w:spacing w:after="0" w:line="206" w:lineRule="exact"/>
        <w:rPr>
          <w:rFonts w:ascii="Arial" w:cs="Arial" w:eastAsia="Arial" w:hAnsi="Arial"/>
          <w:sz w:val="18"/>
          <w:szCs w:val="18"/>
          <w:b w:val="1"/>
          <w:bCs w:val="1"/>
          <w:color w:val="auto"/>
        </w:rPr>
      </w:pPr>
    </w:p>
    <w:p>
      <w:pPr>
        <w:jc w:val="both"/>
        <w:ind w:firstLine="656"/>
        <w:spacing w:after="0" w:line="256" w:lineRule="auto"/>
        <w:tabs>
          <w:tab w:leader="none" w:pos="1089"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 xml:space="preserve">Landlord and Tenant desire, subject to the terms and conditions set forth below, to amend the Lease to, among other things, expand the size of the Current Premises by adding approximately 8,903 rentable square feet of space on the first floor of the Building, as set forth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to this Fifth Amendment (collectively, the “</w:t>
      </w:r>
      <w:r>
        <w:rPr>
          <w:rFonts w:ascii="Arial" w:cs="Arial" w:eastAsia="Arial" w:hAnsi="Arial"/>
          <w:sz w:val="18"/>
          <w:szCs w:val="18"/>
          <w:b w:val="1"/>
          <w:bCs w:val="1"/>
          <w:color w:val="auto"/>
        </w:rPr>
        <w:t>Third Expansion Premises</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which are incorporated herein by this reference, the mutual promises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contained herein, and for other good and valuable consideration, the receipt and sufficiency of which are hereby acknowledged, Landlord and Tenant hereby agree as follows:</w:t>
      </w:r>
    </w:p>
    <w:p>
      <w:pPr>
        <w:spacing w:after="0" w:line="168" w:lineRule="exact"/>
        <w:rPr>
          <w:sz w:val="20"/>
          <w:szCs w:val="20"/>
          <w:color w:val="auto"/>
        </w:rPr>
      </w:pPr>
    </w:p>
    <w:p>
      <w:pPr>
        <w:ind w:left="660" w:right="20" w:hanging="652"/>
        <w:spacing w:after="0" w:line="28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Third Expansion Premises</w:t>
      </w:r>
      <w:r>
        <w:rPr>
          <w:rFonts w:ascii="Arial" w:cs="Arial" w:eastAsia="Arial" w:hAnsi="Arial"/>
          <w:sz w:val="18"/>
          <w:szCs w:val="18"/>
          <w:color w:val="auto"/>
        </w:rPr>
        <w:t>. In addition to the Current Premises, commencing on the Third Expansion Premises Commencement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 (as defined below), Landlord leases to Tenant, and Tenant leases from Landlord, the Third Expansion Premises.</w:t>
      </w:r>
    </w:p>
    <w:p>
      <w:pPr>
        <w:spacing w:after="0" w:line="153" w:lineRule="exact"/>
        <w:rPr>
          <w:rFonts w:ascii="Arial" w:cs="Arial" w:eastAsia="Arial" w:hAnsi="Arial"/>
          <w:sz w:val="18"/>
          <w:szCs w:val="18"/>
          <w:color w:val="auto"/>
        </w:rPr>
      </w:pPr>
    </w:p>
    <w:p>
      <w:pPr>
        <w:jc w:val="both"/>
        <w:ind w:left="660" w:hanging="652"/>
        <w:spacing w:after="0" w:line="25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w:t>
      </w:r>
      <w:r>
        <w:rPr>
          <w:rFonts w:ascii="Arial" w:cs="Arial" w:eastAsia="Arial" w:hAnsi="Arial"/>
          <w:sz w:val="18"/>
          <w:szCs w:val="18"/>
          <w:color w:val="auto"/>
        </w:rPr>
        <w:t>. Landlord shall deliver (“</w:t>
      </w:r>
      <w:r>
        <w:rPr>
          <w:rFonts w:ascii="Arial" w:cs="Arial" w:eastAsia="Arial" w:hAnsi="Arial"/>
          <w:sz w:val="18"/>
          <w:szCs w:val="18"/>
          <w:b w:val="1"/>
          <w:bCs w:val="1"/>
          <w:color w:val="auto"/>
        </w:rPr>
        <w:t>Delivery</w:t>
      </w:r>
      <w:r>
        <w:rPr>
          <w:rFonts w:ascii="Arial" w:cs="Arial" w:eastAsia="Arial" w:hAnsi="Arial"/>
          <w:sz w:val="18"/>
          <w:szCs w:val="18"/>
          <w:color w:val="auto"/>
        </w:rPr>
        <w:t>” or “</w:t>
      </w:r>
      <w:r>
        <w:rPr>
          <w:rFonts w:ascii="Arial" w:cs="Arial" w:eastAsia="Arial" w:hAnsi="Arial"/>
          <w:sz w:val="18"/>
          <w:szCs w:val="18"/>
          <w:b w:val="1"/>
          <w:bCs w:val="1"/>
          <w:color w:val="auto"/>
        </w:rPr>
        <w:t>Deliver</w:t>
      </w:r>
      <w:r>
        <w:rPr>
          <w:rFonts w:ascii="Arial" w:cs="Arial" w:eastAsia="Arial" w:hAnsi="Arial"/>
          <w:sz w:val="18"/>
          <w:szCs w:val="18"/>
          <w:color w:val="auto"/>
        </w:rPr>
        <w:t>”) the Third Expansion Premises to Tenant on the date that is 1 business day</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mutual execution and delivery of this Fifth Amendment by the parties. The “</w:t>
      </w:r>
      <w:r>
        <w:rPr>
          <w:rFonts w:ascii="Arial" w:cs="Arial" w:eastAsia="Arial" w:hAnsi="Arial"/>
          <w:sz w:val="18"/>
          <w:szCs w:val="18"/>
          <w:b w:val="1"/>
          <w:bCs w:val="1"/>
          <w:color w:val="auto"/>
        </w:rPr>
        <w:t>Third Expansion Premises Commencement</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shall be the date Landlord Delivers the Third Expansion Premises to Tenant. The “</w:t>
      </w:r>
      <w:r>
        <w:rPr>
          <w:rFonts w:ascii="Arial" w:cs="Arial" w:eastAsia="Arial" w:hAnsi="Arial"/>
          <w:sz w:val="18"/>
          <w:szCs w:val="18"/>
          <w:b w:val="1"/>
          <w:bCs w:val="1"/>
          <w:color w:val="auto"/>
        </w:rPr>
        <w:t>Third Expansion Premises Rent Commencement Date</w:t>
      </w:r>
      <w:r>
        <w:rPr>
          <w:rFonts w:ascii="Arial" w:cs="Arial" w:eastAsia="Arial" w:hAnsi="Arial"/>
          <w:sz w:val="18"/>
          <w:szCs w:val="18"/>
          <w:color w:val="auto"/>
        </w:rPr>
        <w:t>” shall be October 1, 2014. Upon request of Landlord, Tenant shall execute and deliver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acknowledgment of the Third Expansion Premises Commencement Date in substantially the form of the “Acknowledgement of Commencement Date” attached to the Second Amendment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Tenant’s failure to execute and deliver such acknowledgment shall not affect Landlord’s rights hereunder.</w:t>
      </w:r>
    </w:p>
    <w:p>
      <w:pPr>
        <w:spacing w:after="0" w:line="205"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For the period of 60 consecutive days after the Third Expansion Premises Commencement Date, Landlord shall, at its sole cost and expense (which shall not constitute an Operating Expense), be responsible for any repairs that are required to be made to the Building Systems serving the Third Expansion Premises, unless Tenant or any Tenant Party was responsible for the cause of such repair, in which case Tenant shall pay the cost.</w:t>
      </w:r>
    </w:p>
    <w:p>
      <w:pPr>
        <w:spacing w:after="0" w:line="204"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Within five (5) business days following the Third Expansion Premises Commencement Date, Tenant shall notify Landlord in writing (“</w:t>
      </w:r>
      <w:r>
        <w:rPr>
          <w:rFonts w:ascii="Arial" w:cs="Arial" w:eastAsia="Arial" w:hAnsi="Arial"/>
          <w:sz w:val="18"/>
          <w:szCs w:val="18"/>
          <w:b w:val="1"/>
          <w:bCs w:val="1"/>
          <w:color w:val="auto"/>
        </w:rPr>
        <w:t>Furniture Removal Notice</w:t>
      </w:r>
      <w:r>
        <w:rPr>
          <w:rFonts w:ascii="Arial" w:cs="Arial" w:eastAsia="Arial" w:hAnsi="Arial"/>
          <w:sz w:val="18"/>
          <w:szCs w:val="18"/>
          <w:color w:val="auto"/>
        </w:rPr>
        <w:t>”) of the items of furniture present in the Third Expansion Premises that Tenant does not want to use (“</w:t>
      </w:r>
      <w:r>
        <w:rPr>
          <w:rFonts w:ascii="Arial" w:cs="Arial" w:eastAsia="Arial" w:hAnsi="Arial"/>
          <w:sz w:val="18"/>
          <w:szCs w:val="18"/>
          <w:b w:val="1"/>
          <w:bCs w:val="1"/>
          <w:color w:val="auto"/>
        </w:rPr>
        <w:t>Landlord’s Furniture</w:t>
      </w:r>
      <w:r>
        <w:rPr>
          <w:rFonts w:ascii="Arial" w:cs="Arial" w:eastAsia="Arial" w:hAnsi="Arial"/>
          <w:sz w:val="18"/>
          <w:szCs w:val="18"/>
          <w:color w:val="auto"/>
        </w:rPr>
        <w:t>”). Landlord shall cause such item(s) of Landlord’s Furniture identified in the Furniture Removal Notice to be removed within five (5) business days after receipt of such notice. The cost of the removal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147320</wp:posOffset>
            </wp:positionV>
            <wp:extent cx="2435225"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352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56" w:name="page57"/>
    <w:bookmarkEnd w:id="56"/>
    <w:p>
      <w:pPr>
        <w:jc w:val="both"/>
        <w:ind w:left="660"/>
        <w:spacing w:after="0" w:line="256" w:lineRule="auto"/>
        <w:rPr>
          <w:sz w:val="20"/>
          <w:szCs w:val="20"/>
          <w:color w:val="auto"/>
        </w:rPr>
      </w:pPr>
      <w:r>
        <w:rPr>
          <w:rFonts w:ascii="Arial" w:cs="Arial" w:eastAsia="Arial" w:hAnsi="Arial"/>
          <w:sz w:val="18"/>
          <w:szCs w:val="18"/>
          <w:color w:val="auto"/>
        </w:rPr>
        <w:t>item(s) of Landlord’s Furniture shall be the responsibility of Landlord. Any furniture located in the Third Expansion Premises on the Third Expansion Premises Commencement Date not identified for removal in the Furniture Removal Notice (“</w:t>
      </w:r>
      <w:r>
        <w:rPr>
          <w:rFonts w:ascii="Arial" w:cs="Arial" w:eastAsia="Arial" w:hAnsi="Arial"/>
          <w:sz w:val="18"/>
          <w:szCs w:val="18"/>
          <w:b w:val="1"/>
          <w:bCs w:val="1"/>
          <w:color w:val="auto"/>
        </w:rPr>
        <w:t>Existing Furniture</w:t>
      </w:r>
      <w:r>
        <w:rPr>
          <w:rFonts w:ascii="Arial" w:cs="Arial" w:eastAsia="Arial" w:hAnsi="Arial"/>
          <w:sz w:val="18"/>
          <w:szCs w:val="18"/>
          <w:color w:val="auto"/>
        </w:rPr>
        <w:t>”) shall become the property of Tenant as of the date the Furniture Removal Notice is provided to Landlord.</w:t>
      </w:r>
    </w:p>
    <w:p>
      <w:pPr>
        <w:spacing w:after="0" w:line="202"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Except as set forth in the Lease or this Fifth Amendment: (i) Tenant shall accept the Third Expansion Premises and the Existing Furniture in their condition as of the Third Expansion Premises Commencement Date, subject to all applicable Legal Requirements; (ii) Landlord shall have no obligation for any defects in the Third Expansion Premises or the Existing Furniture; and (iii) Tenant’s taking possession of the Third Expansion Premises and the Existing Furniture shall be conclusive evidence that Tenant accepts the Third Expansion Premises and the Existing Furniture, and that the Third Expansion Premises and the Existing Furniture were in good condition at the time possession was taken.</w:t>
      </w:r>
    </w:p>
    <w:p>
      <w:pPr>
        <w:spacing w:after="0" w:line="209"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Tenant agrees and acknowledges that, except as otherwise expressly set forth in this Fifth Amendment or in the Lease, neither Landlord nor any agent of Landlord has made any representation or warranty with respect to the condition of all or any portion of the Third Expansion Premises or the Existing Furniture, and/or the suitability of the Third Expansion Premises or Existing Furniture for the conduct of Tenant’s business, and Tenant waives any implied warranty that the Third Expansion Premises or the Existing Furniture are suitable for the Permitted Use.</w:t>
      </w:r>
    </w:p>
    <w:p>
      <w:pPr>
        <w:spacing w:after="0" w:line="18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 of Premises</w:t>
      </w:r>
      <w:r>
        <w:rPr>
          <w:rFonts w:ascii="Arial" w:cs="Arial" w:eastAsia="Arial" w:hAnsi="Arial"/>
          <w:sz w:val="18"/>
          <w:szCs w:val="18"/>
          <w:color w:val="auto"/>
        </w:rPr>
        <w:t>. Commencing on the Third Expansion Premises Commencement Date, the defined term "</w:t>
      </w:r>
      <w:r>
        <w:rPr>
          <w:rFonts w:ascii="Arial" w:cs="Arial" w:eastAsia="Arial" w:hAnsi="Arial"/>
          <w:sz w:val="18"/>
          <w:szCs w:val="18"/>
          <w:b w:val="1"/>
          <w:bCs w:val="1"/>
          <w:color w:val="auto"/>
        </w:rPr>
        <w:t>Premises</w:t>
      </w:r>
      <w:r>
        <w:rPr>
          <w:rFonts w:ascii="Arial" w:cs="Arial" w:eastAsia="Arial" w:hAnsi="Arial"/>
          <w:sz w:val="18"/>
          <w:szCs w:val="18"/>
          <w:color w:val="auto"/>
        </w:rPr>
        <w:t>" on Page</w:t>
      </w:r>
    </w:p>
    <w:p>
      <w:pPr>
        <w:spacing w:after="0" w:line="3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 of the Lease is deleted in its entirety and replaced with the following:</w:t>
      </w:r>
    </w:p>
    <w:p>
      <w:pPr>
        <w:spacing w:after="0" w:line="203" w:lineRule="exact"/>
        <w:rPr>
          <w:sz w:val="20"/>
          <w:szCs w:val="20"/>
          <w:color w:val="auto"/>
        </w:rPr>
      </w:pPr>
    </w:p>
    <w:p>
      <w:pPr>
        <w:jc w:val="both"/>
        <w:ind w:left="660"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That portion of the Project, containing approximately 70,696 rentable square feet (“</w:t>
      </w:r>
      <w:r>
        <w:rPr>
          <w:rFonts w:ascii="Arial" w:cs="Arial" w:eastAsia="Arial" w:hAnsi="Arial"/>
          <w:sz w:val="18"/>
          <w:szCs w:val="18"/>
          <w:b w:val="1"/>
          <w:bCs w:val="1"/>
          <w:color w:val="auto"/>
        </w:rPr>
        <w:t>RSF</w:t>
      </w:r>
      <w:r>
        <w:rPr>
          <w:rFonts w:ascii="Arial" w:cs="Arial" w:eastAsia="Arial" w:hAnsi="Arial"/>
          <w:sz w:val="18"/>
          <w:szCs w:val="18"/>
          <w:color w:val="auto"/>
        </w:rPr>
        <w:t>”), consisting of (i) approximately 29,228 rentable square feet (the "</w:t>
      </w:r>
      <w:r>
        <w:rPr>
          <w:rFonts w:ascii="Arial" w:cs="Arial" w:eastAsia="Arial" w:hAnsi="Arial"/>
          <w:sz w:val="18"/>
          <w:szCs w:val="18"/>
          <w:b w:val="1"/>
          <w:bCs w:val="1"/>
          <w:color w:val="auto"/>
        </w:rPr>
        <w:t>Original Premises</w:t>
      </w:r>
      <w:r>
        <w:rPr>
          <w:rFonts w:ascii="Arial" w:cs="Arial" w:eastAsia="Arial" w:hAnsi="Arial"/>
          <w:sz w:val="18"/>
          <w:szCs w:val="18"/>
          <w:color w:val="auto"/>
        </w:rPr>
        <w:t>"), (ii) approximately 19,177 rentable square feet (“</w:t>
      </w:r>
      <w:r>
        <w:rPr>
          <w:rFonts w:ascii="Arial" w:cs="Arial" w:eastAsia="Arial" w:hAnsi="Arial"/>
          <w:sz w:val="18"/>
          <w:szCs w:val="18"/>
          <w:b w:val="1"/>
          <w:bCs w:val="1"/>
          <w:color w:val="auto"/>
        </w:rPr>
        <w:t>Expansion</w:t>
      </w:r>
      <w:r>
        <w:rPr>
          <w:rFonts w:ascii="Arial" w:cs="Arial" w:eastAsia="Arial" w:hAnsi="Arial"/>
          <w:sz w:val="18"/>
          <w:szCs w:val="18"/>
          <w:color w:val="auto"/>
        </w:rPr>
        <w:t xml:space="preserve"> </w:t>
      </w:r>
      <w:r>
        <w:rPr>
          <w:rFonts w:ascii="Arial" w:cs="Arial" w:eastAsia="Arial" w:hAnsi="Arial"/>
          <w:sz w:val="18"/>
          <w:szCs w:val="18"/>
          <w:b w:val="1"/>
          <w:bCs w:val="1"/>
          <w:color w:val="auto"/>
        </w:rPr>
        <w:t>Premises</w:t>
      </w:r>
      <w:r>
        <w:rPr>
          <w:rFonts w:ascii="Arial" w:cs="Arial" w:eastAsia="Arial" w:hAnsi="Arial"/>
          <w:sz w:val="18"/>
          <w:szCs w:val="18"/>
          <w:color w:val="auto"/>
        </w:rPr>
        <w:t>”), (iii) approximately 13,388 rentable square feet (“</w:t>
      </w:r>
      <w:r>
        <w:rPr>
          <w:rFonts w:ascii="Arial" w:cs="Arial" w:eastAsia="Arial" w:hAnsi="Arial"/>
          <w:sz w:val="18"/>
          <w:szCs w:val="18"/>
          <w:b w:val="1"/>
          <w:bCs w:val="1"/>
          <w:color w:val="auto"/>
        </w:rPr>
        <w:t>Second Expansion Premises</w:t>
      </w:r>
      <w:r>
        <w:rPr>
          <w:rFonts w:ascii="Arial" w:cs="Arial" w:eastAsia="Arial" w:hAnsi="Arial"/>
          <w:sz w:val="18"/>
          <w:szCs w:val="18"/>
          <w:color w:val="auto"/>
        </w:rPr>
        <w:t>”), and (iv) approximately 8,903 rentable</w:t>
      </w:r>
      <w:r>
        <w:rPr>
          <w:rFonts w:ascii="Arial" w:cs="Arial" w:eastAsia="Arial" w:hAnsi="Arial"/>
          <w:sz w:val="18"/>
          <w:szCs w:val="18"/>
          <w:b w:val="1"/>
          <w:bCs w:val="1"/>
          <w:color w:val="auto"/>
        </w:rPr>
        <w:t xml:space="preserve"> </w:t>
      </w:r>
      <w:r>
        <w:rPr>
          <w:rFonts w:ascii="Arial" w:cs="Arial" w:eastAsia="Arial" w:hAnsi="Arial"/>
          <w:sz w:val="18"/>
          <w:szCs w:val="18"/>
          <w:color w:val="auto"/>
        </w:rPr>
        <w:t>square feet (“</w:t>
      </w:r>
      <w:r>
        <w:rPr>
          <w:rFonts w:ascii="Arial" w:cs="Arial" w:eastAsia="Arial" w:hAnsi="Arial"/>
          <w:sz w:val="18"/>
          <w:szCs w:val="18"/>
          <w:b w:val="1"/>
          <w:bCs w:val="1"/>
          <w:color w:val="auto"/>
        </w:rPr>
        <w:t>Third Expansion Premises</w:t>
      </w:r>
      <w:r>
        <w:rPr>
          <w:rFonts w:ascii="Arial" w:cs="Arial" w:eastAsia="Arial" w:hAnsi="Arial"/>
          <w:sz w:val="18"/>
          <w:szCs w:val="18"/>
          <w:color w:val="auto"/>
        </w:rPr>
        <w:t xml:space="preserve">”), all as determined by Landlord, as shown on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77"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 xml:space="preserve">As of the Third Expansion Premises Commencement Date,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to the Lease is amended to include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to this Fifth Amendment.</w:t>
      </w:r>
    </w:p>
    <w:p>
      <w:pPr>
        <w:spacing w:after="0" w:line="153"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60" w:hanging="4"/>
        <w:spacing w:after="0" w:line="334" w:lineRule="auto"/>
        <w:tabs>
          <w:tab w:leader="none" w:pos="1458"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Current Premises</w:t>
      </w:r>
      <w:r>
        <w:rPr>
          <w:rFonts w:ascii="Arial" w:cs="Arial" w:eastAsia="Arial" w:hAnsi="Arial"/>
          <w:sz w:val="18"/>
          <w:szCs w:val="18"/>
          <w:color w:val="auto"/>
        </w:rPr>
        <w:t>. Tenant shall continue to pay Base Rent for the Current Premises as provided for in the Lease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April 30, 2020.</w:t>
      </w:r>
    </w:p>
    <w:p>
      <w:pPr>
        <w:spacing w:after="0" w:line="153" w:lineRule="exact"/>
        <w:rPr>
          <w:rFonts w:ascii="Arial" w:cs="Arial" w:eastAsia="Arial" w:hAnsi="Arial"/>
          <w:sz w:val="18"/>
          <w:szCs w:val="18"/>
          <w:b w:val="1"/>
          <w:bCs w:val="1"/>
          <w:color w:val="auto"/>
        </w:rPr>
      </w:pPr>
    </w:p>
    <w:p>
      <w:pPr>
        <w:jc w:val="both"/>
        <w:ind w:left="660" w:hanging="4"/>
        <w:spacing w:after="0" w:line="304" w:lineRule="auto"/>
        <w:tabs>
          <w:tab w:leader="none" w:pos="1468"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Third Expansion Premises</w:t>
      </w:r>
      <w:r>
        <w:rPr>
          <w:rFonts w:ascii="Arial" w:cs="Arial" w:eastAsia="Arial" w:hAnsi="Arial"/>
          <w:sz w:val="18"/>
          <w:szCs w:val="18"/>
          <w:color w:val="auto"/>
        </w:rPr>
        <w:t>. Commencing on the Third Expansion Premises Rent Commencement Date, Base Rent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Expansion Premises shall be equal to $2.70 per rentable square foot of the Third Expansion Premises per month. Base Rent payable with respect to the Third Expansion Premises shall be increased, commencing on May 1, 2016, on each subsequent Adjustment Date (as defined in the Second Amendment) during the Base Term by multiplying the Base Rent payable with respect to the Third Expansion Premises immediately before such Expansion Premises Adjustment Date by 3% and adding the resulting amount to the Base Rent payable with respect to the Third Expansion Premises immediately before such Adjustment Date.</w:t>
      </w:r>
    </w:p>
    <w:p>
      <w:pPr>
        <w:spacing w:after="0" w:line="155" w:lineRule="exact"/>
        <w:rPr>
          <w:rFonts w:ascii="Arial" w:cs="Arial" w:eastAsia="Arial" w:hAnsi="Arial"/>
          <w:sz w:val="18"/>
          <w:szCs w:val="18"/>
          <w:b w:val="1"/>
          <w:bCs w:val="1"/>
          <w:color w:val="auto"/>
        </w:rPr>
      </w:pPr>
    </w:p>
    <w:p>
      <w:pPr>
        <w:jc w:val="both"/>
        <w:ind w:left="660" w:hanging="652"/>
        <w:spacing w:after="0" w:line="25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Tenant’s Share of Operating Expenses</w:t>
      </w:r>
      <w:r>
        <w:rPr>
          <w:rFonts w:ascii="Arial" w:cs="Arial" w:eastAsia="Arial" w:hAnsi="Arial"/>
          <w:sz w:val="18"/>
          <w:szCs w:val="18"/>
          <w:color w:val="auto"/>
        </w:rPr>
        <w:t>. Tenant shall continue to pay Operating Expenses as provided for in the Lease through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TEP OPEX Adjustment Date (as defined below). Commencing on the earlier of the (i) date that Tenant commences business operations in all of the Third Expansion Premises, or (ii) the Third Expansion Premises Rent Commencement Date (either, the “</w:t>
      </w:r>
      <w:r>
        <w:rPr>
          <w:rFonts w:ascii="Arial" w:cs="Arial" w:eastAsia="Arial" w:hAnsi="Arial"/>
          <w:sz w:val="18"/>
          <w:szCs w:val="18"/>
          <w:b w:val="1"/>
          <w:bCs w:val="1"/>
          <w:color w:val="auto"/>
        </w:rPr>
        <w:t>TEP</w:t>
      </w:r>
      <w:r>
        <w:rPr>
          <w:rFonts w:ascii="Arial" w:cs="Arial" w:eastAsia="Arial" w:hAnsi="Arial"/>
          <w:sz w:val="18"/>
          <w:szCs w:val="18"/>
          <w:color w:val="auto"/>
        </w:rPr>
        <w:t xml:space="preserve"> </w:t>
      </w:r>
      <w:r>
        <w:rPr>
          <w:rFonts w:ascii="Arial" w:cs="Arial" w:eastAsia="Arial" w:hAnsi="Arial"/>
          <w:sz w:val="18"/>
          <w:szCs w:val="18"/>
          <w:b w:val="1"/>
          <w:bCs w:val="1"/>
          <w:color w:val="auto"/>
        </w:rPr>
        <w:t>OPEX Adjustment Date</w:t>
      </w:r>
      <w:r>
        <w:rPr>
          <w:rFonts w:ascii="Arial" w:cs="Arial" w:eastAsia="Arial" w:hAnsi="Arial"/>
          <w:sz w:val="18"/>
          <w:szCs w:val="18"/>
          <w:color w:val="auto"/>
        </w:rPr>
        <w:t>”),Tenant’s Share of Operating Expenses payable by Tenant under the Lease shall be increased by 6.53% and</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commence paying Operating Expenses with respect to the Third Expansion Premises, and commencing on May 1, 2015, the total Tenant’s Share of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147955</wp:posOffset>
            </wp:positionV>
            <wp:extent cx="2435225"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352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8" w:right="239" w:bottom="1440" w:gutter="0" w:footer="0" w:header="0"/>
        </w:sectPr>
      </w:pPr>
    </w:p>
    <w:bookmarkStart w:id="57" w:name="page58"/>
    <w:bookmarkEnd w:id="57"/>
    <w:p>
      <w:pPr>
        <w:jc w:val="both"/>
        <w:ind w:left="660"/>
        <w:spacing w:after="0" w:line="300" w:lineRule="auto"/>
        <w:rPr>
          <w:sz w:val="20"/>
          <w:szCs w:val="20"/>
          <w:color w:val="auto"/>
        </w:rPr>
      </w:pPr>
      <w:r>
        <w:rPr>
          <w:rFonts w:ascii="Arial" w:cs="Arial" w:eastAsia="Arial" w:hAnsi="Arial"/>
          <w:sz w:val="18"/>
          <w:szCs w:val="18"/>
          <w:color w:val="auto"/>
        </w:rPr>
        <w:t>Expenses which shall be payable by Tenant under the Lease shall be equal to 51.83%. Notwithstanding anything to the contrary contained herein, if Tenant commences business operations in a portion (but not all) of the Third Expansion Premises prior to the Third Expansion Premises Rent Commencement Date, Tenant shall be required to pay Operating Expenses on a pro rata basis with respect to the actual rentable square footage of the Third Expansion Premises in which Tenant is conducting business operations, as determined by DGA.</w:t>
      </w:r>
    </w:p>
    <w:p>
      <w:pPr>
        <w:spacing w:after="0" w:line="178"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Commencing on May 1, 2015, Tenant’s Share of each earthquake deductible or occurrence of uninsured earthquake damage affecting the Premises shall not exceed $ 7.50 per rentable square of the Premises (including the Third Expansion Premises) (the “</w:t>
      </w:r>
      <w:r>
        <w:rPr>
          <w:rFonts w:ascii="Arial" w:cs="Arial" w:eastAsia="Arial" w:hAnsi="Arial"/>
          <w:sz w:val="18"/>
          <w:szCs w:val="18"/>
          <w:b w:val="1"/>
          <w:bCs w:val="1"/>
          <w:color w:val="auto"/>
        </w:rPr>
        <w:t>Current</w:t>
      </w:r>
      <w:r>
        <w:rPr>
          <w:rFonts w:ascii="Arial" w:cs="Arial" w:eastAsia="Arial" w:hAnsi="Arial"/>
          <w:sz w:val="18"/>
          <w:szCs w:val="18"/>
          <w:color w:val="auto"/>
        </w:rPr>
        <w:t xml:space="preserve"> </w:t>
      </w:r>
      <w:r>
        <w:rPr>
          <w:rFonts w:ascii="Arial" w:cs="Arial" w:eastAsia="Arial" w:hAnsi="Arial"/>
          <w:sz w:val="18"/>
          <w:szCs w:val="18"/>
          <w:b w:val="1"/>
          <w:bCs w:val="1"/>
          <w:color w:val="auto"/>
        </w:rPr>
        <w:t>Cap</w:t>
      </w:r>
      <w:r>
        <w:rPr>
          <w:rFonts w:ascii="Arial" w:cs="Arial" w:eastAsia="Arial" w:hAnsi="Arial"/>
          <w:sz w:val="18"/>
          <w:szCs w:val="18"/>
          <w:color w:val="auto"/>
        </w:rPr>
        <w:t>”). On June 1, 2015, and on the first day of each month thereafter through April 30, 2020, the Current Cap shall be reduced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$0.125 per rentable square foot of the Premises (including the Third Expansion Premises). Following earthquake damage to the Project during the period between April 1, 2015, and April 30, 2020, Tenant shall pay Tenant’s Share of any such deductible or uninsured damage in equal monthly installments amortized over the balance of the Base Term. For the avoidance of doubt, the existing caps of insurance deductibles and uninsured earthquake damage set forth in the third full paragraph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the Lease shall apply through April 30, 2015, and the caps provided for in this paragraph shall apply from May 1, 2015, through April 30, 2020, and shall thereafter be of no further force or effect.</w:t>
      </w:r>
    </w:p>
    <w:p>
      <w:pPr>
        <w:spacing w:after="0" w:line="191" w:lineRule="exact"/>
        <w:rPr>
          <w:sz w:val="20"/>
          <w:szCs w:val="20"/>
          <w:color w:val="auto"/>
        </w:rPr>
      </w:pPr>
    </w:p>
    <w:p>
      <w:pPr>
        <w:jc w:val="both"/>
        <w:ind w:left="660" w:hanging="652"/>
        <w:spacing w:after="0" w:line="252" w:lineRule="auto"/>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Third Expansion Premises TI Allowance</w:t>
      </w:r>
      <w:r>
        <w:rPr>
          <w:rFonts w:ascii="Arial" w:cs="Arial" w:eastAsia="Arial" w:hAnsi="Arial"/>
          <w:sz w:val="18"/>
          <w:szCs w:val="18"/>
          <w:color w:val="auto"/>
        </w:rPr>
        <w:t>. Landlord shall make available to Tenant a tenant improvement allowance of up to</w:t>
      </w:r>
      <w:r>
        <w:rPr>
          <w:rFonts w:ascii="Arial" w:cs="Arial" w:eastAsia="Arial" w:hAnsi="Arial"/>
          <w:sz w:val="18"/>
          <w:szCs w:val="18"/>
          <w:b w:val="1"/>
          <w:bCs w:val="1"/>
          <w:color w:val="auto"/>
        </w:rPr>
        <w:t xml:space="preserve"> </w:t>
      </w:r>
      <w:r>
        <w:rPr>
          <w:rFonts w:ascii="Arial" w:cs="Arial" w:eastAsia="Arial" w:hAnsi="Arial"/>
          <w:sz w:val="18"/>
          <w:szCs w:val="18"/>
          <w:color w:val="auto"/>
        </w:rPr>
        <w:t>$178,060 (the "</w:t>
      </w:r>
      <w:r>
        <w:rPr>
          <w:rFonts w:ascii="Arial" w:cs="Arial" w:eastAsia="Arial" w:hAnsi="Arial"/>
          <w:sz w:val="18"/>
          <w:szCs w:val="18"/>
          <w:b w:val="1"/>
          <w:bCs w:val="1"/>
          <w:color w:val="auto"/>
        </w:rPr>
        <w:t>Third Expansion Premises TI Allowance</w:t>
      </w:r>
      <w:r>
        <w:rPr>
          <w:rFonts w:ascii="Arial" w:cs="Arial" w:eastAsia="Arial" w:hAnsi="Arial"/>
          <w:sz w:val="18"/>
          <w:szCs w:val="18"/>
          <w:color w:val="auto"/>
        </w:rPr>
        <w:t>") for the design and construction of fixed and permanent improvements desired by and performed by Tenant in any portion of the Premises (the "</w:t>
      </w:r>
      <w:r>
        <w:rPr>
          <w:rFonts w:ascii="Arial" w:cs="Arial" w:eastAsia="Arial" w:hAnsi="Arial"/>
          <w:sz w:val="18"/>
          <w:szCs w:val="18"/>
          <w:b w:val="1"/>
          <w:bCs w:val="1"/>
          <w:color w:val="auto"/>
        </w:rPr>
        <w:t>Additional Tenant Improvements</w:t>
      </w:r>
      <w:r>
        <w:rPr>
          <w:rFonts w:ascii="Arial" w:cs="Arial" w:eastAsia="Arial" w:hAnsi="Arial"/>
          <w:sz w:val="18"/>
          <w:szCs w:val="18"/>
          <w:color w:val="auto"/>
        </w:rPr>
        <w:t xml:space="preserve">"). The scope of work for the Additional Tenant Improvements attached hereto as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has been approved by Landlord and Tenant. Except as otherwise provided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the Third Expansion Premises TI Allowance shall be available only for the design and construction of Additional Tenant Improvements. Tenant acknowledges that upon the expiration of the Term of the Lease, the Additional Tenant Improvements shall become the property of Landlord and may not be removed by Tenant. Except for the Third Expansion Premises TI Allowance, Tenant shall be solely responsible for all of the costs of the Additional Tenant Improvements; provided, however, Landlord shall be responsible, as an Operating Expense (subject to the terms of Section 5 of the Lease), for performing any code upgrades related to accessibility outside the Premises that are triggered by Tenant’s performance of the Additional Tenant Improvements. The Additional Tenant Improvements shall be treated as Alterations and shall be undertaken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the Lease. In connection with the Additional Tenant Improvements, Tenant shall pay to Landlord a construction management fee equal to 1% of the hard costs incurred in connection with the Additional Tenant Improvements. The contractor for the Additional Tenant Improvements shall be selected by Tenant, subject to Landlord's approval, which approval shall not be unreasonably withheld, conditioned or delayed. Landlord hereby approves of DGA as Tenant’s architect for the Additional Tenant Improvements and Landmark Builders as Tenant’s general contractor for the Additional Tenant Improvements. Prior to the commencement of the Additional Tenant Improvements, Tenant shall deliver to Landlord a copy of any contract with Tenant’s contractors, and certificates of insurance from any contractor performing any part of the Additional Tenant Improvements evidencing industry standard commercial general liability, automotive liability, “builder’s risk”, and workers' compensation insurance. Tenant shall cause the general contractor to provide a certificate of insurance naming Landlord, Alexandria Real Estate Equities, Inc., and Landlord’s lender (if any) as additional insureds for the general contractor’s liability coverages required above.</w:t>
      </w:r>
    </w:p>
    <w:p>
      <w:pPr>
        <w:spacing w:after="0" w:line="211" w:lineRule="exact"/>
        <w:rPr>
          <w:rFonts w:ascii="Arial" w:cs="Arial" w:eastAsia="Arial" w:hAnsi="Arial"/>
          <w:sz w:val="18"/>
          <w:szCs w:val="18"/>
          <w:b w:val="1"/>
          <w:bCs w:val="1"/>
          <w:color w:val="auto"/>
        </w:rPr>
      </w:pPr>
    </w:p>
    <w:p>
      <w:pPr>
        <w:jc w:val="both"/>
        <w:ind w:left="6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During the course of design and construction of the Additional Tenant Improvements, Landlord shall reimburse Tenant for the cost of the Additional Tenant Improvements once a month against a draw request in Landlord's standard form, containing evidence of payment of the applicable costs and such certifications, lien waivers (including a conditional lien release for each progress payment and unconditional lien releases for the prior month's progress payments), inspection reports and other matters as Landlord customarily and reasonably obtains, to the extent of Landlord's approval thereof for payment, no later than 30 days following receipt of such draw request. Upon completion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149860</wp:posOffset>
            </wp:positionV>
            <wp:extent cx="2435225"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352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25" w:right="239" w:bottom="1440" w:gutter="0" w:footer="0" w:header="0"/>
        </w:sectPr>
      </w:pPr>
    </w:p>
    <w:bookmarkStart w:id="58" w:name="page59"/>
    <w:bookmarkEnd w:id="58"/>
    <w:p>
      <w:pPr>
        <w:jc w:val="both"/>
        <w:ind w:left="660"/>
        <w:spacing w:after="0" w:line="251" w:lineRule="auto"/>
        <w:rPr>
          <w:sz w:val="20"/>
          <w:szCs w:val="20"/>
          <w:color w:val="auto"/>
        </w:rPr>
      </w:pPr>
      <w:r>
        <w:rPr>
          <w:rFonts w:ascii="Arial" w:cs="Arial" w:eastAsia="Arial" w:hAnsi="Arial"/>
          <w:sz w:val="18"/>
          <w:szCs w:val="18"/>
          <w:color w:val="auto"/>
        </w:rPr>
        <w:t>Additional Tenant Improvements (and prior to any final disbursement of the Third Expansion Premises TI Allowance) Tenant shall deliver to Landlord the following items: (i) sworn statements setting forth the names of all contractors and subcontractors who did work on the Additional Tenant Improvements and final lien waivers from all such contractors and subcontractors; and (ii) "as built" plans for the Additional Tenant Improvements. Notwithstanding the foregoing, if the cost of the Additional Tenant Improvements exceeds the Third Expansion Premises TI Allowance, Tenant shall be required to pay such excess in full prior to Landlord having any obligation to fund any remaining portion of the Third Expansion Premises TI Allowance. The Third Expansion Premises TI Allowance shall only be available for use by Tenant for the construction of the Additional Tenant Improvements until the date that is 18 months after the Third Expansion Premises Commencement Date (the “</w:t>
      </w:r>
      <w:r>
        <w:rPr>
          <w:rFonts w:ascii="Arial" w:cs="Arial" w:eastAsia="Arial" w:hAnsi="Arial"/>
          <w:sz w:val="18"/>
          <w:szCs w:val="18"/>
          <w:b w:val="1"/>
          <w:bCs w:val="1"/>
          <w:color w:val="auto"/>
        </w:rPr>
        <w:t>Outside Third TI Allowance Date</w:t>
      </w:r>
      <w:r>
        <w:rPr>
          <w:rFonts w:ascii="Arial" w:cs="Arial" w:eastAsia="Arial" w:hAnsi="Arial"/>
          <w:sz w:val="18"/>
          <w:szCs w:val="18"/>
          <w:color w:val="auto"/>
        </w:rPr>
        <w:t>”). Any portion of the Third Expansion Premises TI Allowance which has not been properly requested by Tenant from Landlord on or before the Outside Third TI Allowance Date shall be forfeited and shall not be available for use by Tenant.</w:t>
      </w:r>
    </w:p>
    <w:p>
      <w:pPr>
        <w:spacing w:after="0" w:line="190" w:lineRule="exact"/>
        <w:rPr>
          <w:sz w:val="20"/>
          <w:szCs w:val="20"/>
          <w:color w:val="auto"/>
        </w:rPr>
      </w:pPr>
    </w:p>
    <w:p>
      <w:pPr>
        <w:ind w:left="660" w:right="20" w:hanging="652"/>
        <w:spacing w:after="0" w:line="287"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Term</w:t>
      </w:r>
      <w:r>
        <w:rPr>
          <w:rFonts w:ascii="Arial" w:cs="Arial" w:eastAsia="Arial" w:hAnsi="Arial"/>
          <w:sz w:val="18"/>
          <w:szCs w:val="18"/>
          <w:color w:val="auto"/>
        </w:rPr>
        <w:t>. The Base Term of the Lease with respect to the Third Expansion Premises shall expire on April 30, 2020, concurrently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expiration of the Base Term of the Lease with respect to the Current Premises.</w:t>
      </w:r>
    </w:p>
    <w:p>
      <w:pPr>
        <w:spacing w:after="0" w:line="153" w:lineRule="exact"/>
        <w:rPr>
          <w:rFonts w:ascii="Arial" w:cs="Arial" w:eastAsia="Arial" w:hAnsi="Arial"/>
          <w:sz w:val="18"/>
          <w:szCs w:val="18"/>
          <w:b w:val="1"/>
          <w:bCs w:val="1"/>
          <w:color w:val="auto"/>
        </w:rPr>
      </w:pPr>
    </w:p>
    <w:p>
      <w:pPr>
        <w:jc w:val="both"/>
        <w:ind w:left="660" w:hanging="652"/>
        <w:spacing w:after="0" w:line="262"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Removal of Tenant Improvements</w:t>
      </w:r>
      <w:r>
        <w:rPr>
          <w:rFonts w:ascii="Arial" w:cs="Arial" w:eastAsia="Arial" w:hAnsi="Arial"/>
          <w:sz w:val="18"/>
          <w:szCs w:val="18"/>
          <w:color w:val="auto"/>
        </w:rPr>
        <w:t>. Tenant shall not be required to remove any of the Tenant Improvements existing in the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Premises as of the date of this Fifth Amendment or any Tenant Improvements constructed in the Premises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this Fifth Amendment at the expiration or earlier termination of the Term nor shall Tenant have the right to remove any such Tenant Improvements at any time.</w:t>
      </w:r>
    </w:p>
    <w:p>
      <w:pPr>
        <w:spacing w:after="0" w:line="176" w:lineRule="exact"/>
        <w:rPr>
          <w:rFonts w:ascii="Arial" w:cs="Arial" w:eastAsia="Arial" w:hAnsi="Arial"/>
          <w:sz w:val="18"/>
          <w:szCs w:val="18"/>
          <w:b w:val="1"/>
          <w:bCs w:val="1"/>
          <w:color w:val="auto"/>
        </w:rPr>
      </w:pPr>
    </w:p>
    <w:p>
      <w:pPr>
        <w:jc w:val="both"/>
        <w:ind w:left="660" w:hanging="652"/>
        <w:spacing w:after="0" w:line="269"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Extension Right</w:t>
      </w:r>
      <w:r>
        <w:rPr>
          <w:rFonts w:ascii="Arial" w:cs="Arial" w:eastAsia="Arial" w:hAnsi="Arial"/>
          <w:sz w:val="18"/>
          <w:szCs w:val="18"/>
          <w:color w:val="auto"/>
        </w:rPr>
        <w:t>. For the avoidance of doubt, Tenant’s Extension Right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39</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Lease (as amended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Second Amendment) shall apply to both the Current Premises and the Third Expansion Premises and, if exercised by Tenant pursuant to the terms of </w:t>
      </w:r>
      <w:r>
        <w:rPr>
          <w:rFonts w:ascii="Arial" w:cs="Arial" w:eastAsia="Arial" w:hAnsi="Arial"/>
          <w:sz w:val="18"/>
          <w:szCs w:val="18"/>
          <w:u w:val="single" w:color="auto"/>
          <w:color w:val="auto"/>
        </w:rPr>
        <w:t>Section 39</w:t>
      </w:r>
      <w:r>
        <w:rPr>
          <w:rFonts w:ascii="Arial" w:cs="Arial" w:eastAsia="Arial" w:hAnsi="Arial"/>
          <w:sz w:val="18"/>
          <w:szCs w:val="18"/>
          <w:color w:val="auto"/>
        </w:rPr>
        <w:t>, must be exercised with respect to the entire Premises.</w:t>
      </w:r>
    </w:p>
    <w:p>
      <w:pPr>
        <w:spacing w:after="0" w:line="168" w:lineRule="exact"/>
        <w:rPr>
          <w:rFonts w:ascii="Arial" w:cs="Arial" w:eastAsia="Arial" w:hAnsi="Arial"/>
          <w:sz w:val="18"/>
          <w:szCs w:val="18"/>
          <w:b w:val="1"/>
          <w:bCs w:val="1"/>
          <w:color w:val="auto"/>
        </w:rPr>
      </w:pPr>
    </w:p>
    <w:p>
      <w:pPr>
        <w:jc w:val="both"/>
        <w:ind w:left="660" w:hanging="652"/>
        <w:spacing w:after="0" w:line="257"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of First Refusal</w:t>
      </w:r>
      <w:r>
        <w:rPr>
          <w:rFonts w:ascii="Arial" w:cs="Arial" w:eastAsia="Arial" w:hAnsi="Arial"/>
          <w:sz w:val="18"/>
          <w:szCs w:val="18"/>
          <w:color w:val="auto"/>
        </w:rPr>
        <w:t>. Notwithstanding anything to the contrary contained in the Lease, (i) the ROFR Expiration Date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Third Amendment) is hereby extended from April 1, 2016, through April 15, 2017, and (ii) the definition of “</w:t>
      </w:r>
      <w:r>
        <w:rPr>
          <w:rFonts w:ascii="Arial" w:cs="Arial" w:eastAsia="Arial" w:hAnsi="Arial"/>
          <w:sz w:val="18"/>
          <w:szCs w:val="18"/>
          <w:b w:val="1"/>
          <w:bCs w:val="1"/>
          <w:color w:val="auto"/>
        </w:rPr>
        <w:t>ROFR Space</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1(a)</w:t>
      </w:r>
      <w:r>
        <w:rPr>
          <w:rFonts w:ascii="Arial" w:cs="Arial" w:eastAsia="Arial" w:hAnsi="Arial"/>
          <w:sz w:val="18"/>
          <w:szCs w:val="18"/>
          <w:color w:val="auto"/>
        </w:rPr>
        <w:t xml:space="preserve"> of the Third Amendment is hereby deleted in its entirety and replaced with the following: “any space in the Building which is not occupied by a tenant or which is occupied by an existing tenant whose lease is expiring within 9 months or less and Landlord’s direct tenant for such space does not wish to renew (whether or not such tenant has a right to renew) its own occupancy of such space.” References to tenant in the preceding sentence include any such tenant’s successors or assigns.</w:t>
      </w:r>
    </w:p>
    <w:p>
      <w:pPr>
        <w:spacing w:after="0" w:line="182" w:lineRule="exact"/>
        <w:rPr>
          <w:rFonts w:ascii="Arial" w:cs="Arial" w:eastAsia="Arial" w:hAnsi="Arial"/>
          <w:sz w:val="18"/>
          <w:szCs w:val="18"/>
          <w:b w:val="1"/>
          <w:bCs w:val="1"/>
          <w:color w:val="auto"/>
        </w:rPr>
      </w:pPr>
    </w:p>
    <w:p>
      <w:pPr>
        <w:jc w:val="both"/>
        <w:ind w:left="660" w:hanging="652"/>
        <w:spacing w:after="0" w:line="269" w:lineRule="auto"/>
        <w:tabs>
          <w:tab w:leader="none" w:pos="66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Environmental</w:t>
      </w:r>
      <w:r>
        <w:rPr>
          <w:rFonts w:ascii="Arial" w:cs="Arial" w:eastAsia="Arial" w:hAnsi="Arial"/>
          <w:sz w:val="17"/>
          <w:szCs w:val="17"/>
          <w:color w:val="auto"/>
        </w:rPr>
        <w:t>. Notwithstanding anything to the contrary contained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28</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Lease, Tenant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 responsible for or have any liability to Landlord, and the indemnification and hold harmless obligation set forth in </w:t>
      </w:r>
      <w:r>
        <w:rPr>
          <w:rFonts w:ascii="Arial" w:cs="Arial" w:eastAsia="Arial" w:hAnsi="Arial"/>
          <w:sz w:val="17"/>
          <w:szCs w:val="17"/>
          <w:u w:val="single" w:color="auto"/>
          <w:color w:val="auto"/>
        </w:rPr>
        <w:t>Section 30(a)</w:t>
      </w:r>
      <w:r>
        <w:rPr>
          <w:rFonts w:ascii="Arial" w:cs="Arial" w:eastAsia="Arial" w:hAnsi="Arial"/>
          <w:sz w:val="17"/>
          <w:szCs w:val="17"/>
          <w:color w:val="auto"/>
        </w:rPr>
        <w:t xml:space="preserve"> of the original Lease shall not apply to Hazardous Materials in the Third Expansion Premises, which Hazardous Materials Tenant proves to Landlord’s reasonable satisfaction (i) existed prior to the Third Expansion Premises Commencement Date, (ii) originated from any separately demised tenant space within the Project other than the Premises, (iii) were not brought upon, kept, used, stored, handled, treated, generated in, or released or disposed of from, the Project by Tenant or any Tenant Party, or (iv) migrated from outside the Third Expansion Premises into the Third Expansion Premises, unless in each case, to the extent the presence of such Hazardous Materials</w:t>
      </w:r>
    </w:p>
    <w:p>
      <w:pPr>
        <w:ind w:left="660" w:hanging="4"/>
        <w:spacing w:after="0" w:line="262" w:lineRule="auto"/>
        <w:tabs>
          <w:tab w:leader="none" w:pos="935" w:val="left"/>
        </w:tabs>
        <w:numPr>
          <w:ilvl w:val="1"/>
          <w:numId w:val="28"/>
        </w:numPr>
        <w:rPr>
          <w:rFonts w:ascii="Arial" w:cs="Arial" w:eastAsia="Arial" w:hAnsi="Arial"/>
          <w:sz w:val="18"/>
          <w:szCs w:val="18"/>
          <w:color w:val="auto"/>
        </w:rPr>
      </w:pPr>
      <w:r>
        <w:rPr>
          <w:rFonts w:ascii="Arial" w:cs="Arial" w:eastAsia="Arial" w:hAnsi="Arial"/>
          <w:sz w:val="18"/>
          <w:szCs w:val="18"/>
          <w:color w:val="auto"/>
        </w:rPr>
        <w:t>is the result of a breach by Tenant of any of its obligations under the Lease, or (y) was caused, contributed to or exacerbated by Tenant or any Tenant Party.</w:t>
      </w:r>
    </w:p>
    <w:p>
      <w:pPr>
        <w:spacing w:after="0" w:line="174" w:lineRule="exact"/>
        <w:rPr>
          <w:rFonts w:ascii="Arial" w:cs="Arial" w:eastAsia="Arial" w:hAnsi="Arial"/>
          <w:sz w:val="18"/>
          <w:szCs w:val="18"/>
          <w:color w:val="auto"/>
        </w:rPr>
      </w:pPr>
    </w:p>
    <w:p>
      <w:pPr>
        <w:ind w:left="660" w:right="20" w:hanging="652"/>
        <w:spacing w:after="0" w:line="287"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Disclosure</w:t>
      </w:r>
      <w:r>
        <w:rPr>
          <w:rFonts w:ascii="Arial" w:cs="Arial" w:eastAsia="Arial" w:hAnsi="Arial"/>
          <w:sz w:val="18"/>
          <w:szCs w:val="18"/>
          <w:color w:val="auto"/>
        </w:rPr>
        <w:t>. For purposes of Section 1938 of the California Civil Code, as of the date of this First Amendment, Tenant acknowledges</w:t>
      </w:r>
      <w:r>
        <w:rPr>
          <w:rFonts w:ascii="Arial" w:cs="Arial" w:eastAsia="Arial" w:hAnsi="Arial"/>
          <w:sz w:val="18"/>
          <w:szCs w:val="18"/>
          <w:b w:val="1"/>
          <w:bCs w:val="1"/>
          <w:color w:val="auto"/>
        </w:rPr>
        <w:t xml:space="preserve"> </w:t>
      </w:r>
      <w:r>
        <w:rPr>
          <w:rFonts w:ascii="Arial" w:cs="Arial" w:eastAsia="Arial" w:hAnsi="Arial"/>
          <w:sz w:val="18"/>
          <w:szCs w:val="18"/>
          <w:color w:val="auto"/>
        </w:rPr>
        <w:t>having been advised by Landlord that the Project has not been inspected by a certified access specialist.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266065</wp:posOffset>
            </wp:positionV>
            <wp:extent cx="243522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352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8" w:right="239" w:bottom="1440" w:gutter="0" w:footer="0" w:header="0"/>
        </w:sectPr>
      </w:pPr>
    </w:p>
    <w:bookmarkStart w:id="59" w:name="page60"/>
    <w:bookmarkEnd w:id="59"/>
    <w:p>
      <w:pPr>
        <w:jc w:val="both"/>
        <w:ind w:left="652" w:hanging="652"/>
        <w:spacing w:after="0" w:line="259" w:lineRule="auto"/>
        <w:tabs>
          <w:tab w:leader="none" w:pos="6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Landlord and Tenant each represents and warrants that it has not dealt with any broker, agent or other person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Broker</w:t>
      </w:r>
      <w:r>
        <w:rPr>
          <w:rFonts w:ascii="Arial" w:cs="Arial" w:eastAsia="Arial" w:hAnsi="Arial"/>
          <w:sz w:val="18"/>
          <w:szCs w:val="18"/>
          <w:color w:val="auto"/>
        </w:rPr>
        <w:t>"), other than Cresa Palo Alto and Jones Lang LaSalle, in connection with the transaction reflected in this Fifth Amendment. Landlord and Tenant each hereby agrees to indemnify and hold the other harmless from and against any claims by any Broker, other than the brokers named in this Fifth Amendment, claiming a commission or other form of compensation by virtue of having dealt with Tenant or Landlord, as applicable, with regard to this leasing transaction.</w:t>
      </w:r>
    </w:p>
    <w:p>
      <w:pPr>
        <w:spacing w:after="0" w:line="179" w:lineRule="exact"/>
        <w:rPr>
          <w:rFonts w:ascii="Arial" w:cs="Arial" w:eastAsia="Arial" w:hAnsi="Arial"/>
          <w:sz w:val="18"/>
          <w:szCs w:val="18"/>
          <w:b w:val="1"/>
          <w:bCs w:val="1"/>
          <w:color w:val="auto"/>
        </w:rPr>
      </w:pPr>
    </w:p>
    <w:p>
      <w:pPr>
        <w:ind w:left="652" w:hanging="652"/>
        <w:spacing w:after="0"/>
        <w:tabs>
          <w:tab w:leader="none" w:pos="6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74" w:lineRule="exact"/>
        <w:rPr>
          <w:rFonts w:ascii="Arial" w:cs="Arial" w:eastAsia="Arial" w:hAnsi="Arial"/>
          <w:sz w:val="18"/>
          <w:szCs w:val="18"/>
          <w:b w:val="1"/>
          <w:bCs w:val="1"/>
          <w:color w:val="auto"/>
        </w:rPr>
      </w:pPr>
    </w:p>
    <w:p>
      <w:pPr>
        <w:jc w:val="both"/>
        <w:ind w:left="652" w:hanging="4"/>
        <w:spacing w:after="0" w:line="303" w:lineRule="auto"/>
        <w:tabs>
          <w:tab w:leader="none" w:pos="1450"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This Fifth Amendment is the entire agreement between the parties with respect to the subject matter hereof and supersedes all prior and contemporaneous oral and written agreements and discussions. This Fifth Amendment may be amended only by an agreement in writing, signed by the parties hereto.</w:t>
      </w:r>
    </w:p>
    <w:p>
      <w:pPr>
        <w:spacing w:after="0" w:line="201" w:lineRule="exact"/>
        <w:rPr>
          <w:rFonts w:ascii="Arial" w:cs="Arial" w:eastAsia="Arial" w:hAnsi="Arial"/>
          <w:sz w:val="18"/>
          <w:szCs w:val="18"/>
          <w:b w:val="1"/>
          <w:bCs w:val="1"/>
          <w:color w:val="auto"/>
        </w:rPr>
      </w:pPr>
    </w:p>
    <w:p>
      <w:pPr>
        <w:ind w:left="1452" w:hanging="804"/>
        <w:spacing w:after="0"/>
        <w:tabs>
          <w:tab w:leader="none" w:pos="1452"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This Fifth Amendment is binding upon and shall inure to the benefit of the parties hereto, their respective successors and</w:t>
      </w:r>
    </w:p>
    <w:p>
      <w:pPr>
        <w:spacing w:after="0" w:line="4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assigns.</w:t>
      </w:r>
    </w:p>
    <w:p>
      <w:pPr>
        <w:spacing w:after="0" w:line="265" w:lineRule="exact"/>
        <w:rPr>
          <w:rFonts w:ascii="Arial" w:cs="Arial" w:eastAsia="Arial" w:hAnsi="Arial"/>
          <w:sz w:val="18"/>
          <w:szCs w:val="18"/>
          <w:b w:val="1"/>
          <w:bCs w:val="1"/>
          <w:color w:val="auto"/>
        </w:rPr>
      </w:pPr>
    </w:p>
    <w:p>
      <w:pPr>
        <w:jc w:val="both"/>
        <w:ind w:left="652" w:hanging="4"/>
        <w:spacing w:after="0" w:line="300" w:lineRule="auto"/>
        <w:tabs>
          <w:tab w:leader="none" w:pos="1450"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This Fifth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Fifth Amendment attached thereto.</w:t>
      </w:r>
    </w:p>
    <w:p>
      <w:pPr>
        <w:spacing w:after="0" w:line="205" w:lineRule="exact"/>
        <w:rPr>
          <w:rFonts w:ascii="Arial" w:cs="Arial" w:eastAsia="Arial" w:hAnsi="Arial"/>
          <w:sz w:val="18"/>
          <w:szCs w:val="18"/>
          <w:b w:val="1"/>
          <w:bCs w:val="1"/>
          <w:color w:val="auto"/>
        </w:rPr>
      </w:pPr>
    </w:p>
    <w:p>
      <w:pPr>
        <w:jc w:val="both"/>
        <w:ind w:left="652" w:hanging="4"/>
        <w:spacing w:after="0" w:line="300" w:lineRule="auto"/>
        <w:tabs>
          <w:tab w:leader="none" w:pos="1460"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Except as amended and/or modified by this Fifth Amendment, the Lease is hereby ratified and confirmed and all other terms of the Lease shall remain in full force and effect, unaltered and unchanged by this Fifth Amendment. In the event of any conflict between the provisions of this Fifth Amendment and the provisions of the Lease, the provisions of this Fifth Amendment shall prevail. Whether or not specifically amended by this Fifth Amendment, all of the terms and provisions of the Lease are hereby amended to the extent necessary to give effect to the purpose and intent of this Fifth Amendment.</w:t>
      </w:r>
    </w:p>
    <w:p>
      <w:pPr>
        <w:spacing w:after="0" w:line="15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[Signatures are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4810760</wp:posOffset>
            </wp:positionH>
            <wp:positionV relativeFrom="paragraph">
              <wp:posOffset>448945</wp:posOffset>
            </wp:positionV>
            <wp:extent cx="243522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352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576" w:right="239" w:bottom="1440" w:gutter="0" w:footer="0" w:header="0"/>
        </w:sectPr>
      </w:pPr>
    </w:p>
    <w:bookmarkStart w:id="60" w:name="page61"/>
    <w:bookmarkEnd w:id="60"/>
    <w:p>
      <w:pPr>
        <w:ind w:left="6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Fifth Amendment as of the day and year first above written.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40" w:type="dxa"/>
            <w:vAlign w:val="bottom"/>
          </w:tcPr>
          <w:p>
            <w:pPr>
              <w:spacing w:after="0"/>
              <w:rPr>
                <w:sz w:val="20"/>
                <w:szCs w:val="20"/>
                <w:color w:val="auto"/>
              </w:rPr>
            </w:pPr>
            <w:r>
              <w:rPr>
                <w:rFonts w:ascii="Arial" w:cs="Arial" w:eastAsia="Arial" w:hAnsi="Arial"/>
                <w:sz w:val="18"/>
                <w:szCs w:val="18"/>
                <w:b w:val="1"/>
                <w:bCs w:val="1"/>
                <w:color w:val="auto"/>
              </w:rPr>
              <w:t>LANDLORD:</w:t>
            </w:r>
          </w:p>
        </w:tc>
        <w:tc>
          <w:tcPr>
            <w:tcW w:w="8340" w:type="dxa"/>
            <w:vAlign w:val="bottom"/>
            <w:gridSpan w:val="2"/>
          </w:tcPr>
          <w:p>
            <w:pPr>
              <w:ind w:left="1980"/>
              <w:spacing w:after="0"/>
              <w:rPr>
                <w:sz w:val="20"/>
                <w:szCs w:val="20"/>
                <w:color w:val="auto"/>
              </w:rPr>
            </w:pPr>
            <w:r>
              <w:rPr>
                <w:rFonts w:ascii="Arial" w:cs="Arial" w:eastAsia="Arial" w:hAnsi="Arial"/>
                <w:sz w:val="18"/>
                <w:szCs w:val="18"/>
                <w:b w:val="1"/>
                <w:bCs w:val="1"/>
                <w:color w:val="auto"/>
              </w:rPr>
              <w:t>ARE-SAN FRANCISCO NO. 17, LLC,</w:t>
            </w:r>
          </w:p>
        </w:tc>
      </w:tr>
      <w:tr>
        <w:trPr>
          <w:trHeight w:val="217"/>
        </w:trPr>
        <w:tc>
          <w:tcPr>
            <w:tcW w:w="3040" w:type="dxa"/>
            <w:vAlign w:val="bottom"/>
          </w:tcPr>
          <w:p>
            <w:pPr>
              <w:spacing w:after="0"/>
              <w:rPr>
                <w:sz w:val="18"/>
                <w:szCs w:val="18"/>
                <w:color w:val="auto"/>
              </w:rPr>
            </w:pPr>
          </w:p>
        </w:tc>
        <w:tc>
          <w:tcPr>
            <w:tcW w:w="8340" w:type="dxa"/>
            <w:vAlign w:val="bottom"/>
            <w:gridSpan w:val="2"/>
          </w:tcPr>
          <w:p>
            <w:pPr>
              <w:ind w:left="1980"/>
              <w:spacing w:after="0"/>
              <w:rPr>
                <w:sz w:val="20"/>
                <w:szCs w:val="20"/>
                <w:color w:val="auto"/>
              </w:rPr>
            </w:pPr>
            <w:r>
              <w:rPr>
                <w:rFonts w:ascii="Arial" w:cs="Arial" w:eastAsia="Arial" w:hAnsi="Arial"/>
                <w:sz w:val="18"/>
                <w:szCs w:val="18"/>
                <w:color w:val="auto"/>
              </w:rPr>
              <w:t>a Delaware limited liability company</w:t>
            </w:r>
          </w:p>
        </w:tc>
      </w:tr>
      <w:tr>
        <w:trPr>
          <w:trHeight w:val="472"/>
        </w:trPr>
        <w:tc>
          <w:tcPr>
            <w:tcW w:w="3040" w:type="dxa"/>
            <w:vAlign w:val="bottom"/>
          </w:tcPr>
          <w:p>
            <w:pPr>
              <w:spacing w:after="0"/>
              <w:rPr>
                <w:sz w:val="24"/>
                <w:szCs w:val="24"/>
                <w:color w:val="auto"/>
              </w:rPr>
            </w:pPr>
          </w:p>
        </w:tc>
        <w:tc>
          <w:tcPr>
            <w:tcW w:w="8340" w:type="dxa"/>
            <w:vAlign w:val="bottom"/>
            <w:gridSpan w:val="2"/>
          </w:tcPr>
          <w:p>
            <w:pPr>
              <w:ind w:left="2480"/>
              <w:spacing w:after="0"/>
              <w:rPr>
                <w:sz w:val="20"/>
                <w:szCs w:val="20"/>
                <w:color w:val="auto"/>
              </w:rPr>
            </w:pPr>
            <w:r>
              <w:rPr>
                <w:rFonts w:ascii="Arial" w:cs="Arial" w:eastAsia="Arial" w:hAnsi="Arial"/>
                <w:sz w:val="18"/>
                <w:szCs w:val="18"/>
                <w:color w:val="auto"/>
              </w:rPr>
              <w:t>By: ALEXANDRIA REAL ESTATE EQUITIES, L.P.,</w:t>
            </w:r>
          </w:p>
        </w:tc>
      </w:tr>
      <w:tr>
        <w:trPr>
          <w:trHeight w:val="203"/>
        </w:trPr>
        <w:tc>
          <w:tcPr>
            <w:tcW w:w="3040" w:type="dxa"/>
            <w:vAlign w:val="bottom"/>
          </w:tcPr>
          <w:p>
            <w:pPr>
              <w:spacing w:after="0"/>
              <w:rPr>
                <w:sz w:val="17"/>
                <w:szCs w:val="17"/>
                <w:color w:val="auto"/>
              </w:rPr>
            </w:pPr>
          </w:p>
        </w:tc>
        <w:tc>
          <w:tcPr>
            <w:tcW w:w="8340" w:type="dxa"/>
            <w:vAlign w:val="bottom"/>
            <w:gridSpan w:val="2"/>
          </w:tcPr>
          <w:p>
            <w:pPr>
              <w:ind w:left="2780"/>
              <w:spacing w:after="0" w:line="202" w:lineRule="exact"/>
              <w:rPr>
                <w:sz w:val="20"/>
                <w:szCs w:val="20"/>
                <w:color w:val="auto"/>
              </w:rPr>
            </w:pPr>
            <w:r>
              <w:rPr>
                <w:rFonts w:ascii="Arial" w:cs="Arial" w:eastAsia="Arial" w:hAnsi="Arial"/>
                <w:sz w:val="18"/>
                <w:szCs w:val="18"/>
                <w:color w:val="auto"/>
              </w:rPr>
              <w:t>a Delaware limited partnership,</w:t>
            </w:r>
          </w:p>
        </w:tc>
      </w:tr>
      <w:tr>
        <w:trPr>
          <w:trHeight w:val="217"/>
        </w:trPr>
        <w:tc>
          <w:tcPr>
            <w:tcW w:w="3040" w:type="dxa"/>
            <w:vAlign w:val="bottom"/>
          </w:tcPr>
          <w:p>
            <w:pPr>
              <w:spacing w:after="0"/>
              <w:rPr>
                <w:sz w:val="18"/>
                <w:szCs w:val="18"/>
                <w:color w:val="auto"/>
              </w:rPr>
            </w:pPr>
          </w:p>
        </w:tc>
        <w:tc>
          <w:tcPr>
            <w:tcW w:w="8340" w:type="dxa"/>
            <w:vAlign w:val="bottom"/>
            <w:gridSpan w:val="2"/>
          </w:tcPr>
          <w:p>
            <w:pPr>
              <w:ind w:left="2780"/>
              <w:spacing w:after="0"/>
              <w:rPr>
                <w:sz w:val="20"/>
                <w:szCs w:val="20"/>
                <w:color w:val="auto"/>
              </w:rPr>
            </w:pPr>
            <w:r>
              <w:rPr>
                <w:rFonts w:ascii="Arial" w:cs="Arial" w:eastAsia="Arial" w:hAnsi="Arial"/>
                <w:sz w:val="18"/>
                <w:szCs w:val="18"/>
                <w:color w:val="auto"/>
              </w:rPr>
              <w:t>managing member</w:t>
            </w:r>
          </w:p>
        </w:tc>
      </w:tr>
      <w:tr>
        <w:trPr>
          <w:trHeight w:val="445"/>
        </w:trPr>
        <w:tc>
          <w:tcPr>
            <w:tcW w:w="3040" w:type="dxa"/>
            <w:vAlign w:val="bottom"/>
          </w:tcPr>
          <w:p>
            <w:pPr>
              <w:spacing w:after="0"/>
              <w:rPr>
                <w:sz w:val="24"/>
                <w:szCs w:val="24"/>
                <w:color w:val="auto"/>
              </w:rPr>
            </w:pPr>
          </w:p>
        </w:tc>
        <w:tc>
          <w:tcPr>
            <w:tcW w:w="8340" w:type="dxa"/>
            <w:vAlign w:val="bottom"/>
            <w:gridSpan w:val="2"/>
          </w:tcPr>
          <w:p>
            <w:pPr>
              <w:ind w:left="3160"/>
              <w:spacing w:after="0"/>
              <w:rPr>
                <w:sz w:val="20"/>
                <w:szCs w:val="20"/>
                <w:color w:val="auto"/>
              </w:rPr>
            </w:pPr>
            <w:r>
              <w:rPr>
                <w:rFonts w:ascii="Arial" w:cs="Arial" w:eastAsia="Arial" w:hAnsi="Arial"/>
                <w:sz w:val="18"/>
                <w:szCs w:val="18"/>
                <w:color w:val="auto"/>
              </w:rPr>
              <w:t>By: ARE-QRS CORP., a Maryland corporation,</w:t>
            </w:r>
          </w:p>
        </w:tc>
      </w:tr>
      <w:tr>
        <w:trPr>
          <w:trHeight w:val="217"/>
        </w:trPr>
        <w:tc>
          <w:tcPr>
            <w:tcW w:w="3040" w:type="dxa"/>
            <w:vAlign w:val="bottom"/>
          </w:tcPr>
          <w:p>
            <w:pPr>
              <w:spacing w:after="0"/>
              <w:rPr>
                <w:sz w:val="18"/>
                <w:szCs w:val="18"/>
                <w:color w:val="auto"/>
              </w:rPr>
            </w:pPr>
          </w:p>
        </w:tc>
        <w:tc>
          <w:tcPr>
            <w:tcW w:w="8340" w:type="dxa"/>
            <w:vAlign w:val="bottom"/>
            <w:gridSpan w:val="2"/>
          </w:tcPr>
          <w:p>
            <w:pPr>
              <w:ind w:left="3460"/>
              <w:spacing w:after="0"/>
              <w:rPr>
                <w:sz w:val="20"/>
                <w:szCs w:val="20"/>
                <w:color w:val="auto"/>
              </w:rPr>
            </w:pPr>
            <w:r>
              <w:rPr>
                <w:rFonts w:ascii="Arial" w:cs="Arial" w:eastAsia="Arial" w:hAnsi="Arial"/>
                <w:sz w:val="18"/>
                <w:szCs w:val="18"/>
                <w:color w:val="auto"/>
              </w:rPr>
              <w:t>general partner</w:t>
            </w:r>
          </w:p>
        </w:tc>
      </w:tr>
      <w:tr>
        <w:trPr>
          <w:trHeight w:val="277"/>
        </w:trPr>
        <w:tc>
          <w:tcPr>
            <w:tcW w:w="3040" w:type="dxa"/>
            <w:vAlign w:val="bottom"/>
          </w:tcPr>
          <w:p>
            <w:pPr>
              <w:spacing w:after="0"/>
              <w:rPr>
                <w:sz w:val="24"/>
                <w:szCs w:val="24"/>
                <w:color w:val="auto"/>
              </w:rPr>
            </w:pPr>
          </w:p>
        </w:tc>
        <w:tc>
          <w:tcPr>
            <w:tcW w:w="8340" w:type="dxa"/>
            <w:vAlign w:val="bottom"/>
            <w:gridSpan w:val="2"/>
          </w:tcPr>
          <w:p>
            <w:pPr>
              <w:ind w:left="3720"/>
              <w:spacing w:after="0"/>
              <w:rPr>
                <w:sz w:val="20"/>
                <w:szCs w:val="20"/>
                <w:color w:val="auto"/>
              </w:rPr>
            </w:pPr>
            <w:r>
              <w:rPr>
                <w:rFonts w:ascii="Arial" w:cs="Arial" w:eastAsia="Arial" w:hAnsi="Arial"/>
                <w:sz w:val="18"/>
                <w:szCs w:val="18"/>
                <w:color w:val="auto"/>
              </w:rPr>
              <w:t>By: /s/ Eric S. Johnson</w:t>
            </w:r>
          </w:p>
        </w:tc>
      </w:tr>
      <w:tr>
        <w:trPr>
          <w:trHeight w:val="243"/>
        </w:trPr>
        <w:tc>
          <w:tcPr>
            <w:tcW w:w="304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4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Eric S. Johnson</w:t>
            </w:r>
          </w:p>
        </w:tc>
      </w:tr>
      <w:tr>
        <w:trPr>
          <w:trHeight w:val="270"/>
        </w:trPr>
        <w:tc>
          <w:tcPr>
            <w:tcW w:w="3040" w:type="dxa"/>
            <w:vAlign w:val="bottom"/>
          </w:tcPr>
          <w:p>
            <w:pPr>
              <w:spacing w:after="0"/>
              <w:rPr>
                <w:sz w:val="23"/>
                <w:szCs w:val="23"/>
                <w:color w:val="auto"/>
              </w:rPr>
            </w:pPr>
          </w:p>
        </w:tc>
        <w:tc>
          <w:tcPr>
            <w:tcW w:w="8340" w:type="dxa"/>
            <w:vAlign w:val="bottom"/>
            <w:gridSpan w:val="2"/>
          </w:tcPr>
          <w:p>
            <w:pPr>
              <w:ind w:left="3740"/>
              <w:spacing w:after="0"/>
              <w:rPr>
                <w:sz w:val="20"/>
                <w:szCs w:val="20"/>
                <w:color w:val="auto"/>
              </w:rPr>
            </w:pPr>
            <w:r>
              <w:rPr>
                <w:rFonts w:ascii="Arial" w:cs="Arial" w:eastAsia="Arial" w:hAnsi="Arial"/>
                <w:sz w:val="18"/>
                <w:szCs w:val="18"/>
                <w:color w:val="auto"/>
              </w:rPr>
              <w:t>Its: Vice President, Real Estate Legal Affairs</w:t>
            </w: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00" w:type="dxa"/>
            <w:vAlign w:val="bottom"/>
          </w:tcPr>
          <w:p>
            <w:pPr>
              <w:spacing w:after="0"/>
              <w:rPr>
                <w:sz w:val="20"/>
                <w:szCs w:val="20"/>
                <w:color w:val="auto"/>
              </w:rPr>
            </w:pPr>
            <w:r>
              <w:rPr>
                <w:rFonts w:ascii="Arial" w:cs="Arial" w:eastAsia="Arial" w:hAnsi="Arial"/>
                <w:sz w:val="18"/>
                <w:szCs w:val="18"/>
                <w:b w:val="1"/>
                <w:bCs w:val="1"/>
                <w:color w:val="auto"/>
              </w:rPr>
              <w:t>TENANT:</w:t>
            </w:r>
          </w:p>
        </w:tc>
        <w:tc>
          <w:tcPr>
            <w:tcW w:w="8480" w:type="dxa"/>
            <w:vAlign w:val="bottom"/>
            <w:gridSpan w:val="2"/>
          </w:tcPr>
          <w:p>
            <w:pPr>
              <w:ind w:left="2120"/>
              <w:spacing w:after="0"/>
              <w:rPr>
                <w:sz w:val="20"/>
                <w:szCs w:val="20"/>
                <w:color w:val="auto"/>
              </w:rPr>
            </w:pPr>
            <w:r>
              <w:rPr>
                <w:rFonts w:ascii="Arial" w:cs="Arial" w:eastAsia="Arial" w:hAnsi="Arial"/>
                <w:sz w:val="18"/>
                <w:szCs w:val="18"/>
                <w:b w:val="1"/>
                <w:bCs w:val="1"/>
                <w:color w:val="auto"/>
              </w:rPr>
              <w:t>FLUIDIGM CORPORATION,</w:t>
            </w:r>
          </w:p>
        </w:tc>
      </w:tr>
      <w:tr>
        <w:trPr>
          <w:trHeight w:val="217"/>
        </w:trPr>
        <w:tc>
          <w:tcPr>
            <w:tcW w:w="2900" w:type="dxa"/>
            <w:vAlign w:val="bottom"/>
          </w:tcPr>
          <w:p>
            <w:pPr>
              <w:spacing w:after="0"/>
              <w:rPr>
                <w:sz w:val="18"/>
                <w:szCs w:val="18"/>
                <w:color w:val="auto"/>
              </w:rPr>
            </w:pPr>
          </w:p>
        </w:tc>
        <w:tc>
          <w:tcPr>
            <w:tcW w:w="8480" w:type="dxa"/>
            <w:vAlign w:val="bottom"/>
            <w:gridSpan w:val="2"/>
          </w:tcPr>
          <w:p>
            <w:pPr>
              <w:ind w:left="2120"/>
              <w:spacing w:after="0"/>
              <w:rPr>
                <w:sz w:val="20"/>
                <w:szCs w:val="20"/>
                <w:color w:val="auto"/>
              </w:rPr>
            </w:pPr>
            <w:r>
              <w:rPr>
                <w:rFonts w:ascii="Arial" w:cs="Arial" w:eastAsia="Arial" w:hAnsi="Arial"/>
                <w:sz w:val="18"/>
                <w:szCs w:val="18"/>
                <w:color w:val="auto"/>
              </w:rPr>
              <w:t>a Delaware corporation</w:t>
            </w:r>
          </w:p>
        </w:tc>
      </w:tr>
      <w:tr>
        <w:trPr>
          <w:trHeight w:val="682"/>
        </w:trPr>
        <w:tc>
          <w:tcPr>
            <w:tcW w:w="2900" w:type="dxa"/>
            <w:vAlign w:val="bottom"/>
          </w:tcPr>
          <w:p>
            <w:pPr>
              <w:spacing w:after="0"/>
              <w:rPr>
                <w:sz w:val="24"/>
                <w:szCs w:val="24"/>
                <w:color w:val="auto"/>
              </w:rPr>
            </w:pPr>
          </w:p>
        </w:tc>
        <w:tc>
          <w:tcPr>
            <w:tcW w:w="8480" w:type="dxa"/>
            <w:vAlign w:val="bottom"/>
            <w:gridSpan w:val="2"/>
          </w:tcPr>
          <w:p>
            <w:pPr>
              <w:ind w:left="2620"/>
              <w:spacing w:after="0"/>
              <w:rPr>
                <w:sz w:val="20"/>
                <w:szCs w:val="20"/>
                <w:color w:val="auto"/>
              </w:rPr>
            </w:pPr>
            <w:r>
              <w:rPr>
                <w:rFonts w:ascii="Arial" w:cs="Arial" w:eastAsia="Arial" w:hAnsi="Arial"/>
                <w:sz w:val="18"/>
                <w:szCs w:val="18"/>
                <w:color w:val="auto"/>
              </w:rPr>
              <w:t>By: /s/ Vikram Jog</w:t>
            </w:r>
          </w:p>
        </w:tc>
      </w:tr>
      <w:tr>
        <w:trPr>
          <w:trHeight w:val="243"/>
        </w:trPr>
        <w:tc>
          <w:tcPr>
            <w:tcW w:w="29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Vikram Jog</w:t>
            </w:r>
          </w:p>
        </w:tc>
      </w:tr>
      <w:tr>
        <w:trPr>
          <w:trHeight w:val="270"/>
        </w:trPr>
        <w:tc>
          <w:tcPr>
            <w:tcW w:w="2900" w:type="dxa"/>
            <w:vAlign w:val="bottom"/>
          </w:tcPr>
          <w:p>
            <w:pPr>
              <w:spacing w:after="0"/>
              <w:rPr>
                <w:sz w:val="23"/>
                <w:szCs w:val="23"/>
                <w:color w:val="auto"/>
              </w:rPr>
            </w:pPr>
          </w:p>
        </w:tc>
        <w:tc>
          <w:tcPr>
            <w:tcW w:w="8480" w:type="dxa"/>
            <w:vAlign w:val="bottom"/>
            <w:gridSpan w:val="2"/>
          </w:tcPr>
          <w:p>
            <w:pPr>
              <w:ind w:left="2640"/>
              <w:spacing w:after="0"/>
              <w:rPr>
                <w:sz w:val="20"/>
                <w:szCs w:val="20"/>
                <w:color w:val="auto"/>
              </w:rPr>
            </w:pPr>
            <w:r>
              <w:rPr>
                <w:rFonts w:ascii="Arial" w:cs="Arial" w:eastAsia="Arial" w:hAnsi="Arial"/>
                <w:sz w:val="18"/>
                <w:szCs w:val="18"/>
                <w:color w:val="auto"/>
              </w:rPr>
              <w:t>Its: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437515</wp:posOffset>
            </wp:positionV>
            <wp:extent cx="243522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352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80" w:top="576"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Third 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27305</wp:posOffset>
            </wp:positionV>
            <wp:extent cx="5377180" cy="7838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77180" cy="783844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Gajus V. Worthington, certify that:</w:t>
      </w:r>
    </w:p>
    <w:p>
      <w:pPr>
        <w:spacing w:after="0" w:line="17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1300"/>
        <w:spacing w:after="0"/>
        <w:tabs>
          <w:tab w:leader="none" w:pos="5380" w:val="left"/>
          <w:tab w:leader="none" w:pos="5980" w:val="left"/>
        </w:tabs>
        <w:rPr>
          <w:sz w:val="20"/>
          <w:szCs w:val="20"/>
          <w:color w:val="auto"/>
        </w:rPr>
      </w:pPr>
      <w:r>
        <w:rPr>
          <w:rFonts w:ascii="Arial" w:cs="Arial" w:eastAsia="Arial" w:hAnsi="Arial"/>
          <w:sz w:val="18"/>
          <w:szCs w:val="18"/>
          <w:color w:val="auto"/>
        </w:rPr>
        <w:t>Dated: November 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31750</wp:posOffset>
            </wp:positionV>
            <wp:extent cx="2667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120"/>
        <w:spacing w:after="0"/>
        <w:tabs>
          <w:tab w:leader="none" w:pos="5880" w:val="left"/>
          <w:tab w:leader="none" w:pos="6480" w:val="left"/>
        </w:tabs>
        <w:rPr>
          <w:sz w:val="20"/>
          <w:szCs w:val="20"/>
          <w:color w:val="auto"/>
        </w:rPr>
      </w:pPr>
      <w:r>
        <w:rPr>
          <w:rFonts w:ascii="Arial" w:cs="Arial" w:eastAsia="Arial" w:hAnsi="Arial"/>
          <w:sz w:val="18"/>
          <w:szCs w:val="18"/>
          <w:color w:val="auto"/>
        </w:rPr>
        <w:t>Dated: November 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31750</wp:posOffset>
            </wp:positionV>
            <wp:extent cx="24441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 1350, AS ADOPTED PURSUANT TO SECTION 906 OF THE SARBANES-OXLEY ACT OF 2002</w:t>
      </w:r>
    </w:p>
    <w:p>
      <w:pPr>
        <w:spacing w:after="0" w:line="12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 Gajus V. Worthington, the chief executive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680" w:firstLine="886"/>
        <w:spacing w:after="0" w:line="277" w:lineRule="auto"/>
        <w:tabs>
          <w:tab w:leader="none" w:pos="10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September 30, 2014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18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November 6, 2014</w:t>
      </w:r>
    </w:p>
    <w:p>
      <w:pPr>
        <w:sectPr>
          <w:pgSz w:w="11900" w:h="16838" w:orient="portrait"/>
          <w:cols w:equalWidth="0" w:num="1">
            <w:col w:w="11420"/>
          </w:cols>
          <w:pgMar w:left="24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2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680" w:firstLine="886"/>
        <w:spacing w:after="0" w:line="277" w:lineRule="auto"/>
        <w:tabs>
          <w:tab w:leader="none" w:pos="109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September 30, 2014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378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1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Date: November 6, 2014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2"/>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upperLetter"/>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3"/>
    </w:lvl>
  </w:abstractNum>
  <w:abstractNum w:abstractNumId="25">
    <w:nsid w:val="3A95F874"/>
    <w:multiLevelType w:val="hybridMultilevel"/>
    <w:lvl w:ilvl="0">
      <w:lvlJc w:val="left"/>
      <w:lvlText w:val="%1."/>
      <w:numFmt w:val="decimal"/>
      <w:start w:val="4"/>
    </w:lvl>
    <w:lvl w:ilvl="1">
      <w:lvlJc w:val="left"/>
      <w:lvlText w:val="%2."/>
      <w:numFmt w:val="lowerLetter"/>
      <w:start w:val="1"/>
    </w:lvl>
  </w:abstractNum>
  <w:abstractNum w:abstractNumId="26">
    <w:nsid w:val="8138641"/>
    <w:multiLevelType w:val="hybridMultilevel"/>
    <w:lvl w:ilvl="0">
      <w:lvlJc w:val="left"/>
      <w:lvlText w:val="%1."/>
      <w:numFmt w:val="decimal"/>
      <w:start w:val="6"/>
    </w:lvl>
  </w:abstractNum>
  <w:abstractNum w:abstractNumId="27">
    <w:nsid w:val="1E7FF521"/>
    <w:multiLevelType w:val="hybridMultilevel"/>
    <w:lvl w:ilvl="0">
      <w:lvlJc w:val="left"/>
      <w:lvlText w:val="%1."/>
      <w:numFmt w:val="decimal"/>
      <w:start w:val="7"/>
    </w:lvl>
    <w:lvl w:ilvl="1">
      <w:lvlJc w:val="left"/>
      <w:lvlText w:val="(%2)"/>
      <w:numFmt w:val="lowerRoman"/>
      <w:start w:val="10"/>
    </w:lvl>
  </w:abstractNum>
  <w:abstractNum w:abstractNumId="28">
    <w:nsid w:val="7C3DBD3D"/>
    <w:multiLevelType w:val="hybridMultilevel"/>
    <w:lvl w:ilvl="0">
      <w:lvlJc w:val="left"/>
      <w:lvlText w:val="%1."/>
      <w:numFmt w:val="decimal"/>
      <w:start w:val="13"/>
    </w:lvl>
    <w:lvl w:ilvl="1">
      <w:lvlJc w:val="left"/>
      <w:lvlText w:val="%2."/>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2019-12-07T02:45:17Z</dcterms:created>
  <dcterms:modified xsi:type="dcterms:W3CDTF">2019-12-07T02:45:17Z</dcterms:modified>
</cp:coreProperties>
</file>