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21"/>
          <w:szCs w:val="21"/>
          <w:b w:val="1"/>
          <w:bCs w:val="1"/>
          <w:color w:val="auto"/>
        </w:rPr>
        <w:t>ANNUAL REPORT PURSUANT TO SECTION 13 OR 15(d) OF THE SECURITIES EXCHANGE ACT OF 1934</w:t>
      </w:r>
    </w:p>
    <w:p>
      <w:pPr>
        <w:spacing w:after="0" w:line="25"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2016</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440" w:type="dxa"/>
        <w:tblCellMar>
          <w:top w:w="0" w:type="dxa"/>
          <w:left w:w="0" w:type="dxa"/>
          <w:bottom w:w="0" w:type="dxa"/>
          <w:right w:w="0" w:type="dxa"/>
        </w:tblCellMar>
      </w:tblPr>
      <w:tr>
        <w:trPr>
          <w:trHeight w:val="277"/>
        </w:trPr>
        <w:tc>
          <w:tcPr>
            <w:tcW w:w="2940" w:type="dxa"/>
            <w:vAlign w:val="bottom"/>
            <w:gridSpan w:val="3"/>
          </w:tcPr>
          <w:p>
            <w:pPr>
              <w:spacing w:after="0"/>
              <w:rPr>
                <w:sz w:val="20"/>
                <w:szCs w:val="20"/>
                <w:color w:val="auto"/>
              </w:rPr>
            </w:pPr>
            <w:r>
              <w:rPr>
                <w:rFonts w:ascii="Arial" w:cs="Arial" w:eastAsia="Arial" w:hAnsi="Arial"/>
                <w:sz w:val="22"/>
                <w:szCs w:val="22"/>
                <w:b w:val="1"/>
                <w:bCs w:val="1"/>
                <w:color w:val="auto"/>
                <w:w w:val="94"/>
              </w:rPr>
              <w:t>For the transition period from</w:t>
            </w:r>
          </w:p>
        </w:tc>
        <w:tc>
          <w:tcPr>
            <w:tcW w:w="4040" w:type="dxa"/>
            <w:vAlign w:val="bottom"/>
          </w:tcPr>
          <w:p>
            <w:pPr>
              <w:ind w:left="500"/>
              <w:spacing w:after="0"/>
              <w:rPr>
                <w:sz w:val="20"/>
                <w:szCs w:val="20"/>
                <w:color w:val="auto"/>
              </w:rPr>
            </w:pPr>
            <w:r>
              <w:rPr>
                <w:rFonts w:ascii="Arial" w:cs="Arial" w:eastAsia="Arial" w:hAnsi="Arial"/>
                <w:sz w:val="22"/>
                <w:szCs w:val="22"/>
                <w:b w:val="1"/>
                <w:bCs w:val="1"/>
                <w:color w:val="auto"/>
              </w:rPr>
              <w:t>to</w:t>
            </w:r>
          </w:p>
        </w:tc>
        <w:tc>
          <w:tcPr>
            <w:tcW w:w="2680" w:type="dxa"/>
            <w:vAlign w:val="bottom"/>
          </w:tcPr>
          <w:p>
            <w:pPr>
              <w:spacing w:after="0"/>
              <w:rPr>
                <w:sz w:val="24"/>
                <w:szCs w:val="24"/>
                <w:color w:val="auto"/>
              </w:rPr>
            </w:pPr>
          </w:p>
        </w:tc>
      </w:tr>
      <w:tr>
        <w:trPr>
          <w:trHeight w:val="256"/>
        </w:trPr>
        <w:tc>
          <w:tcPr>
            <w:tcW w:w="1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40" w:type="dxa"/>
            <w:vAlign w:val="bottom"/>
          </w:tcPr>
          <w:p>
            <w:pPr>
              <w:jc w:val="center"/>
              <w:ind w:left="529"/>
              <w:spacing w:after="0"/>
              <w:rPr>
                <w:sz w:val="20"/>
                <w:szCs w:val="20"/>
                <w:color w:val="auto"/>
              </w:rPr>
            </w:pPr>
            <w:r>
              <w:rPr>
                <w:rFonts w:ascii="Arial" w:cs="Arial" w:eastAsia="Arial" w:hAnsi="Arial"/>
                <w:sz w:val="22"/>
                <w:szCs w:val="22"/>
                <w:b w:val="1"/>
                <w:bCs w:val="1"/>
                <w:color w:val="auto"/>
                <w:w w:val="88"/>
              </w:rPr>
              <w:t>Commission file number: 001-34180</w:t>
            </w:r>
          </w:p>
        </w:tc>
        <w:tc>
          <w:tcPr>
            <w:tcW w:w="2680" w:type="dxa"/>
            <w:vAlign w:val="bottom"/>
          </w:tcPr>
          <w:p>
            <w:pPr>
              <w:spacing w:after="0"/>
              <w:rPr>
                <w:sz w:val="22"/>
                <w:szCs w:val="22"/>
                <w:color w:val="auto"/>
              </w:rPr>
            </w:pPr>
          </w:p>
        </w:tc>
      </w:tr>
      <w:tr>
        <w:trPr>
          <w:trHeight w:val="223"/>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Pr>
          <w:p>
            <w:pPr>
              <w:jc w:val="center"/>
              <w:ind w:left="529"/>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9"/>
                <w:szCs w:val="19"/>
                <w:color w:val="auto"/>
              </w:rPr>
            </w:pPr>
          </w:p>
        </w:tc>
      </w:tr>
      <w:tr>
        <w:trPr>
          <w:trHeight w:val="489"/>
        </w:trPr>
        <w:tc>
          <w:tcPr>
            <w:tcW w:w="1660" w:type="dxa"/>
            <w:vAlign w:val="bottom"/>
          </w:tcPr>
          <w:p>
            <w:pPr>
              <w:spacing w:after="0"/>
              <w:rPr>
                <w:sz w:val="24"/>
                <w:szCs w:val="24"/>
                <w:color w:val="auto"/>
              </w:rPr>
            </w:pPr>
          </w:p>
        </w:tc>
        <w:tc>
          <w:tcPr>
            <w:tcW w:w="8000" w:type="dxa"/>
            <w:vAlign w:val="bottom"/>
            <w:gridSpan w:val="4"/>
          </w:tcPr>
          <w:p>
            <w:pPr>
              <w:jc w:val="center"/>
              <w:ind w:right="681"/>
              <w:spacing w:after="0"/>
              <w:rPr>
                <w:sz w:val="20"/>
                <w:szCs w:val="20"/>
                <w:color w:val="auto"/>
              </w:rPr>
            </w:pPr>
            <w:r>
              <w:rPr>
                <w:rFonts w:ascii="Arial" w:cs="Arial" w:eastAsia="Arial" w:hAnsi="Arial"/>
                <w:sz w:val="40"/>
                <w:szCs w:val="40"/>
                <w:b w:val="1"/>
                <w:bCs w:val="1"/>
                <w:color w:val="auto"/>
              </w:rPr>
              <w:t>FLUIDIGM CORPORATION</w:t>
            </w:r>
          </w:p>
        </w:tc>
      </w:tr>
      <w:tr>
        <w:trPr>
          <w:trHeight w:val="234"/>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20" w:type="dxa"/>
            <w:vAlign w:val="bottom"/>
            <w:gridSpan w:val="2"/>
          </w:tcPr>
          <w:p>
            <w:pPr>
              <w:jc w:val="center"/>
              <w:ind w:right="198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78"/>
        </w:trPr>
        <w:tc>
          <w:tcPr>
            <w:tcW w:w="16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404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6980" w:type="dxa"/>
            <w:vAlign w:val="bottom"/>
            <w:gridSpan w:val="4"/>
          </w:tcPr>
          <w:p>
            <w:pPr>
              <w:jc w:val="center"/>
              <w:ind w:right="2269"/>
              <w:spacing w:after="0"/>
              <w:rPr>
                <w:sz w:val="20"/>
                <w:szCs w:val="20"/>
                <w:color w:val="auto"/>
              </w:rPr>
            </w:pPr>
            <w:r>
              <w:rPr>
                <w:rFonts w:ascii="Arial" w:cs="Arial" w:eastAsia="Arial" w:hAnsi="Arial"/>
                <w:sz w:val="14"/>
                <w:szCs w:val="14"/>
                <w:b w:val="1"/>
                <w:bCs w:val="1"/>
                <w:color w:val="auto"/>
                <w:w w:val="92"/>
              </w:rPr>
              <w:t>(State or other jurisdiction of</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80" w:type="dxa"/>
            <w:vAlign w:val="bottom"/>
            <w:gridSpan w:val="4"/>
          </w:tcPr>
          <w:p>
            <w:pPr>
              <w:jc w:val="center"/>
              <w:ind w:right="2269"/>
              <w:spacing w:after="0"/>
              <w:rPr>
                <w:sz w:val="20"/>
                <w:szCs w:val="20"/>
                <w:color w:val="auto"/>
              </w:rPr>
            </w:pPr>
            <w:r>
              <w:rPr>
                <w:rFonts w:ascii="Arial" w:cs="Arial" w:eastAsia="Arial" w:hAnsi="Arial"/>
                <w:sz w:val="14"/>
                <w:szCs w:val="14"/>
                <w:b w:val="1"/>
                <w:bCs w:val="1"/>
                <w:color w:val="auto"/>
                <w:w w:val="93"/>
              </w:rPr>
              <w:t>incorporation or organization)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Number)</w:t>
            </w:r>
          </w:p>
        </w:tc>
      </w:tr>
      <w:tr>
        <w:trPr>
          <w:trHeight w:val="237"/>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40" w:type="dxa"/>
            <w:vAlign w:val="bottom"/>
          </w:tcPr>
          <w:p>
            <w:pPr>
              <w:jc w:val="center"/>
              <w:ind w:left="529"/>
              <w:spacing w:after="0"/>
              <w:rPr>
                <w:sz w:val="20"/>
                <w:szCs w:val="20"/>
                <w:color w:val="auto"/>
              </w:rPr>
            </w:pPr>
            <w:r>
              <w:rPr>
                <w:rFonts w:ascii="Arial" w:cs="Arial" w:eastAsia="Arial" w:hAnsi="Arial"/>
                <w:sz w:val="18"/>
                <w:szCs w:val="18"/>
                <w:b w:val="1"/>
                <w:bCs w:val="1"/>
                <w:color w:val="auto"/>
                <w:w w:val="89"/>
              </w:rPr>
              <w:t>7000 Shoreline Court, Suite 100</w:t>
            </w:r>
          </w:p>
        </w:tc>
        <w:tc>
          <w:tcPr>
            <w:tcW w:w="2680" w:type="dxa"/>
            <w:vAlign w:val="bottom"/>
          </w:tcPr>
          <w:p>
            <w:pPr>
              <w:spacing w:after="0"/>
              <w:rPr>
                <w:sz w:val="20"/>
                <w:szCs w:val="20"/>
                <w:color w:val="auto"/>
              </w:rPr>
            </w:pPr>
          </w:p>
        </w:tc>
      </w:tr>
      <w:tr>
        <w:trPr>
          <w:trHeight w:val="212"/>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40" w:type="dxa"/>
            <w:vAlign w:val="bottom"/>
          </w:tcPr>
          <w:p>
            <w:pPr>
              <w:jc w:val="center"/>
              <w:ind w:left="549"/>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680" w:type="dxa"/>
            <w:vAlign w:val="bottom"/>
          </w:tcPr>
          <w:p>
            <w:pPr>
              <w:spacing w:after="0"/>
              <w:rPr>
                <w:sz w:val="18"/>
                <w:szCs w:val="18"/>
                <w:color w:val="auto"/>
              </w:rPr>
            </w:pPr>
          </w:p>
        </w:tc>
      </w:tr>
      <w:tr>
        <w:trPr>
          <w:trHeight w:val="186"/>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tcPr>
          <w:p>
            <w:pPr>
              <w:jc w:val="center"/>
              <w:ind w:left="54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680" w:type="dxa"/>
            <w:vAlign w:val="bottom"/>
          </w:tcPr>
          <w:p>
            <w:pPr>
              <w:spacing w:after="0"/>
              <w:rPr>
                <w:sz w:val="16"/>
                <w:szCs w:val="16"/>
                <w:color w:val="auto"/>
              </w:rPr>
            </w:pPr>
          </w:p>
        </w:tc>
      </w:tr>
      <w:tr>
        <w:trPr>
          <w:trHeight w:val="223"/>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Pr>
          <w:p>
            <w:pPr>
              <w:jc w:val="center"/>
              <w:ind w:left="549"/>
              <w:spacing w:after="0"/>
              <w:rPr>
                <w:sz w:val="20"/>
                <w:szCs w:val="20"/>
                <w:color w:val="auto"/>
              </w:rPr>
            </w:pPr>
            <w:r>
              <w:rPr>
                <w:rFonts w:ascii="Arial" w:cs="Arial" w:eastAsia="Arial" w:hAnsi="Arial"/>
                <w:sz w:val="18"/>
                <w:szCs w:val="18"/>
                <w:b w:val="1"/>
                <w:bCs w:val="1"/>
                <w:color w:val="auto"/>
                <w:w w:val="90"/>
              </w:rPr>
              <w:t>(650) 266-6000</w:t>
            </w:r>
          </w:p>
        </w:tc>
        <w:tc>
          <w:tcPr>
            <w:tcW w:w="2680" w:type="dxa"/>
            <w:vAlign w:val="bottom"/>
          </w:tcPr>
          <w:p>
            <w:pPr>
              <w:spacing w:after="0"/>
              <w:rPr>
                <w:sz w:val="19"/>
                <w:szCs w:val="19"/>
                <w:color w:val="auto"/>
              </w:rPr>
            </w:pPr>
          </w:p>
        </w:tc>
      </w:tr>
      <w:tr>
        <w:trPr>
          <w:trHeight w:val="216"/>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20" w:type="dxa"/>
            <w:vAlign w:val="bottom"/>
            <w:gridSpan w:val="2"/>
          </w:tcPr>
          <w:p>
            <w:pPr>
              <w:jc w:val="center"/>
              <w:ind w:right="1981"/>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20" w:type="dxa"/>
            <w:vAlign w:val="bottom"/>
            <w:gridSpan w:val="2"/>
          </w:tcPr>
          <w:p>
            <w:pPr>
              <w:jc w:val="center"/>
              <w:ind w:right="196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66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404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6980" w:type="dxa"/>
            <w:vAlign w:val="bottom"/>
            <w:gridSpan w:val="4"/>
          </w:tcPr>
          <w:p>
            <w:pPr>
              <w:jc w:val="center"/>
              <w:ind w:right="2469"/>
              <w:spacing w:after="0"/>
              <w:rPr>
                <w:sz w:val="20"/>
                <w:szCs w:val="20"/>
                <w:color w:val="auto"/>
              </w:rPr>
            </w:pPr>
            <w:r>
              <w:rPr>
                <w:rFonts w:ascii="Arial" w:cs="Arial" w:eastAsia="Arial" w:hAnsi="Arial"/>
                <w:sz w:val="18"/>
                <w:szCs w:val="18"/>
                <w:color w:val="auto"/>
                <w:w w:val="89"/>
              </w:rPr>
              <w:t>Common Stock, $0.001 Par Value per Share</w:t>
            </w:r>
          </w:p>
        </w:tc>
        <w:tc>
          <w:tcPr>
            <w:tcW w:w="2680" w:type="dxa"/>
            <w:vAlign w:val="bottom"/>
          </w:tcPr>
          <w:p>
            <w:pPr>
              <w:ind w:left="20"/>
              <w:spacing w:after="0"/>
              <w:rPr>
                <w:sz w:val="20"/>
                <w:szCs w:val="20"/>
                <w:color w:val="auto"/>
              </w:rPr>
            </w:pPr>
            <w:r>
              <w:rPr>
                <w:rFonts w:ascii="Arial" w:cs="Arial" w:eastAsia="Arial" w:hAnsi="Arial"/>
                <w:sz w:val="18"/>
                <w:szCs w:val="18"/>
                <w:color w:val="auto"/>
                <w:w w:val="92"/>
              </w:rPr>
              <w:t>The NASDAQ Global Select Market</w:t>
            </w:r>
          </w:p>
        </w:tc>
      </w:tr>
      <w:tr>
        <w:trPr>
          <w:trHeight w:val="270"/>
        </w:trPr>
        <w:tc>
          <w:tcPr>
            <w:tcW w:w="6980" w:type="dxa"/>
            <w:vAlign w:val="bottom"/>
            <w:gridSpan w:val="4"/>
          </w:tcPr>
          <w:p>
            <w:pPr>
              <w:jc w:val="center"/>
              <w:ind w:right="2469"/>
              <w:spacing w:after="0"/>
              <w:rPr>
                <w:sz w:val="20"/>
                <w:szCs w:val="20"/>
                <w:color w:val="auto"/>
              </w:rPr>
            </w:pPr>
            <w:r>
              <w:rPr>
                <w:rFonts w:ascii="Arial" w:cs="Arial" w:eastAsia="Arial" w:hAnsi="Arial"/>
                <w:sz w:val="18"/>
                <w:szCs w:val="18"/>
                <w:color w:val="auto"/>
                <w:w w:val="88"/>
              </w:rPr>
              <w:t>Preferred Share Purchase Rights</w:t>
            </w:r>
          </w:p>
        </w:tc>
        <w:tc>
          <w:tcPr>
            <w:tcW w:w="2680" w:type="dxa"/>
            <w:vAlign w:val="bottom"/>
          </w:tcPr>
          <w:p>
            <w:pPr>
              <w:spacing w:after="0"/>
              <w:rPr>
                <w:sz w:val="23"/>
                <w:szCs w:val="23"/>
                <w:color w:val="auto"/>
              </w:rPr>
            </w:pPr>
          </w:p>
        </w:tc>
      </w:tr>
      <w:tr>
        <w:trPr>
          <w:trHeight w:val="252"/>
        </w:trPr>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720" w:type="dxa"/>
            <w:vAlign w:val="bottom"/>
            <w:gridSpan w:val="2"/>
          </w:tcPr>
          <w:p>
            <w:pPr>
              <w:jc w:val="center"/>
              <w:ind w:right="1961"/>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20"/>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Pr>
          <w:p>
            <w:pPr>
              <w:jc w:val="center"/>
              <w:ind w:left="549"/>
              <w:spacing w:after="0"/>
              <w:rPr>
                <w:sz w:val="20"/>
                <w:szCs w:val="20"/>
                <w:color w:val="auto"/>
              </w:rPr>
            </w:pPr>
            <w:r>
              <w:rPr>
                <w:rFonts w:ascii="Arial" w:cs="Arial" w:eastAsia="Arial" w:hAnsi="Arial"/>
                <w:sz w:val="18"/>
                <w:szCs w:val="18"/>
                <w:b w:val="1"/>
                <w:bCs w:val="1"/>
                <w:color w:val="auto"/>
                <w:w w:val="88"/>
              </w:rPr>
              <w:t>None</w:t>
            </w:r>
          </w:p>
        </w:tc>
        <w:tc>
          <w:tcPr>
            <w:tcW w:w="2680" w:type="dxa"/>
            <w:vAlign w:val="bottom"/>
          </w:tcPr>
          <w:p>
            <w:pPr>
              <w:spacing w:after="0"/>
              <w:rPr>
                <w:sz w:val="19"/>
                <w:szCs w:val="19"/>
                <w:color w:val="auto"/>
              </w:rPr>
            </w:pPr>
          </w:p>
        </w:tc>
      </w:tr>
      <w:tr>
        <w:trPr>
          <w:trHeight w:val="225"/>
        </w:trPr>
        <w:tc>
          <w:tcPr>
            <w:tcW w:w="1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Pr>
          <w:p>
            <w:pPr>
              <w:jc w:val="center"/>
              <w:ind w:left="529"/>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9"/>
                <w:szCs w:val="19"/>
                <w:color w:val="auto"/>
              </w:rPr>
            </w:pPr>
          </w:p>
        </w:tc>
      </w:tr>
    </w:tbl>
    <w:p>
      <w:pPr>
        <w:ind w:right="400" w:firstLine="324"/>
        <w:spacing w:after="0" w:line="21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of 1933,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 w:lineRule="exact"/>
        <w:rPr>
          <w:sz w:val="24"/>
          <w:szCs w:val="24"/>
          <w:color w:val="auto"/>
        </w:rPr>
      </w:pP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60"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jc w:val="both"/>
        <w:ind w:right="6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20" w:right="259" w:bottom="45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43" w:lineRule="exact"/>
        <w:rPr>
          <w:sz w:val="24"/>
          <w:szCs w:val="24"/>
          <w:color w:val="auto"/>
        </w:rPr>
      </w:pPr>
    </w:p>
    <w:p>
      <w:pPr>
        <w:sectPr>
          <w:pgSz w:w="11900" w:h="16838" w:orient="portrait"/>
          <w:cols w:equalWidth="0" w:num="4">
            <w:col w:w="2180" w:space="720"/>
            <w:col w:w="5000" w:space="720"/>
            <w:col w:w="1760" w:space="720"/>
            <w:col w:w="300"/>
          </w:cols>
          <w:pgMar w:left="240" w:top="1120" w:right="259" w:bottom="45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89" w:lineRule="exact"/>
        <w:rPr>
          <w:sz w:val="24"/>
          <w:szCs w:val="24"/>
          <w:color w:val="auto"/>
        </w:rPr>
      </w:pPr>
    </w:p>
    <w:p>
      <w:pPr>
        <w:sectPr>
          <w:pgSz w:w="11900" w:h="16838" w:orient="portrait"/>
          <w:cols w:equalWidth="0" w:num="5">
            <w:col w:w="2180" w:space="720"/>
            <w:col w:w="160" w:space="100"/>
            <w:col w:w="4740" w:space="720"/>
            <w:col w:w="1960" w:space="520"/>
            <w:col w:w="300"/>
          </w:cols>
          <w:pgMar w:left="240" w:top="1120" w:right="259" w:bottom="450"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43" w:lineRule="exact"/>
        <w:rPr>
          <w:sz w:val="24"/>
          <w:szCs w:val="24"/>
          <w:color w:val="auto"/>
        </w:rPr>
      </w:pPr>
    </w:p>
    <w:p>
      <w:pPr>
        <w:sectPr>
          <w:pgSz w:w="11900" w:h="16838" w:orient="portrait"/>
          <w:cols w:equalWidth="0" w:num="4">
            <w:col w:w="8500" w:space="180"/>
            <w:col w:w="260" w:space="100"/>
            <w:col w:w="160" w:space="180"/>
            <w:col w:w="2020"/>
          </w:cols>
          <w:pgMar w:left="240" w:top="1120" w:right="259" w:bottom="450" w:gutter="0" w:footer="0" w:header="0"/>
          <w:type w:val="continuous"/>
        </w:sectPr>
      </w:pPr>
    </w:p>
    <w:p>
      <w:pPr>
        <w:ind w:firstLine="324"/>
        <w:spacing w:after="0" w:line="252" w:lineRule="auto"/>
        <w:rPr>
          <w:sz w:val="20"/>
          <w:szCs w:val="20"/>
          <w:color w:val="auto"/>
        </w:rPr>
      </w:pPr>
      <w:r>
        <w:rPr>
          <w:rFonts w:ascii="Arial" w:cs="Arial" w:eastAsia="Arial" w:hAnsi="Arial"/>
          <w:sz w:val="18"/>
          <w:szCs w:val="18"/>
          <w:color w:val="auto"/>
        </w:rPr>
        <w:t>As of June 30, 2016, the last business day of the registrant’s most recently completed second fiscal quarter, the aggregate market value of voting and non-voting common equity held by non-affiliates of the registrant was approximately $262,199,821 (based on a closing sale price of $9.03 per share as reported for the NASDAQ Global Select Market on June 30, 2016).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February 10, 2017 was 29,208,481.</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500" w:firstLine="324"/>
        <w:spacing w:after="0" w:line="261" w:lineRule="auto"/>
        <w:rPr>
          <w:sz w:val="20"/>
          <w:szCs w:val="20"/>
          <w:color w:val="auto"/>
        </w:rPr>
      </w:pPr>
      <w:r>
        <w:rPr>
          <w:rFonts w:ascii="Arial" w:cs="Arial" w:eastAsia="Arial" w:hAnsi="Arial"/>
          <w:sz w:val="18"/>
          <w:szCs w:val="18"/>
          <w:color w:val="auto"/>
        </w:rPr>
        <w:t>The information called for by Part III of this Annual Report on Form 10-K will be included in an amendment to this Form 10-K or incorporated by reference from the registrant’s definitive Proxy Statement relating to its 2017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0" w:right="259" w:bottom="45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Fiscal Year 2016</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806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8060" w:type="dxa"/>
            <w:vAlign w:val="bottom"/>
            <w:gridSpan w:val="24"/>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15</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gridSpan w:val="11"/>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UNRESOLVED STAFF COMMENTS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40</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282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PROPERTIES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8060" w:type="dxa"/>
            <w:vAlign w:val="bottom"/>
            <w:gridSpan w:val="2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8060" w:type="dxa"/>
            <w:vAlign w:val="bottom"/>
            <w:gridSpan w:val="2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MARKET FOR REGISTRANT’S COMMON EQUITY, RELATED STOCKHOLDER MATTERS AND</w:t>
              </w:r>
            </w:hyperlink>
          </w:p>
        </w:tc>
        <w:tc>
          <w:tcPr>
            <w:tcW w:w="46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gridSpan w:val="13"/>
          </w:tcPr>
          <w:p>
            <w:pPr>
              <w:spacing w:after="0" w:line="19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ISSUER PURCHASES OF EQUITY SECURITIES</w:t>
              </w:r>
            </w:hyperlink>
          </w:p>
        </w:tc>
        <w:tc>
          <w:tcPr>
            <w:tcW w:w="4300" w:type="dxa"/>
            <w:vAlign w:val="bottom"/>
            <w:gridSpan w:val="11"/>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gridSpan w:val="8"/>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SELECTED FINANCIAL DATA</w:t>
              </w:r>
            </w:hyperlink>
          </w:p>
        </w:tc>
        <w:tc>
          <w:tcPr>
            <w:tcW w:w="1340" w:type="dxa"/>
            <w:vAlign w:val="bottom"/>
            <w:gridSpan w:val="5"/>
          </w:tcPr>
          <w:p>
            <w:pPr>
              <w:spacing w:after="0"/>
              <w:rPr>
                <w:sz w:val="21"/>
                <w:szCs w:val="21"/>
                <w:color w:val="auto"/>
              </w:rPr>
            </w:pPr>
          </w:p>
        </w:tc>
        <w:tc>
          <w:tcPr>
            <w:tcW w:w="4300" w:type="dxa"/>
            <w:vAlign w:val="bottom"/>
            <w:gridSpan w:val="11"/>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8060" w:type="dxa"/>
            <w:vAlign w:val="bottom"/>
            <w:gridSpan w:val="2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OPERATIONS</w:t>
              </w:r>
            </w:hyperlink>
          </w:p>
        </w:tc>
        <w:tc>
          <w:tcPr>
            <w:tcW w:w="6660" w:type="dxa"/>
            <w:vAlign w:val="bottom"/>
            <w:tcBorders>
              <w:top w:val="single" w:sz="8" w:color="0000EE"/>
            </w:tcBorders>
            <w:gridSpan w:val="20"/>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gridSpan w:val="18"/>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QUANTITATIVE AND QUALITATIVE DISCLOSURES ABOUT MARKET RISK</w:t>
              </w:r>
            </w:hyperlink>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gridSpan w:val="16"/>
          </w:tcPr>
          <w:p>
            <w:pPr>
              <w:spacing w:after="0"/>
              <w:rPr>
                <w:rFonts w:ascii="Arial" w:cs="Arial" w:eastAsia="Arial" w:hAnsi="Arial"/>
                <w:sz w:val="18"/>
                <w:szCs w:val="18"/>
                <w:color w:val="0000FF"/>
                <w:w w:val="96"/>
              </w:rPr>
            </w:pPr>
            <w:hyperlink w:anchor="page61">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94">
              <w:r>
                <w:rPr>
                  <w:rFonts w:ascii="Arial" w:cs="Arial" w:eastAsia="Arial" w:hAnsi="Arial"/>
                  <w:sz w:val="18"/>
                  <w:szCs w:val="18"/>
                  <w:color w:val="0000FF"/>
                  <w:w w:val="97"/>
                </w:rPr>
                <w:t>CHANGES IN AND DISAGREEMENTS WITH ACCOUNTANTS ON ACCOUNTING AND</w:t>
              </w:r>
            </w:hyperlink>
          </w:p>
        </w:tc>
        <w:tc>
          <w:tcPr>
            <w:tcW w:w="1140" w:type="dxa"/>
            <w:vAlign w:val="bottom"/>
            <w:gridSpan w:val="5"/>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gridSpan w:val="7"/>
          </w:tcPr>
          <w:p>
            <w:pPr>
              <w:spacing w:after="0" w:line="196" w:lineRule="exact"/>
              <w:rPr>
                <w:rFonts w:ascii="Arial" w:cs="Arial" w:eastAsia="Arial" w:hAnsi="Arial"/>
                <w:sz w:val="18"/>
                <w:szCs w:val="18"/>
                <w:color w:val="0000FF"/>
                <w:w w:val="97"/>
              </w:rPr>
            </w:pPr>
            <w:hyperlink w:anchor="page94">
              <w:r>
                <w:rPr>
                  <w:rFonts w:ascii="Arial" w:cs="Arial" w:eastAsia="Arial" w:hAnsi="Arial"/>
                  <w:sz w:val="18"/>
                  <w:szCs w:val="18"/>
                  <w:color w:val="0000FF"/>
                  <w:w w:val="97"/>
                </w:rPr>
                <w:t>FINANCIAL DISCLOSURE</w:t>
              </w:r>
            </w:hyperlink>
          </w:p>
        </w:tc>
        <w:tc>
          <w:tcPr>
            <w:tcW w:w="5940" w:type="dxa"/>
            <w:vAlign w:val="bottom"/>
            <w:gridSpan w:val="17"/>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CONTROLS AND PROCEDURES</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91</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gridSpan w:val="17"/>
          </w:tcPr>
          <w:p>
            <w:pPr>
              <w:spacing w:after="0"/>
              <w:rPr>
                <w:rFonts w:ascii="Arial" w:cs="Arial" w:eastAsia="Arial" w:hAnsi="Arial"/>
                <w:sz w:val="18"/>
                <w:szCs w:val="18"/>
                <w:color w:val="0000FF"/>
                <w:w w:val="94"/>
              </w:rPr>
            </w:pPr>
            <w:hyperlink w:anchor="page95">
              <w:r>
                <w:rPr>
                  <w:rFonts w:ascii="Arial" w:cs="Arial" w:eastAsia="Arial" w:hAnsi="Arial"/>
                  <w:sz w:val="18"/>
                  <w:szCs w:val="18"/>
                  <w:color w:val="0000FF"/>
                  <w:w w:val="94"/>
                </w:rPr>
                <w:t>DIRECTORS, EXECUTIVE OFFICERS AND CORPORATE GOVERNANCE</w:t>
              </w:r>
            </w:hyperlink>
          </w:p>
        </w:tc>
        <w:tc>
          <w:tcPr>
            <w:tcW w:w="2260" w:type="dxa"/>
            <w:vAlign w:val="bottom"/>
            <w:gridSpan w:val="7"/>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EXECUTIVE COMPENSATION</w:t>
              </w:r>
            </w:hyperlink>
          </w:p>
        </w:tc>
        <w:tc>
          <w:tcPr>
            <w:tcW w:w="3360" w:type="dxa"/>
            <w:vAlign w:val="bottom"/>
            <w:gridSpan w:val="8"/>
          </w:tcPr>
          <w:p>
            <w:pPr>
              <w:spacing w:after="0"/>
              <w:rPr>
                <w:sz w:val="21"/>
                <w:szCs w:val="21"/>
                <w:color w:val="auto"/>
              </w:rPr>
            </w:pPr>
          </w:p>
        </w:tc>
        <w:tc>
          <w:tcPr>
            <w:tcW w:w="226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95">
              <w:r>
                <w:rPr>
                  <w:rFonts w:ascii="Arial" w:cs="Arial" w:eastAsia="Arial" w:hAnsi="Arial"/>
                  <w:sz w:val="18"/>
                  <w:szCs w:val="18"/>
                  <w:color w:val="0000FF"/>
                  <w:w w:val="96"/>
                </w:rPr>
                <w:t>SECURITY OWNERSHIP OF CERTAIN BENEFICIAL OWNERS AND MANAGEMENT AND</w:t>
              </w:r>
            </w:hyperlink>
          </w:p>
        </w:tc>
        <w:tc>
          <w:tcPr>
            <w:tcW w:w="900" w:type="dxa"/>
            <w:vAlign w:val="bottom"/>
            <w:gridSpan w:val="4"/>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RELATED STOCKHOLDER MATTERS</w:t>
              </w:r>
            </w:hyperlink>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3020" w:type="dxa"/>
            <w:vAlign w:val="bottom"/>
            <w:gridSpan w:val="1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gridSpan w:val="2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CERTAIN RELATIONSHIPS AND RELATED TRANSACTIONS, AND DIRECTOR INDEPENDENCE</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00" w:type="dxa"/>
            <w:vAlign w:val="bottom"/>
            <w:gridSpan w:val="2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PRINCIPAL ACCOUNTING FEES AND SERVICES</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gridSpan w:val="15"/>
          </w:tcPr>
          <w:p>
            <w:pPr>
              <w:spacing w:after="0"/>
              <w:rPr>
                <w:rFonts w:ascii="Arial" w:cs="Arial" w:eastAsia="Arial" w:hAnsi="Arial"/>
                <w:sz w:val="18"/>
                <w:szCs w:val="18"/>
                <w:color w:val="0000FF"/>
                <w:w w:val="96"/>
              </w:rPr>
            </w:pPr>
            <w:hyperlink w:anchor="page99">
              <w:r>
                <w:rPr>
                  <w:rFonts w:ascii="Arial" w:cs="Arial" w:eastAsia="Arial" w:hAnsi="Arial"/>
                  <w:sz w:val="18"/>
                  <w:szCs w:val="18"/>
                  <w:color w:val="0000FF"/>
                  <w:w w:val="96"/>
                </w:rPr>
                <w:t>EXHIBITS, FINANCIAL STATEMENT SCHEDULES</w:t>
              </w:r>
            </w:hyperlink>
          </w:p>
        </w:tc>
        <w:tc>
          <w:tcPr>
            <w:tcW w:w="4020" w:type="dxa"/>
            <w:vAlign w:val="bottom"/>
            <w:gridSpan w:val="9"/>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31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This Form 10-K contains forward-looking statements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results of operations, cash flow, sources of revenue, operating and other expenses, unit sales, business strategies, expansion of our business,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240" w:firstLine="432"/>
        <w:spacing w:after="0" w:line="269" w:lineRule="auto"/>
        <w:rPr>
          <w:sz w:val="20"/>
          <w:szCs w:val="20"/>
          <w:color w:val="auto"/>
        </w:rPr>
      </w:pPr>
      <w:r>
        <w:rPr>
          <w:rFonts w:ascii="Arial" w:cs="Arial" w:eastAsia="Arial" w:hAnsi="Arial"/>
          <w:sz w:val="17"/>
          <w:szCs w:val="17"/>
          <w:color w:val="auto"/>
        </w:rPr>
        <w:t>“Fluidigm,” the Fluidigm logo, “Access Array,”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Form 10-K are the property of their respective owners.</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742"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225"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Our IFCs are manufactured using multi-layer soft lithography technology, or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18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Callisto system integrates environmental regulation for long-term cell culture with the C1 control system. Our Polaris system combines the capabilities of all these instruments by incorporating thermal cycling, IFC control, environmental regulation, and imaging.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ind w:right="140" w:firstLine="432"/>
        <w:spacing w:after="0" w:line="259" w:lineRule="auto"/>
        <w:rPr>
          <w:sz w:val="20"/>
          <w:szCs w:val="20"/>
          <w:color w:val="auto"/>
        </w:rPr>
      </w:pPr>
      <w:r>
        <w:rPr>
          <w:rFonts w:ascii="Arial" w:cs="Arial" w:eastAsia="Arial" w:hAnsi="Arial"/>
          <w:sz w:val="18"/>
          <w:szCs w:val="18"/>
          <w:color w:val="auto"/>
        </w:rPr>
        <w:t>Our mass cytometry instrumentation technology includes a custom-designed inductively-coupled plasma ion source, ion-optical and vacuum systems, and instrument control electronics. With our CyTOF 2 system and our Helios system, which is an enhanced version of our CyTOF 2 system, individual cells are atomized, ionized, and extracted. A time-of-flight mass analyzer separates atomic ions of different mass-to-charge ratios, providing information on temporal distribution of ions.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 We offer Fluidigm Cytobank, our cloud-based platform of analytical tools, for use with the Helios/CyTOF 2 systems.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Delta Gene and single-nucleotide polymorphism type, or SNP Type, assay products consist of assay design and custom content delivery systems for gene expression and genotyping, respectively. These offerings provide low-cost alternatives to chemistries such as TaqMan,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8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also manufacture metal-conjugated antibodies for use with our Helios/CyTOF 2 system to allow detection of up to approximately 37 protein targets simultaneously in a single cell. Our metal-conjugated antibodies are manufactured using metal-chelating polymers, which are produced using proprietary polymerization processes and subsequent post-polymerization modifications.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We market innovative technologies and life-science tools, including preparatory and analytical instruments for High Throughput Genomics, Single Cell Genomics, Mass Cytometry and consumables, including IFCs, assays, and reagents. Our primary product offerings are summarized in the table below:</w:t>
      </w:r>
    </w:p>
    <w:p>
      <w:pPr>
        <w:sectPr>
          <w:pgSz w:w="11900" w:h="16838" w:orient="portrait"/>
          <w:cols w:equalWidth="0" w:num="1">
            <w:col w:w="11400"/>
          </w:cols>
          <w:pgMar w:left="240" w:top="368" w:right="25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Product</w:t>
            </w:r>
          </w:p>
        </w:tc>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74"/>
        </w:trPr>
        <w:tc>
          <w:tcPr>
            <w:tcW w:w="3780" w:type="dxa"/>
            <w:vAlign w:val="bottom"/>
          </w:tcPr>
          <w:p>
            <w:pPr>
              <w:ind w:left="40"/>
              <w:spacing w:after="0"/>
              <w:rPr>
                <w:sz w:val="20"/>
                <w:szCs w:val="20"/>
                <w:color w:val="auto"/>
              </w:rPr>
            </w:pPr>
            <w:r>
              <w:rPr>
                <w:rFonts w:ascii="Arial" w:cs="Arial" w:eastAsia="Arial" w:hAnsi="Arial"/>
                <w:sz w:val="22"/>
                <w:szCs w:val="22"/>
                <w:b w:val="1"/>
                <w:bCs w:val="1"/>
                <w:color w:val="auto"/>
              </w:rPr>
              <w:t>High Throughput Genomics</w:t>
            </w:r>
          </w:p>
        </w:tc>
        <w:tc>
          <w:tcPr>
            <w:tcW w:w="22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381"/>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Preparatory Instruments:</w:t>
            </w:r>
          </w:p>
        </w:tc>
        <w:tc>
          <w:tcPr>
            <w:tcW w:w="4240" w:type="dxa"/>
            <w:vAlign w:val="bottom"/>
          </w:tcPr>
          <w:p>
            <w:pPr>
              <w:spacing w:after="0"/>
              <w:rPr>
                <w:sz w:val="24"/>
                <w:szCs w:val="24"/>
                <w:color w:val="auto"/>
              </w:rPr>
            </w:pPr>
          </w:p>
        </w:tc>
      </w:tr>
      <w:tr>
        <w:trPr>
          <w:trHeight w:val="377"/>
        </w:trPr>
        <w:tc>
          <w:tcPr>
            <w:tcW w:w="4000" w:type="dxa"/>
            <w:vAlign w:val="bottom"/>
            <w:gridSpan w:val="2"/>
          </w:tcPr>
          <w:p>
            <w:pPr>
              <w:ind w:left="160"/>
              <w:spacing w:after="0"/>
              <w:rPr>
                <w:sz w:val="20"/>
                <w:szCs w:val="20"/>
                <w:color w:val="auto"/>
              </w:rPr>
            </w:pPr>
            <w:r>
              <w:rPr>
                <w:rFonts w:ascii="Arial" w:cs="Arial" w:eastAsia="Arial" w:hAnsi="Arial"/>
                <w:sz w:val="18"/>
                <w:szCs w:val="18"/>
                <w:color w:val="auto"/>
              </w:rPr>
              <w:t>Access Array System</w:t>
            </w:r>
          </w:p>
        </w:tc>
        <w:tc>
          <w:tcPr>
            <w:tcW w:w="4240" w:type="dxa"/>
            <w:vAlign w:val="bottom"/>
          </w:tcPr>
          <w:p>
            <w:pPr>
              <w:ind w:left="40"/>
              <w:spacing w:after="0"/>
              <w:rPr>
                <w:sz w:val="20"/>
                <w:szCs w:val="20"/>
                <w:color w:val="auto"/>
              </w:rPr>
            </w:pPr>
            <w:r>
              <w:rPr>
                <w:rFonts w:ascii="Arial" w:cs="Arial" w:eastAsia="Arial" w:hAnsi="Arial"/>
                <w:sz w:val="18"/>
                <w:szCs w:val="18"/>
                <w:color w:val="auto"/>
              </w:rPr>
              <w:t>A modular, flexible system that automates amplicon-</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4"/>
              </w:rPr>
              <w:t>based library preparation of up to 480 amplicons across</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9"/>
              </w:rPr>
              <w:t>48 unique samples per processing run. The resulting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0"/>
              </w:rPr>
              <w:t>barcoded libraries are ready for targeted DNA sequencing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8"/>
              </w:rPr>
              <w:t>on next-generation sequencing (NGS) platforms from</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Illumina®, Ion Torrent®, and other suppliers.</w:t>
            </w: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Library preparation for targeted DNA sequencing on NGS systems.</w:t>
      </w:r>
    </w:p>
    <w:p>
      <w:pPr>
        <w:spacing w:after="0" w:line="1009" w:lineRule="exact"/>
        <w:rPr>
          <w:sz w:val="20"/>
          <w:szCs w:val="20"/>
          <w:color w:val="auto"/>
        </w:rPr>
      </w:pPr>
    </w:p>
    <w:p>
      <w:pPr>
        <w:sectPr>
          <w:pgSz w:w="11900" w:h="16838" w:orient="portrait"/>
          <w:cols w:equalWidth="0" w:num="2">
            <w:col w:w="8240" w:space="240"/>
            <w:col w:w="2920"/>
          </w:cols>
          <w:pgMar w:left="240" w:top="368"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68"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Product</w:t>
            </w:r>
          </w:p>
        </w:tc>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2"/>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Juno System</w:t>
            </w:r>
          </w:p>
        </w:tc>
        <w:tc>
          <w:tcPr>
            <w:tcW w:w="4240" w:type="dxa"/>
            <w:vAlign w:val="bottom"/>
          </w:tcPr>
          <w:p>
            <w:pPr>
              <w:ind w:left="40"/>
              <w:spacing w:after="0"/>
              <w:rPr>
                <w:sz w:val="20"/>
                <w:szCs w:val="20"/>
                <w:color w:val="auto"/>
              </w:rPr>
            </w:pPr>
            <w:r>
              <w:rPr>
                <w:rFonts w:ascii="Arial" w:cs="Arial" w:eastAsia="Arial" w:hAnsi="Arial"/>
                <w:sz w:val="18"/>
                <w:szCs w:val="18"/>
                <w:color w:val="auto"/>
                <w:w w:val="95"/>
              </w:rPr>
              <w:t>An integrated system that automates the preparation of</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amplicon-based libraries for targeted DNA next-</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generation sequencing, as well as the preparation of</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samples for genomic analysis.</w:t>
            </w:r>
          </w:p>
        </w:tc>
      </w:tr>
      <w:tr>
        <w:trPr>
          <w:trHeight w:val="418"/>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6"/>
              </w:rPr>
              <w:t>Microfluidic processing automates parallel PCR-based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3"/>
              </w:rPr>
              <w:t>target enrichment, barcoding, and tagging of libraries for</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each sample within the processing run. Multiplexing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6"/>
              </w:rPr>
              <w:t>chemistry facilitates parallel amplification of up to 5000</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6"/>
              </w:rPr>
              <w:t>targets from each of 48 samples, or up to 2500 targets</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from each of 192.</w:t>
            </w:r>
          </w:p>
        </w:tc>
      </w:tr>
      <w:tr>
        <w:trPr>
          <w:trHeight w:val="418"/>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5"/>
              </w:rPr>
              <w:t>Additionally, Juno automates workflows for PCR-based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gene expression and genotyping by assembling and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4"/>
              </w:rPr>
              <w:t>controlling reactions at the nanoliter scale, and enabling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preamplification within the IFC for the genotyping of</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challenging and low-concentration DNA samples.</w:t>
            </w:r>
          </w:p>
        </w:tc>
      </w:tr>
      <w:tr>
        <w:trPr>
          <w:trHeight w:val="431"/>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Callisto System</w:t>
            </w:r>
          </w:p>
        </w:tc>
        <w:tc>
          <w:tcPr>
            <w:tcW w:w="4240" w:type="dxa"/>
            <w:vAlign w:val="bottom"/>
          </w:tcPr>
          <w:p>
            <w:pPr>
              <w:ind w:left="40"/>
              <w:spacing w:after="0"/>
              <w:rPr>
                <w:sz w:val="20"/>
                <w:szCs w:val="20"/>
                <w:color w:val="auto"/>
              </w:rPr>
            </w:pPr>
            <w:r>
              <w:rPr>
                <w:rFonts w:ascii="Arial" w:cs="Arial" w:eastAsia="Arial" w:hAnsi="Arial"/>
                <w:sz w:val="18"/>
                <w:szCs w:val="18"/>
                <w:color w:val="auto"/>
                <w:w w:val="98"/>
              </w:rPr>
              <w:t>Integrated system with environmental control and IFC</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that enables long term automated cell culture and</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combinatorial dosing on a single device.</w:t>
            </w:r>
          </w:p>
        </w:tc>
      </w:tr>
      <w:tr>
        <w:trPr>
          <w:trHeight w:val="432"/>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Analytical Instruments:</w:t>
            </w:r>
          </w:p>
        </w:tc>
        <w:tc>
          <w:tcPr>
            <w:tcW w:w="4240" w:type="dxa"/>
            <w:vAlign w:val="bottom"/>
          </w:tcPr>
          <w:p>
            <w:pPr>
              <w:spacing w:after="0"/>
              <w:rPr>
                <w:sz w:val="24"/>
                <w:szCs w:val="24"/>
                <w:color w:val="auto"/>
              </w:rPr>
            </w:pP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Biomark HD System</w:t>
            </w:r>
          </w:p>
        </w:tc>
        <w:tc>
          <w:tcPr>
            <w:tcW w:w="4240" w:type="dxa"/>
            <w:vAlign w:val="bottom"/>
          </w:tcPr>
          <w:p>
            <w:pPr>
              <w:ind w:left="40"/>
              <w:spacing w:after="0"/>
              <w:rPr>
                <w:sz w:val="20"/>
                <w:szCs w:val="20"/>
                <w:color w:val="auto"/>
              </w:rPr>
            </w:pPr>
            <w:r>
              <w:rPr>
                <w:rFonts w:ascii="Arial" w:cs="Arial" w:eastAsia="Arial" w:hAnsi="Arial"/>
                <w:sz w:val="18"/>
                <w:szCs w:val="18"/>
                <w:color w:val="auto"/>
                <w:w w:val="93"/>
              </w:rPr>
              <w:t>Real-time PCR analytical instrument for high-throughput</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gene expression analysis, single-cell targeted gene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expression analysis, microRNA analysis, SNP</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genotyping, and digital PCR.</w:t>
            </w: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EP1 System</w:t>
            </w:r>
          </w:p>
        </w:tc>
        <w:tc>
          <w:tcPr>
            <w:tcW w:w="4240" w:type="dxa"/>
            <w:vAlign w:val="bottom"/>
          </w:tcPr>
          <w:p>
            <w:pPr>
              <w:ind w:left="40"/>
              <w:spacing w:after="0"/>
              <w:rPr>
                <w:sz w:val="20"/>
                <w:szCs w:val="20"/>
                <w:color w:val="auto"/>
              </w:rPr>
            </w:pPr>
            <w:r>
              <w:rPr>
                <w:rFonts w:ascii="Arial" w:cs="Arial" w:eastAsia="Arial" w:hAnsi="Arial"/>
                <w:sz w:val="18"/>
                <w:szCs w:val="18"/>
                <w:color w:val="auto"/>
                <w:w w:val="93"/>
              </w:rPr>
              <w:t>End-point PCR analytical instrument that performs high-</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5"/>
              </w:rPr>
              <w:t>throughput SNP genotyping and end-point digital PCR.</w:t>
            </w:r>
          </w:p>
        </w:tc>
      </w:tr>
      <w:tr>
        <w:trPr>
          <w:trHeight w:val="392"/>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Integrated Fluidic Circuits (IFCs):</w:t>
            </w:r>
          </w:p>
        </w:tc>
        <w:tc>
          <w:tcPr>
            <w:tcW w:w="4240" w:type="dxa"/>
            <w:vAlign w:val="bottom"/>
          </w:tcPr>
          <w:p>
            <w:pPr>
              <w:spacing w:after="0"/>
              <w:rPr>
                <w:sz w:val="24"/>
                <w:szCs w:val="24"/>
                <w:color w:val="auto"/>
              </w:rPr>
            </w:pPr>
          </w:p>
        </w:tc>
      </w:tr>
      <w:tr>
        <w:trPr>
          <w:trHeight w:val="377"/>
        </w:trPr>
        <w:tc>
          <w:tcPr>
            <w:tcW w:w="4000" w:type="dxa"/>
            <w:vAlign w:val="bottom"/>
            <w:gridSpan w:val="2"/>
          </w:tcPr>
          <w:p>
            <w:pPr>
              <w:ind w:left="160"/>
              <w:spacing w:after="0"/>
              <w:rPr>
                <w:sz w:val="20"/>
                <w:szCs w:val="20"/>
                <w:color w:val="auto"/>
              </w:rPr>
            </w:pPr>
            <w:r>
              <w:rPr>
                <w:rFonts w:ascii="Arial" w:cs="Arial" w:eastAsia="Arial" w:hAnsi="Arial"/>
                <w:sz w:val="18"/>
                <w:szCs w:val="18"/>
                <w:color w:val="auto"/>
              </w:rPr>
              <w:t>Access Array IFC</w:t>
            </w:r>
          </w:p>
        </w:tc>
        <w:tc>
          <w:tcPr>
            <w:tcW w:w="4240" w:type="dxa"/>
            <w:vAlign w:val="bottom"/>
          </w:tcPr>
          <w:p>
            <w:pPr>
              <w:ind w:left="40"/>
              <w:spacing w:after="0"/>
              <w:rPr>
                <w:sz w:val="20"/>
                <w:szCs w:val="20"/>
                <w:color w:val="auto"/>
              </w:rPr>
            </w:pPr>
            <w:r>
              <w:rPr>
                <w:rFonts w:ascii="Arial" w:cs="Arial" w:eastAsia="Arial" w:hAnsi="Arial"/>
                <w:sz w:val="18"/>
                <w:szCs w:val="18"/>
                <w:color w:val="auto"/>
                <w:w w:val="94"/>
              </w:rPr>
              <w:t>IFC that facilitates parallel amplification, barcoding, and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7"/>
              </w:rPr>
              <w:t>tagging of 48 unique samples and designed to enable</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recovery of reaction products from the IFC for</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sequencing.</w:t>
            </w: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Juno Genotyping IFC</w:t>
            </w:r>
          </w:p>
        </w:tc>
        <w:tc>
          <w:tcPr>
            <w:tcW w:w="4240" w:type="dxa"/>
            <w:vAlign w:val="bottom"/>
          </w:tcPr>
          <w:p>
            <w:pPr>
              <w:ind w:left="40"/>
              <w:spacing w:after="0"/>
              <w:rPr>
                <w:sz w:val="20"/>
                <w:szCs w:val="20"/>
                <w:color w:val="auto"/>
              </w:rPr>
            </w:pPr>
            <w:r>
              <w:rPr>
                <w:rFonts w:ascii="Arial" w:cs="Arial" w:eastAsia="Arial" w:hAnsi="Arial"/>
                <w:sz w:val="18"/>
                <w:szCs w:val="18"/>
                <w:color w:val="auto"/>
                <w:w w:val="97"/>
              </w:rPr>
              <w:t>IFC that incorporate preamplification for genotyping of</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challenging and low-concentration DNA samples.</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1"/>
              </w:rPr>
              <w:t>Supports genotyping of up to 96 samples and 96 samples</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on a single run.</w:t>
            </w: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Dynamic Array IFCs</w:t>
            </w:r>
          </w:p>
        </w:tc>
        <w:tc>
          <w:tcPr>
            <w:tcW w:w="4240" w:type="dxa"/>
            <w:vAlign w:val="bottom"/>
          </w:tcPr>
          <w:p>
            <w:pPr>
              <w:ind w:left="40"/>
              <w:spacing w:after="0"/>
              <w:rPr>
                <w:sz w:val="20"/>
                <w:szCs w:val="20"/>
                <w:color w:val="auto"/>
              </w:rPr>
            </w:pPr>
            <w:r>
              <w:rPr>
                <w:rFonts w:ascii="Arial" w:cs="Arial" w:eastAsia="Arial" w:hAnsi="Arial"/>
                <w:sz w:val="18"/>
                <w:szCs w:val="18"/>
                <w:color w:val="auto"/>
                <w:w w:val="96"/>
              </w:rPr>
              <w:t>IFCs based on matrix architecture, allowing users to (i)</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individually assay up to 48 samples against up to 48</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0"/>
              </w:rPr>
              <w:t>assays, (ii) individually assay up to 96 samples against up</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2"/>
              </w:rPr>
              <w:t>to 96 assays, or (iii) individually assay up to 192 samples</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against up to 24 assays.</w:t>
            </w: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Digital Array IFCs</w:t>
            </w:r>
          </w:p>
        </w:tc>
        <w:tc>
          <w:tcPr>
            <w:tcW w:w="4240" w:type="dxa"/>
            <w:vAlign w:val="bottom"/>
          </w:tcPr>
          <w:p>
            <w:pPr>
              <w:ind w:left="40"/>
              <w:spacing w:after="0"/>
              <w:rPr>
                <w:sz w:val="20"/>
                <w:szCs w:val="20"/>
                <w:color w:val="auto"/>
              </w:rPr>
            </w:pPr>
            <w:r>
              <w:rPr>
                <w:rFonts w:ascii="Arial" w:cs="Arial" w:eastAsia="Arial" w:hAnsi="Arial"/>
                <w:sz w:val="18"/>
                <w:szCs w:val="18"/>
                <w:color w:val="auto"/>
                <w:w w:val="92"/>
              </w:rPr>
              <w:t>IFCs based on partitioning architecture, allowing users to</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3"/>
              </w:rPr>
              <w:t>divide samples into up to 770 chambers in each of up to</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48 panels for up to 36,960 reactions per IFC.</w:t>
            </w:r>
          </w:p>
        </w:tc>
      </w:tr>
      <w:tr>
        <w:trPr>
          <w:trHeight w:val="48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Pr>
          <w:p>
            <w:pPr>
              <w:ind w:left="166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Library preparation for targeted DNA sequencing on NGS systems.</w:t>
      </w: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End-Point PCR, SNP Genotyping and Gene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Stem Cell Reprogramming and Differentiation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SNP Genotyping, Digital PCR, and Gene Expression, including Single-Cell Targeted Gene Expression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SNP Genotyping and Digital PCR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Library preparation for targeted DNA next-generation sequencing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Real-time qPCR, End-Point PCR, SNP Genotyping and Gene Expression, including Single-Cell Targeted Gene Expression</w:t>
      </w:r>
    </w:p>
    <w:p>
      <w:pPr>
        <w:spacing w:after="0" w:line="36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Digital PCR, Copy Number Variation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Variant Detection</w:t>
      </w:r>
    </w:p>
    <w:p>
      <w:pPr>
        <w:sectPr>
          <w:pgSz w:w="11900" w:h="16838" w:orient="portrait"/>
          <w:cols w:equalWidth="0" w:num="2">
            <w:col w:w="8240" w:space="240"/>
            <w:col w:w="2860"/>
          </w:cols>
          <w:pgMar w:left="240" w:top="68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Product</w:t>
            </w:r>
          </w:p>
        </w:tc>
        <w:tc>
          <w:tcPr>
            <w:tcW w:w="4460" w:type="dxa"/>
            <w:vAlign w:val="bottom"/>
            <w:gridSpan w:val="2"/>
          </w:tcPr>
          <w:p>
            <w:pPr>
              <w:ind w:left="1340"/>
              <w:spacing w:after="0"/>
              <w:rPr>
                <w:sz w:val="20"/>
                <w:szCs w:val="20"/>
                <w:color w:val="auto"/>
              </w:rPr>
            </w:pPr>
            <w:r>
              <w:rPr>
                <w:rFonts w:ascii="Arial" w:cs="Arial" w:eastAsia="Arial" w:hAnsi="Arial"/>
                <w:sz w:val="18"/>
                <w:szCs w:val="18"/>
                <w:b w:val="1"/>
                <w:bCs w:val="1"/>
                <w:color w:val="auto"/>
              </w:rPr>
              <w:t>Product Description</w:t>
            </w:r>
          </w:p>
        </w:tc>
        <w:tc>
          <w:tcPr>
            <w:tcW w:w="2960" w:type="dxa"/>
            <w:vAlign w:val="bottom"/>
          </w:tcPr>
          <w:p>
            <w:pPr>
              <w:ind w:left="1000"/>
              <w:spacing w:after="0"/>
              <w:rPr>
                <w:sz w:val="20"/>
                <w:szCs w:val="20"/>
                <w:color w:val="auto"/>
              </w:rPr>
            </w:pPr>
            <w:r>
              <w:rPr>
                <w:rFonts w:ascii="Arial" w:cs="Arial" w:eastAsia="Arial" w:hAnsi="Arial"/>
                <w:sz w:val="18"/>
                <w:szCs w:val="18"/>
                <w:b w:val="1"/>
                <w:bCs w:val="1"/>
                <w:color w:val="auto"/>
              </w:rPr>
              <w:t>Applications</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344"/>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Flex Six IFC</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IFC that incorporates six 12 X 12 partitions that can be</w:t>
            </w:r>
          </w:p>
        </w:tc>
        <w:tc>
          <w:tcPr>
            <w:tcW w:w="2960" w:type="dxa"/>
            <w:vAlign w:val="bottom"/>
          </w:tcPr>
          <w:p>
            <w:pPr>
              <w:ind w:left="20"/>
              <w:spacing w:after="0"/>
              <w:rPr>
                <w:sz w:val="20"/>
                <w:szCs w:val="20"/>
                <w:color w:val="auto"/>
              </w:rPr>
            </w:pPr>
            <w:r>
              <w:rPr>
                <w:rFonts w:ascii="Arial" w:cs="Arial" w:eastAsia="Arial" w:hAnsi="Arial"/>
                <w:sz w:val="18"/>
                <w:szCs w:val="18"/>
                <w:color w:val="auto"/>
                <w:w w:val="93"/>
              </w:rPr>
              <w:t>Gene Expression and SNP Genotyping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organized in any configuration, in up to six separate</w:t>
            </w:r>
          </w:p>
        </w:tc>
        <w:tc>
          <w:tcPr>
            <w:tcW w:w="29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experimental runs.</w:t>
            </w:r>
          </w:p>
        </w:tc>
        <w:tc>
          <w:tcPr>
            <w:tcW w:w="2960" w:type="dxa"/>
            <w:vAlign w:val="bottom"/>
          </w:tcPr>
          <w:p>
            <w:pPr>
              <w:spacing w:after="0"/>
              <w:rPr>
                <w:sz w:val="20"/>
                <w:szCs w:val="20"/>
                <w:color w:val="auto"/>
              </w:rPr>
            </w:pP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Callisto IFC</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8"/>
              </w:rPr>
              <w:t>IFC that enables combinatorial dosing and culture of live</w:t>
            </w:r>
          </w:p>
        </w:tc>
        <w:tc>
          <w:tcPr>
            <w:tcW w:w="2960" w:type="dxa"/>
            <w:vAlign w:val="bottom"/>
          </w:tcPr>
          <w:p>
            <w:pPr>
              <w:ind w:left="20"/>
              <w:spacing w:after="0"/>
              <w:rPr>
                <w:sz w:val="20"/>
                <w:szCs w:val="20"/>
                <w:color w:val="auto"/>
              </w:rPr>
            </w:pPr>
            <w:r>
              <w:rPr>
                <w:rFonts w:ascii="Arial" w:cs="Arial" w:eastAsia="Arial" w:hAnsi="Arial"/>
                <w:sz w:val="18"/>
                <w:szCs w:val="18"/>
                <w:color w:val="auto"/>
                <w:w w:val="95"/>
              </w:rPr>
              <w:t>Cell reprogramming and differentiation</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cells. It enables simultaneous incubation of 32</w:t>
            </w:r>
          </w:p>
        </w:tc>
        <w:tc>
          <w:tcPr>
            <w:tcW w:w="29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independent cell chambers containing 100-1000 cells per</w:t>
            </w:r>
          </w:p>
        </w:tc>
        <w:tc>
          <w:tcPr>
            <w:tcW w:w="29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chamber. Each chamber can be dosed with up to 16</w:t>
            </w:r>
          </w:p>
        </w:tc>
        <w:tc>
          <w:tcPr>
            <w:tcW w:w="29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variables including transcription factors, RNA, viruses,</w:t>
            </w:r>
          </w:p>
        </w:tc>
        <w:tc>
          <w:tcPr>
            <w:tcW w:w="29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bacteria or small molecules.</w:t>
            </w:r>
          </w:p>
        </w:tc>
        <w:tc>
          <w:tcPr>
            <w:tcW w:w="2960" w:type="dxa"/>
            <w:vAlign w:val="bottom"/>
          </w:tcPr>
          <w:p>
            <w:pPr>
              <w:spacing w:after="0"/>
              <w:rPr>
                <w:sz w:val="20"/>
                <w:szCs w:val="20"/>
                <w:color w:val="auto"/>
              </w:rPr>
            </w:pPr>
          </w:p>
        </w:tc>
      </w:tr>
      <w:tr>
        <w:trPr>
          <w:trHeight w:val="392"/>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Assays and Reagents:</w:t>
            </w:r>
          </w:p>
        </w:tc>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Delta Gene and SNP Type Assays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Custom designed assays for specific nucleic acid regions</w:t>
            </w:r>
          </w:p>
        </w:tc>
        <w:tc>
          <w:tcPr>
            <w:tcW w:w="2960" w:type="dxa"/>
            <w:vAlign w:val="bottom"/>
          </w:tcPr>
          <w:p>
            <w:pPr>
              <w:ind w:left="20"/>
              <w:spacing w:after="0"/>
              <w:rPr>
                <w:sz w:val="20"/>
                <w:szCs w:val="20"/>
                <w:color w:val="auto"/>
              </w:rPr>
            </w:pPr>
            <w:r>
              <w:rPr>
                <w:rFonts w:ascii="Arial" w:cs="Arial" w:eastAsia="Arial" w:hAnsi="Arial"/>
                <w:sz w:val="18"/>
                <w:szCs w:val="18"/>
                <w:color w:val="auto"/>
                <w:w w:val="93"/>
              </w:rPr>
              <w:t>Gene Expression, Single-Cell Targeted</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of interest, providing optimized assays, content, and</w:t>
            </w:r>
          </w:p>
        </w:tc>
        <w:tc>
          <w:tcPr>
            <w:tcW w:w="2960" w:type="dxa"/>
            <w:vAlign w:val="bottom"/>
          </w:tcPr>
          <w:p>
            <w:pPr>
              <w:ind w:left="20"/>
              <w:spacing w:after="0"/>
              <w:rPr>
                <w:sz w:val="20"/>
                <w:szCs w:val="20"/>
                <w:color w:val="auto"/>
              </w:rPr>
            </w:pPr>
            <w:r>
              <w:rPr>
                <w:rFonts w:ascii="Arial" w:cs="Arial" w:eastAsia="Arial" w:hAnsi="Arial"/>
                <w:sz w:val="18"/>
                <w:szCs w:val="18"/>
                <w:color w:val="auto"/>
                <w:w w:val="92"/>
              </w:rPr>
              <w:t>Gene Expression, and SNP Genotyping</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services to users of Biomark and EP1 systems at lower</w:t>
            </w:r>
          </w:p>
        </w:tc>
        <w:tc>
          <w:tcPr>
            <w:tcW w:w="29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as compared to other commercially available</w:t>
            </w:r>
          </w:p>
        </w:tc>
        <w:tc>
          <w:tcPr>
            <w:tcW w:w="296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chemistries.</w:t>
            </w:r>
          </w:p>
        </w:tc>
        <w:tc>
          <w:tcPr>
            <w:tcW w:w="2960" w:type="dxa"/>
            <w:vAlign w:val="bottom"/>
          </w:tcPr>
          <w:p>
            <w:pPr>
              <w:spacing w:after="0"/>
              <w:rPr>
                <w:sz w:val="20"/>
                <w:szCs w:val="20"/>
                <w:color w:val="auto"/>
              </w:rPr>
            </w:pPr>
          </w:p>
        </w:tc>
      </w:tr>
      <w:tr>
        <w:trPr>
          <w:trHeight w:val="377"/>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Access Array Target-Specific Primers and</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Custom designed amplicon-library preparation assays for</w:t>
            </w:r>
          </w:p>
        </w:tc>
        <w:tc>
          <w:tcPr>
            <w:tcW w:w="2960" w:type="dxa"/>
            <w:vAlign w:val="bottom"/>
          </w:tcPr>
          <w:p>
            <w:pPr>
              <w:ind w:left="20"/>
              <w:spacing w:after="0"/>
              <w:rPr>
                <w:sz w:val="20"/>
                <w:szCs w:val="20"/>
                <w:color w:val="auto"/>
              </w:rPr>
            </w:pPr>
            <w:r>
              <w:rPr>
                <w:rFonts w:ascii="Arial" w:cs="Arial" w:eastAsia="Arial" w:hAnsi="Arial"/>
                <w:sz w:val="18"/>
                <w:szCs w:val="18"/>
                <w:color w:val="auto"/>
              </w:rPr>
              <w:t>Targeted Sequencing with</w:t>
            </w:r>
          </w:p>
        </w:tc>
      </w:tr>
      <w:tr>
        <w:trPr>
          <w:trHeight w:val="216"/>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Targeted Sequencing Prep Primers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7"/>
              </w:rPr>
              <w:t>use with Access Array IFCs on the Access Array or Juno</w:t>
            </w:r>
          </w:p>
        </w:tc>
        <w:tc>
          <w:tcPr>
            <w:tcW w:w="2960" w:type="dxa"/>
            <w:vAlign w:val="bottom"/>
          </w:tcPr>
          <w:p>
            <w:pPr>
              <w:ind w:left="20"/>
              <w:spacing w:after="0"/>
              <w:rPr>
                <w:sz w:val="20"/>
                <w:szCs w:val="20"/>
                <w:color w:val="auto"/>
              </w:rPr>
            </w:pPr>
            <w:r>
              <w:rPr>
                <w:rFonts w:ascii="Arial" w:cs="Arial" w:eastAsia="Arial" w:hAnsi="Arial"/>
                <w:sz w:val="18"/>
                <w:szCs w:val="18"/>
                <w:color w:val="auto"/>
              </w:rPr>
              <w:t>Next-Generation DNA</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systems.</w:t>
            </w:r>
          </w:p>
        </w:tc>
        <w:tc>
          <w:tcPr>
            <w:tcW w:w="2960" w:type="dxa"/>
            <w:vAlign w:val="bottom"/>
          </w:tcPr>
          <w:p>
            <w:pPr>
              <w:ind w:left="20"/>
              <w:spacing w:after="0"/>
              <w:rPr>
                <w:sz w:val="20"/>
                <w:szCs w:val="20"/>
                <w:color w:val="auto"/>
              </w:rPr>
            </w:pPr>
            <w:r>
              <w:rPr>
                <w:rFonts w:ascii="Arial" w:cs="Arial" w:eastAsia="Arial" w:hAnsi="Arial"/>
                <w:sz w:val="18"/>
                <w:szCs w:val="18"/>
                <w:color w:val="auto"/>
              </w:rPr>
              <w:t>Sequencing</w:t>
            </w:r>
          </w:p>
        </w:tc>
      </w:tr>
      <w:tr>
        <w:trPr>
          <w:trHeight w:val="377"/>
        </w:trPr>
        <w:tc>
          <w:tcPr>
            <w:tcW w:w="4000" w:type="dxa"/>
            <w:vAlign w:val="bottom"/>
            <w:gridSpan w:val="2"/>
          </w:tcPr>
          <w:p>
            <w:pPr>
              <w:ind w:left="160"/>
              <w:spacing w:after="0"/>
              <w:rPr>
                <w:sz w:val="20"/>
                <w:szCs w:val="20"/>
                <w:color w:val="auto"/>
              </w:rPr>
            </w:pPr>
            <w:r>
              <w:rPr>
                <w:rFonts w:ascii="Arial" w:cs="Arial" w:eastAsia="Arial" w:hAnsi="Arial"/>
                <w:sz w:val="18"/>
                <w:szCs w:val="18"/>
                <w:color w:val="auto"/>
              </w:rPr>
              <w:t>Targeted DNA Seq Library Assays</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6"/>
              </w:rPr>
              <w:t>Custom designed amplicon-library preparation assays for</w:t>
            </w:r>
          </w:p>
        </w:tc>
        <w:tc>
          <w:tcPr>
            <w:tcW w:w="296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w w:val="99"/>
              </w:rPr>
              <w:t>use with LP IFCs on the Access Array or Juno systems.</w:t>
            </w:r>
          </w:p>
        </w:tc>
        <w:tc>
          <w:tcPr>
            <w:tcW w:w="2960" w:type="dxa"/>
            <w:vAlign w:val="bottom"/>
          </w:tcPr>
          <w:p>
            <w:pPr>
              <w:spacing w:after="0"/>
              <w:rPr>
                <w:sz w:val="20"/>
                <w:szCs w:val="20"/>
                <w:color w:val="auto"/>
              </w:rPr>
            </w:pPr>
          </w:p>
        </w:tc>
      </w:tr>
    </w:tbl>
    <w:p>
      <w:pPr>
        <w:spacing w:after="0" w:line="189" w:lineRule="exact"/>
        <w:rPr>
          <w:sz w:val="20"/>
          <w:szCs w:val="20"/>
          <w:color w:val="auto"/>
        </w:rPr>
      </w:pPr>
    </w:p>
    <w:p>
      <w:pPr>
        <w:sectPr>
          <w:pgSz w:w="11900" w:h="16838" w:orient="portrait"/>
          <w:cols w:equalWidth="0" w:num="1">
            <w:col w:w="11420"/>
          </w:cols>
          <w:pgMar w:left="240" w:top="688" w:right="239" w:bottom="1440" w:gutter="0" w:footer="0" w:header="0"/>
        </w:sectPr>
      </w:pPr>
    </w:p>
    <w:p>
      <w:pPr>
        <w:ind w:left="40"/>
        <w:spacing w:after="0"/>
        <w:rPr>
          <w:sz w:val="20"/>
          <w:szCs w:val="20"/>
          <w:color w:val="auto"/>
        </w:rPr>
      </w:pPr>
      <w:r>
        <w:rPr>
          <w:rFonts w:ascii="Arial" w:cs="Arial" w:eastAsia="Arial" w:hAnsi="Arial"/>
          <w:sz w:val="22"/>
          <w:szCs w:val="22"/>
          <w:b w:val="1"/>
          <w:bCs w:val="1"/>
          <w:color w:val="auto"/>
        </w:rPr>
        <w:t>Single Cell Genomics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Instrument:</w:t>
      </w:r>
    </w:p>
    <w:p>
      <w:pPr>
        <w:spacing w:after="0" w:line="202" w:lineRule="exact"/>
        <w:rPr>
          <w:sz w:val="20"/>
          <w:szCs w:val="20"/>
          <w:color w:val="auto"/>
        </w:rPr>
      </w:pPr>
    </w:p>
    <w:p>
      <w:pPr>
        <w:ind w:left="180"/>
        <w:spacing w:after="0"/>
        <w:tabs>
          <w:tab w:leader="none" w:pos="4020" w:val="left"/>
        </w:tabs>
        <w:rPr>
          <w:sz w:val="20"/>
          <w:szCs w:val="20"/>
          <w:color w:val="auto"/>
        </w:rPr>
      </w:pPr>
      <w:r>
        <w:rPr>
          <w:rFonts w:ascii="Arial" w:cs="Arial" w:eastAsia="Arial" w:hAnsi="Arial"/>
          <w:sz w:val="18"/>
          <w:szCs w:val="18"/>
          <w:color w:val="auto"/>
        </w:rPr>
        <w:t>C1 Single-Cell System</w:t>
      </w:r>
      <w:r>
        <w:rPr>
          <w:sz w:val="20"/>
          <w:szCs w:val="20"/>
          <w:color w:val="auto"/>
        </w:rPr>
        <w:tab/>
      </w:r>
      <w:r>
        <w:rPr>
          <w:rFonts w:ascii="Arial" w:cs="Arial" w:eastAsia="Arial" w:hAnsi="Arial"/>
          <w:sz w:val="16"/>
          <w:szCs w:val="16"/>
          <w:color w:val="auto"/>
        </w:rPr>
        <w:t>Sample preparation system that rapidly and reliably</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isolates and processes individual cells for genomic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Analytical Instruments:</w:t>
      </w:r>
    </w:p>
    <w:p>
      <w:pPr>
        <w:spacing w:after="0" w:line="189" w:lineRule="exact"/>
        <w:rPr>
          <w:sz w:val="20"/>
          <w:szCs w:val="20"/>
          <w:color w:val="auto"/>
        </w:rPr>
      </w:pPr>
    </w:p>
    <w:p>
      <w:pPr>
        <w:ind w:left="180"/>
        <w:spacing w:after="0"/>
        <w:tabs>
          <w:tab w:leader="none" w:pos="4020" w:val="left"/>
        </w:tabs>
        <w:rPr>
          <w:sz w:val="20"/>
          <w:szCs w:val="20"/>
          <w:color w:val="auto"/>
        </w:rPr>
      </w:pPr>
      <w:r>
        <w:rPr>
          <w:rFonts w:ascii="Arial" w:cs="Arial" w:eastAsia="Arial" w:hAnsi="Arial"/>
          <w:sz w:val="18"/>
          <w:szCs w:val="18"/>
          <w:color w:val="auto"/>
        </w:rPr>
        <w:t>Polaris System</w:t>
      </w:r>
      <w:r>
        <w:rPr>
          <w:sz w:val="20"/>
          <w:szCs w:val="20"/>
          <w:color w:val="auto"/>
        </w:rPr>
        <w:tab/>
      </w:r>
      <w:r>
        <w:rPr>
          <w:rFonts w:ascii="Arial" w:cs="Arial" w:eastAsia="Arial" w:hAnsi="Arial"/>
          <w:sz w:val="16"/>
          <w:szCs w:val="16"/>
          <w:color w:val="auto"/>
        </w:rPr>
        <w:t>System and IFC that incorporate cell selection, isolation,</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imaging, dosing, culture, and processing of single cells</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for downstream molecular biology preparation into 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single workflow.</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Single-Cell Targeted Gene Expression, Single-Cell microRNA Analysis, Single-Cell mRNA Sequencing, Single-Cell Targeted DNA Sequencing, Single-Cell Whole Exome Sequencing, and Single-Cell Whole Genome DNA Sequencing, Single-Cell Epigenetics.</w:t>
      </w: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Functional Genomics Using Single-Cell mRNA Sequencing</w:t>
      </w:r>
    </w:p>
    <w:p>
      <w:pPr>
        <w:sectPr>
          <w:pgSz w:w="11900" w:h="16838" w:orient="portrait"/>
          <w:cols w:equalWidth="0" w:num="2">
            <w:col w:w="8120" w:space="360"/>
            <w:col w:w="2940"/>
          </w:cols>
          <w:pgMar w:left="240" w:top="688"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Product</w:t>
            </w:r>
          </w:p>
        </w:tc>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2"/>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C1 IFCs</w:t>
            </w:r>
          </w:p>
        </w:tc>
        <w:tc>
          <w:tcPr>
            <w:tcW w:w="4240" w:type="dxa"/>
            <w:vAlign w:val="bottom"/>
          </w:tcPr>
          <w:p>
            <w:pPr>
              <w:ind w:left="40"/>
              <w:spacing w:after="0"/>
              <w:rPr>
                <w:sz w:val="20"/>
                <w:szCs w:val="20"/>
                <w:color w:val="auto"/>
              </w:rPr>
            </w:pPr>
            <w:r>
              <w:rPr>
                <w:rFonts w:ascii="Arial" w:cs="Arial" w:eastAsia="Arial" w:hAnsi="Arial"/>
                <w:sz w:val="18"/>
                <w:szCs w:val="18"/>
                <w:color w:val="auto"/>
                <w:w w:val="90"/>
              </w:rPr>
              <w:t>IFCs that capture up to 800 cells between 5-25 microns in</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6"/>
              </w:rPr>
              <w:t>diameter and then automatically process the cells for a</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2"/>
              </w:rPr>
              <w:t>variety of genomic analysis using thermal and pneumatic</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5"/>
              </w:rPr>
              <w:t>controls at nanoliter scale. Includes Open App IFC that</w:t>
            </w: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w w:val="93"/>
              </w:rPr>
              <w:t>allows users to design their own custom assays on up to</w:t>
            </w:r>
          </w:p>
        </w:tc>
      </w:t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Arial" w:cs="Arial" w:eastAsia="Arial" w:hAnsi="Arial"/>
                <w:sz w:val="18"/>
                <w:szCs w:val="18"/>
                <w:color w:val="auto"/>
              </w:rPr>
              <w:t>96 captured single cells.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tabs>
          <w:tab w:leader="none" w:pos="4020" w:val="left"/>
        </w:tabs>
        <w:rPr>
          <w:sz w:val="20"/>
          <w:szCs w:val="20"/>
          <w:color w:val="auto"/>
        </w:rPr>
      </w:pPr>
      <w:r>
        <w:rPr>
          <w:rFonts w:ascii="Arial" w:cs="Arial" w:eastAsia="Arial" w:hAnsi="Arial"/>
          <w:sz w:val="18"/>
          <w:szCs w:val="18"/>
          <w:color w:val="auto"/>
        </w:rPr>
        <w:t>Polaris IFC</w:t>
      </w:r>
      <w:r>
        <w:rPr>
          <w:sz w:val="20"/>
          <w:szCs w:val="20"/>
          <w:color w:val="auto"/>
        </w:rPr>
        <w:tab/>
      </w:r>
      <w:r>
        <w:rPr>
          <w:rFonts w:ascii="Arial" w:cs="Arial" w:eastAsia="Arial" w:hAnsi="Arial"/>
          <w:sz w:val="16"/>
          <w:szCs w:val="16"/>
          <w:color w:val="auto"/>
        </w:rPr>
        <w:t>IFC that selects, captures and cultures up to 48 single-</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cells for 24 hours or less. It integrates media exchange,</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dosing and time course studies followed by cell lysis,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reverse transcriptons and library preparation for single</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cell mRNA sequencing.</w:t>
      </w:r>
    </w:p>
    <w:p>
      <w:pPr>
        <w:spacing w:after="0" w:line="20" w:lineRule="exact"/>
        <w:rPr>
          <w:sz w:val="20"/>
          <w:szCs w:val="20"/>
          <w:color w:val="auto"/>
        </w:rPr>
      </w:pPr>
      <w:r>
        <w:rPr>
          <w:sz w:val="20"/>
          <w:szCs w:val="20"/>
          <w:color w:val="auto"/>
        </w:rPr>
        <w:br w:type="column"/>
      </w:r>
    </w:p>
    <w:p>
      <w:pPr>
        <w:ind w:left="9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34290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Single-Cell Targeted Gene Expression, Single-Cell microRNA Analysis, Single-Cell mRNA Sequencing, Single-Cell Targeted DNA Sequencing, Single-Cell Whole Exome DNA Sequencing, and Single-Cell Whole Genome DNA Sequencing. Additional customer and 3</w:t>
      </w:r>
      <w:r>
        <w:rPr>
          <w:rFonts w:ascii="Arial" w:cs="Arial" w:eastAsia="Arial" w:hAnsi="Arial"/>
          <w:sz w:val="22"/>
          <w:szCs w:val="22"/>
          <w:color w:val="auto"/>
          <w:vertAlign w:val="superscript"/>
        </w:rPr>
        <w:t>rd</w:t>
      </w:r>
      <w:r>
        <w:rPr>
          <w:rFonts w:ascii="Arial" w:cs="Arial" w:eastAsia="Arial" w:hAnsi="Arial"/>
          <w:sz w:val="16"/>
          <w:szCs w:val="16"/>
          <w:color w:val="auto"/>
        </w:rPr>
        <w:t>-party developed applications available through Fluidigm Script Hub</w:t>
      </w:r>
    </w:p>
    <w:p>
      <w:pPr>
        <w:spacing w:after="0" w:line="12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Functional Genomics of Single Cells</w:t>
      </w:r>
    </w:p>
    <w:p>
      <w:pPr>
        <w:spacing w:after="0" w:line="1101" w:lineRule="exact"/>
        <w:rPr>
          <w:sz w:val="20"/>
          <w:szCs w:val="20"/>
          <w:color w:val="auto"/>
        </w:rPr>
      </w:pPr>
    </w:p>
    <w:p>
      <w:pPr>
        <w:sectPr>
          <w:pgSz w:w="11900" w:h="16838" w:orient="portrait"/>
          <w:cols w:equalWidth="0" w:num="2">
            <w:col w:w="8240" w:space="240"/>
            <w:col w:w="2900"/>
          </w:cols>
          <w:pgMar w:left="240" w:top="688" w:right="279" w:bottom="1440" w:gutter="0" w:footer="0" w:header="0"/>
        </w:sectPr>
      </w:pPr>
    </w:p>
    <w:p>
      <w:pPr>
        <w:spacing w:after="0" w:line="1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Mass Cytometry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Analytical Systems:</w:t>
      </w:r>
    </w:p>
    <w:p>
      <w:pPr>
        <w:spacing w:after="0" w:line="189" w:lineRule="exact"/>
        <w:rPr>
          <w:sz w:val="20"/>
          <w:szCs w:val="20"/>
          <w:color w:val="auto"/>
        </w:rPr>
      </w:pPr>
    </w:p>
    <w:p>
      <w:pPr>
        <w:ind w:left="180"/>
        <w:spacing w:after="0"/>
        <w:tabs>
          <w:tab w:leader="none" w:pos="4020" w:val="left"/>
          <w:tab w:leader="none" w:pos="8460" w:val="left"/>
        </w:tabs>
        <w:rPr>
          <w:sz w:val="20"/>
          <w:szCs w:val="20"/>
          <w:color w:val="auto"/>
        </w:rPr>
      </w:pPr>
      <w:r>
        <w:rPr>
          <w:rFonts w:ascii="Arial" w:cs="Arial" w:eastAsia="Arial" w:hAnsi="Arial"/>
          <w:sz w:val="18"/>
          <w:szCs w:val="18"/>
          <w:color w:val="auto"/>
        </w:rPr>
        <w:t>Helios/CyTOF 2 System</w:t>
      </w:r>
      <w:r>
        <w:rPr>
          <w:sz w:val="20"/>
          <w:szCs w:val="20"/>
          <w:color w:val="auto"/>
        </w:rPr>
        <w:tab/>
      </w:r>
      <w:r>
        <w:rPr>
          <w:rFonts w:ascii="Arial" w:cs="Arial" w:eastAsia="Arial" w:hAnsi="Arial"/>
          <w:sz w:val="18"/>
          <w:szCs w:val="18"/>
          <w:color w:val="auto"/>
        </w:rPr>
        <w:t>Mass cytometry instrument that performs high-parameter</w:t>
      </w:r>
      <w:r>
        <w:rPr>
          <w:sz w:val="20"/>
          <w:szCs w:val="20"/>
          <w:color w:val="auto"/>
        </w:rPr>
        <w:tab/>
      </w:r>
      <w:r>
        <w:rPr>
          <w:rFonts w:ascii="Arial" w:cs="Arial" w:eastAsia="Arial" w:hAnsi="Arial"/>
          <w:sz w:val="16"/>
          <w:szCs w:val="16"/>
          <w:color w:val="auto"/>
        </w:rPr>
        <w:t>Single-Cell Protein Analysis</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single-cell protein analysis by analyzing cells labeled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with a panel of reagents conjugated to stable metal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isotopes.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Assays and Reagents:</w:t>
      </w:r>
    </w:p>
    <w:p>
      <w:pPr>
        <w:spacing w:after="0" w:line="189" w:lineRule="exact"/>
        <w:rPr>
          <w:sz w:val="20"/>
          <w:szCs w:val="20"/>
          <w:color w:val="auto"/>
        </w:rPr>
      </w:pPr>
    </w:p>
    <w:p>
      <w:pPr>
        <w:ind w:left="180"/>
        <w:spacing w:after="0"/>
        <w:tabs>
          <w:tab w:leader="none" w:pos="4020" w:val="left"/>
          <w:tab w:leader="none" w:pos="8460" w:val="left"/>
        </w:tabs>
        <w:rPr>
          <w:sz w:val="20"/>
          <w:szCs w:val="20"/>
          <w:color w:val="auto"/>
        </w:rPr>
      </w:pPr>
      <w:r>
        <w:rPr>
          <w:rFonts w:ascii="Arial" w:cs="Arial" w:eastAsia="Arial" w:hAnsi="Arial"/>
          <w:sz w:val="18"/>
          <w:szCs w:val="18"/>
          <w:color w:val="auto"/>
        </w:rPr>
        <w:t>Maxpar Reagents</w:t>
      </w:r>
      <w:r>
        <w:rPr>
          <w:sz w:val="20"/>
          <w:szCs w:val="20"/>
          <w:color w:val="auto"/>
        </w:rPr>
        <w:tab/>
      </w:r>
      <w:r>
        <w:rPr>
          <w:rFonts w:ascii="Arial" w:cs="Arial" w:eastAsia="Arial" w:hAnsi="Arial"/>
          <w:sz w:val="18"/>
          <w:szCs w:val="18"/>
          <w:color w:val="auto"/>
        </w:rPr>
        <w:t>Pre-conjugated metal-labeled antibodies for functional</w:t>
      </w:r>
      <w:r>
        <w:rPr>
          <w:sz w:val="20"/>
          <w:szCs w:val="20"/>
          <w:color w:val="auto"/>
        </w:rPr>
        <w:tab/>
      </w:r>
      <w:r>
        <w:rPr>
          <w:rFonts w:ascii="Arial" w:cs="Arial" w:eastAsia="Arial" w:hAnsi="Arial"/>
          <w:sz w:val="16"/>
          <w:szCs w:val="16"/>
          <w:color w:val="auto"/>
        </w:rPr>
        <w:t>Single-Cell Protein Analysis</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and phenotypic profiling of single cells, application</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specific panel kits, and reagents for custom antibody</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labeling and nucleic acid staining.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88" w:right="279" w:bottom="1440" w:gutter="0" w:footer="0" w:header="0"/>
          <w:type w:val="continuous"/>
        </w:sectPr>
      </w:pPr>
    </w:p>
    <w:bookmarkStart w:id="8" w:name="page9"/>
    <w:bookmarkEnd w:id="8"/>
    <w:p>
      <w:pPr>
        <w:ind w:left="440"/>
        <w:spacing w:after="0"/>
        <w:rPr>
          <w:sz w:val="20"/>
          <w:szCs w:val="20"/>
          <w:color w:val="auto"/>
        </w:rPr>
      </w:pPr>
      <w:r>
        <w:rPr>
          <w:rFonts w:ascii="Arial" w:cs="Arial" w:eastAsia="Arial" w:hAnsi="Arial"/>
          <w:sz w:val="16"/>
          <w:szCs w:val="16"/>
          <w:color w:val="auto"/>
        </w:rPr>
        <w:t>We have announced the following new products, which we expect will be commercially available in the near future (as indicated below):</w:t>
      </w:r>
    </w:p>
    <w:p>
      <w:pPr>
        <w:spacing w:after="0" w:line="267" w:lineRule="exact"/>
        <w:rPr>
          <w:sz w:val="20"/>
          <w:szCs w:val="20"/>
          <w:color w:val="auto"/>
        </w:rPr>
      </w:pPr>
    </w:p>
    <w:p>
      <w:pPr>
        <w:jc w:val="both"/>
        <w:ind w:left="1640"/>
        <w:spacing w:after="0"/>
        <w:tabs>
          <w:tab w:leader="none" w:pos="5480" w:val="left"/>
          <w:tab w:leader="none" w:pos="954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Product Description</w:t>
      </w:r>
      <w:r>
        <w:rPr>
          <w:sz w:val="20"/>
          <w:szCs w:val="20"/>
          <w:color w:val="auto"/>
        </w:rPr>
        <w:tab/>
      </w:r>
      <w:r>
        <w:rPr>
          <w:rFonts w:ascii="Arial" w:cs="Arial" w:eastAsia="Arial" w:hAnsi="Arial"/>
          <w:sz w:val="12"/>
          <w:szCs w:val="12"/>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w w:val="98"/>
              </w:rPr>
              <w:t>Imaging Mass Cytometer (IMC) instrument and</w:t>
            </w:r>
          </w:p>
        </w:tc>
        <w:tc>
          <w:tcPr>
            <w:tcW w:w="4420" w:type="dxa"/>
            <w:vAlign w:val="bottom"/>
          </w:tcPr>
          <w:p>
            <w:pPr>
              <w:ind w:left="280"/>
              <w:spacing w:after="0"/>
              <w:rPr>
                <w:sz w:val="20"/>
                <w:szCs w:val="20"/>
                <w:color w:val="auto"/>
              </w:rPr>
            </w:pPr>
            <w:r>
              <w:rPr>
                <w:rFonts w:ascii="Arial" w:cs="Arial" w:eastAsia="Arial" w:hAnsi="Arial"/>
                <w:sz w:val="18"/>
                <w:szCs w:val="18"/>
                <w:color w:val="auto"/>
              </w:rPr>
              <w:t>New platform instrument that enables simultaneous</w:t>
            </w:r>
          </w:p>
        </w:tc>
        <w:tc>
          <w:tcPr>
            <w:tcW w:w="0" w:type="dxa"/>
            <w:vAlign w:val="bottom"/>
          </w:tcPr>
          <w:p>
            <w:pPr>
              <w:spacing w:after="0"/>
              <w:rPr>
                <w:sz w:val="1"/>
                <w:szCs w:val="1"/>
                <w:color w:val="auto"/>
              </w:rPr>
            </w:pPr>
          </w:p>
        </w:tc>
      </w:tr>
      <w:tr>
        <w:trPr>
          <w:trHeight w:val="216"/>
        </w:trPr>
        <w:tc>
          <w:tcPr>
            <w:tcW w:w="3760" w:type="dxa"/>
            <w:vAlign w:val="bottom"/>
          </w:tcPr>
          <w:p>
            <w:pPr>
              <w:ind w:left="40"/>
              <w:spacing w:after="0"/>
              <w:rPr>
                <w:sz w:val="20"/>
                <w:szCs w:val="20"/>
                <w:color w:val="auto"/>
              </w:rPr>
            </w:pPr>
            <w:r>
              <w:rPr>
                <w:rFonts w:ascii="Arial" w:cs="Arial" w:eastAsia="Arial" w:hAnsi="Arial"/>
                <w:sz w:val="18"/>
                <w:szCs w:val="18"/>
                <w:color w:val="auto"/>
              </w:rPr>
              <w:t>reagents</w:t>
            </w:r>
          </w:p>
        </w:tc>
        <w:tc>
          <w:tcPr>
            <w:tcW w:w="4420" w:type="dxa"/>
            <w:vAlign w:val="bottom"/>
          </w:tcPr>
          <w:p>
            <w:pPr>
              <w:ind w:left="280"/>
              <w:spacing w:after="0"/>
              <w:rPr>
                <w:sz w:val="20"/>
                <w:szCs w:val="20"/>
                <w:color w:val="auto"/>
              </w:rPr>
            </w:pPr>
            <w:r>
              <w:rPr>
                <w:rFonts w:ascii="Arial" w:cs="Arial" w:eastAsia="Arial" w:hAnsi="Arial"/>
                <w:sz w:val="18"/>
                <w:szCs w:val="18"/>
                <w:color w:val="auto"/>
                <w:w w:val="89"/>
              </w:rPr>
              <w:t>measurements of more than 35 proteins in complex tissue</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8"/>
              </w:rPr>
              <w:t>samples, including formalin-fixed paraffin-embedded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7"/>
              </w:rPr>
              <w:t>tissues, deposited on a microscope slide, with spatial</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resolution provided by analysis of individual one</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micrometer pixels. The platform consists of a laser</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2"/>
              </w:rPr>
              <w:t>ablation module, capable of generating non-overlapping</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0"/>
              </w:rPr>
              <w:t>single shot ablation plumes at a frequency of 100 Hz and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3"/>
              </w:rPr>
              <w:t>higher, and Helios system. The laser ablation module is</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compatible with existing Helios system installations.</w:t>
            </w:r>
          </w:p>
        </w:tc>
        <w:tc>
          <w:tcPr>
            <w:tcW w:w="0" w:type="dxa"/>
            <w:vAlign w:val="bottom"/>
          </w:tcPr>
          <w:p>
            <w:pPr>
              <w:spacing w:after="0"/>
              <w:rPr>
                <w:sz w:val="1"/>
                <w:szCs w:val="1"/>
                <w:color w:val="auto"/>
              </w:rPr>
            </w:pPr>
          </w:p>
        </w:tc>
      </w:tr>
      <w:tr>
        <w:trPr>
          <w:trHeight w:val="419"/>
        </w:trPr>
        <w:tc>
          <w:tcPr>
            <w:tcW w:w="3760" w:type="dxa"/>
            <w:vAlign w:val="bottom"/>
          </w:tcPr>
          <w:p>
            <w:pPr>
              <w:ind w:left="200"/>
              <w:spacing w:after="0"/>
              <w:rPr>
                <w:sz w:val="20"/>
                <w:szCs w:val="20"/>
                <w:color w:val="auto"/>
              </w:rPr>
            </w:pPr>
            <w:r>
              <w:rPr>
                <w:rFonts w:ascii="Arial" w:cs="Arial" w:eastAsia="Arial" w:hAnsi="Arial"/>
                <w:sz w:val="18"/>
                <w:szCs w:val="18"/>
                <w:color w:val="auto"/>
              </w:rPr>
              <w:t>Laser Ablation Module</w:t>
            </w:r>
          </w:p>
        </w:tc>
        <w:tc>
          <w:tcPr>
            <w:tcW w:w="4420" w:type="dxa"/>
            <w:vAlign w:val="bottom"/>
            <w:vMerge w:val="restart"/>
          </w:tcPr>
          <w:p>
            <w:pPr>
              <w:ind w:left="280"/>
              <w:spacing w:after="0"/>
              <w:rPr>
                <w:sz w:val="20"/>
                <w:szCs w:val="20"/>
                <w:color w:val="auto"/>
              </w:rPr>
            </w:pPr>
            <w:r>
              <w:rPr>
                <w:rFonts w:ascii="Arial" w:cs="Arial" w:eastAsia="Arial" w:hAnsi="Arial"/>
                <w:sz w:val="18"/>
                <w:szCs w:val="18"/>
                <w:color w:val="auto"/>
                <w:w w:val="92"/>
              </w:rPr>
              <w:t>When connected to a Helios system, provides a solution</w:t>
            </w:r>
          </w:p>
        </w:tc>
        <w:tc>
          <w:tcPr>
            <w:tcW w:w="0" w:type="dxa"/>
            <w:vAlign w:val="bottom"/>
          </w:tcPr>
          <w:p>
            <w:pPr>
              <w:spacing w:after="0"/>
              <w:rPr>
                <w:sz w:val="1"/>
                <w:szCs w:val="1"/>
                <w:color w:val="auto"/>
              </w:rPr>
            </w:pPr>
          </w:p>
        </w:tc>
      </w:tr>
      <w:tr>
        <w:trPr>
          <w:trHeight w:val="202"/>
        </w:trPr>
        <w:tc>
          <w:tcPr>
            <w:tcW w:w="376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w w:val="92"/>
              </w:rPr>
              <w:t>for the growing need to conduct high-parameter imaging</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to complement existing single-cell genomics and</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Arial" w:cs="Arial" w:eastAsia="Arial" w:hAnsi="Arial"/>
                <w:sz w:val="18"/>
                <w:szCs w:val="18"/>
                <w:color w:val="auto"/>
              </w:rPr>
              <w:t>proteomics techniques by providing spatial context.</w:t>
            </w:r>
          </w:p>
        </w:tc>
        <w:tc>
          <w:tcPr>
            <w:tcW w:w="0" w:type="dxa"/>
            <w:vAlign w:val="bottom"/>
          </w:tcPr>
          <w:p>
            <w:pPr>
              <w:spacing w:after="0"/>
              <w:rPr>
                <w:sz w:val="1"/>
                <w:szCs w:val="1"/>
                <w:color w:val="auto"/>
              </w:rPr>
            </w:pPr>
          </w:p>
        </w:tc>
      </w:tr>
      <w:tr>
        <w:trPr>
          <w:trHeight w:val="608"/>
        </w:trPr>
        <w:tc>
          <w:tcPr>
            <w:tcW w:w="3760" w:type="dxa"/>
            <w:vAlign w:val="bottom"/>
          </w:tcPr>
          <w:p>
            <w:pPr>
              <w:spacing w:after="0"/>
              <w:rPr>
                <w:sz w:val="20"/>
                <w:szCs w:val="20"/>
                <w:color w:val="auto"/>
              </w:rPr>
            </w:pPr>
            <w:r>
              <w:rPr>
                <w:rFonts w:ascii="Arial" w:cs="Arial" w:eastAsia="Arial" w:hAnsi="Arial"/>
                <w:sz w:val="18"/>
                <w:szCs w:val="18"/>
                <w:b w:val="1"/>
                <w:bCs w:val="1"/>
                <w:color w:val="auto"/>
              </w:rPr>
              <w:t>Market Opportunity</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Research into system biology of solid tumors, such as breast cancer, pancreatic cancer, lung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Spatial analysis of complex tissue samples and smeared cells on slides.</w:t>
      </w:r>
    </w:p>
    <w:p>
      <w:pPr>
        <w:spacing w:after="0" w:line="1354" w:lineRule="exact"/>
        <w:rPr>
          <w:sz w:val="20"/>
          <w:szCs w:val="20"/>
          <w:color w:val="auto"/>
        </w:rPr>
      </w:pPr>
    </w:p>
    <w:p>
      <w:pPr>
        <w:sectPr>
          <w:pgSz w:w="11900" w:h="16838" w:orient="portrait"/>
          <w:cols w:equalWidth="0" w:num="2">
            <w:col w:w="8180" w:space="300"/>
            <w:col w:w="2860"/>
          </w:cols>
          <w:pgMar w:left="240" w:top="449" w:right="319" w:bottom="1440" w:gutter="0" w:footer="0" w:header="0"/>
          <w:type w:val="continuous"/>
        </w:sectPr>
      </w:pPr>
    </w:p>
    <w:p>
      <w:pPr>
        <w:spacing w:after="0" w:line="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current markets for our products include genomics and proteomics, predominantly among academic life science research customers, but also in various applied markets customers, such as clinical research laboratories, biopharmaceutical companies, biorepositories and agricultural biotechnology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Genomics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225" w:lineRule="exact"/>
        <w:rPr>
          <w:sz w:val="20"/>
          <w:szCs w:val="20"/>
          <w:color w:val="auto"/>
        </w:rPr>
      </w:pPr>
    </w:p>
    <w:p>
      <w:pPr>
        <w:ind w:left="740" w:right="140" w:hanging="246"/>
        <w:spacing w:after="0" w:line="312" w:lineRule="auto"/>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to determine whether a SNP or group of SNPs are associated with a particular genetic trait, such as propensity for a disease.</w:t>
      </w:r>
    </w:p>
    <w:p>
      <w:pPr>
        <w:spacing w:after="0" w:line="146" w:lineRule="exact"/>
        <w:rPr>
          <w:rFonts w:ascii="Arial" w:cs="Arial" w:eastAsia="Arial" w:hAnsi="Arial"/>
          <w:sz w:val="16"/>
          <w:szCs w:val="16"/>
          <w:color w:val="auto"/>
        </w:rPr>
      </w:pPr>
    </w:p>
    <w:p>
      <w:pPr>
        <w:jc w:val="both"/>
        <w:ind w:left="740" w:right="260" w:hanging="246"/>
        <w:spacing w:after="0" w:line="264"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or mRNAs, which have been transcribed from genes. Determining these levels is important because mRNAs are often translated by the cell into proteins, and may affect the activity of the cell or the larger organism.</w:t>
      </w:r>
    </w:p>
    <w:p>
      <w:pPr>
        <w:spacing w:after="0" w:line="181" w:lineRule="exact"/>
        <w:rPr>
          <w:rFonts w:ascii="Arial" w:cs="Arial" w:eastAsia="Arial" w:hAnsi="Arial"/>
          <w:sz w:val="18"/>
          <w:szCs w:val="18"/>
          <w:color w:val="auto"/>
        </w:rPr>
      </w:pPr>
    </w:p>
    <w:p>
      <w:pPr>
        <w:ind w:left="740" w:right="20" w:hanging="246"/>
        <w:spacing w:after="0" w:line="259"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49" w:right="319" w:bottom="1440" w:gutter="0" w:footer="0" w:header="0"/>
          <w:type w:val="continuous"/>
        </w:sectPr>
      </w:pPr>
    </w:p>
    <w:bookmarkStart w:id="9" w:name="page10"/>
    <w:bookmarkEnd w:id="9"/>
    <w:p>
      <w:pPr>
        <w:ind w:right="180" w:firstLine="405"/>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or real-time qPCR, is a more advanced form of PCR that makes it possible to quantify the number of copies of DNA present in a sample.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Proteomics</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Another focus within life science research is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Protein analysis is required to profile and understand cellular function as well as the interaction in tissues and other complex microenvironments.</w:t>
      </w:r>
    </w:p>
    <w:p>
      <w:pPr>
        <w:spacing w:after="0" w:line="187" w:lineRule="exact"/>
        <w:rPr>
          <w:sz w:val="20"/>
          <w:szCs w:val="20"/>
          <w:color w:val="auto"/>
        </w:rPr>
      </w:pPr>
    </w:p>
    <w:p>
      <w:pPr>
        <w:ind w:right="1620" w:firstLine="405"/>
        <w:spacing w:after="0" w:line="277" w:lineRule="auto"/>
        <w:rPr>
          <w:sz w:val="20"/>
          <w:szCs w:val="20"/>
          <w:color w:val="auto"/>
        </w:rPr>
      </w:pPr>
      <w:r>
        <w:rPr>
          <w:rFonts w:ascii="Arial" w:cs="Arial" w:eastAsia="Arial" w:hAnsi="Arial"/>
          <w:sz w:val="18"/>
          <w:szCs w:val="18"/>
          <w:color w:val="auto"/>
        </w:rPr>
        <w:t>There are several forms of high-throughput protein analysis in use today, including mass spectrometry, traditional flow cytometry, immunohistochemistry and both suspension and imaging mass cytometry.</w:t>
      </w:r>
    </w:p>
    <w:p>
      <w:pPr>
        <w:spacing w:after="0" w:line="170" w:lineRule="exact"/>
        <w:rPr>
          <w:sz w:val="20"/>
          <w:szCs w:val="20"/>
          <w:color w:val="auto"/>
        </w:rPr>
      </w:pPr>
    </w:p>
    <w:p>
      <w:pPr>
        <w:ind w:left="740" w:right="120" w:hanging="246"/>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does not alone enable researchers to analyze data at a single cell level.</w:t>
      </w:r>
    </w:p>
    <w:p>
      <w:pPr>
        <w:spacing w:after="0" w:line="181" w:lineRule="exact"/>
        <w:rPr>
          <w:rFonts w:ascii="Arial" w:cs="Arial" w:eastAsia="Arial" w:hAnsi="Arial"/>
          <w:sz w:val="18"/>
          <w:szCs w:val="18"/>
          <w:color w:val="auto"/>
        </w:rPr>
      </w:pPr>
    </w:p>
    <w:p>
      <w:pPr>
        <w:ind w:left="740" w:right="20" w:hanging="246"/>
        <w:spacing w:after="0" w:line="255"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93" w:lineRule="exact"/>
        <w:rPr>
          <w:rFonts w:ascii="Arial" w:cs="Arial" w:eastAsia="Arial" w:hAnsi="Arial"/>
          <w:sz w:val="18"/>
          <w:szCs w:val="18"/>
          <w:color w:val="auto"/>
        </w:rPr>
      </w:pPr>
    </w:p>
    <w:p>
      <w:pPr>
        <w:ind w:left="740" w:hanging="246"/>
        <w:spacing w:after="0" w:line="293"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diagnostics, to diagnose and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64" w:lineRule="exact"/>
        <w:rPr>
          <w:rFonts w:ascii="Arial" w:cs="Arial" w:eastAsia="Arial" w:hAnsi="Arial"/>
          <w:sz w:val="16"/>
          <w:szCs w:val="16"/>
          <w:color w:val="auto"/>
        </w:rPr>
      </w:pPr>
    </w:p>
    <w:p>
      <w:pPr>
        <w:ind w:left="740" w:hanging="165"/>
        <w:spacing w:after="0" w:line="302" w:lineRule="auto"/>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54" w:lineRule="exact"/>
        <w:rPr>
          <w:rFonts w:ascii="Arial" w:cs="Arial" w:eastAsia="Arial" w:hAnsi="Arial"/>
          <w:sz w:val="16"/>
          <w:szCs w:val="16"/>
          <w:color w:val="auto"/>
        </w:rPr>
      </w:pPr>
    </w:p>
    <w:p>
      <w:pPr>
        <w:ind w:left="740" w:right="100" w:hanging="246"/>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Customer Types: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Academic Life Science Research</w:t>
      </w:r>
      <w:r>
        <w:rPr>
          <w:rFonts w:ascii="Arial" w:cs="Arial" w:eastAsia="Arial" w:hAnsi="Arial"/>
          <w:sz w:val="18"/>
          <w:szCs w:val="18"/>
          <w:color w:val="auto"/>
        </w:rPr>
        <w:t>. A large portion of global life science research takes place in academic settings, including universities, publicly or</w:t>
      </w:r>
      <w:r>
        <w:rPr>
          <w:rFonts w:ascii="Arial" w:cs="Arial" w:eastAsia="Arial" w:hAnsi="Arial"/>
          <w:sz w:val="18"/>
          <w:szCs w:val="18"/>
          <w:i w:val="1"/>
          <w:iCs w:val="1"/>
          <w:color w:val="auto"/>
        </w:rPr>
        <w:t xml:space="preserve"> </w:t>
      </w:r>
      <w:r>
        <w:rPr>
          <w:rFonts w:ascii="Arial" w:cs="Arial" w:eastAsia="Arial" w:hAnsi="Arial"/>
          <w:sz w:val="18"/>
          <w:szCs w:val="18"/>
          <w:color w:val="auto"/>
        </w:rPr>
        <w:t>philanthropically funded institutes, research hospitals and government-funded agencies. The activities conducted by these customers spans the entire range of products and services and are generally directed at producing new basic or translational biology insights for publication or presentation in peer-reviewed journals and forums. Many of the key breakthroughs in biological science employed or modified by clinical research laboratories, biopharmaceutical and other applied markets transpire first in the academic research setting.</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8" w:right="259" w:bottom="1440" w:gutter="0" w:footer="0" w:header="0"/>
        </w:sectPr>
      </w:pPr>
    </w:p>
    <w:bookmarkStart w:id="10" w:name="page11"/>
    <w:bookmarkEnd w:id="10"/>
    <w:p>
      <w:pPr>
        <w:ind w:right="120" w:firstLine="432"/>
        <w:spacing w:after="0" w:line="255" w:lineRule="auto"/>
        <w:rPr>
          <w:sz w:val="20"/>
          <w:szCs w:val="20"/>
          <w:color w:val="auto"/>
        </w:rPr>
      </w:pPr>
      <w:r>
        <w:rPr>
          <w:rFonts w:ascii="Arial" w:cs="Arial" w:eastAsia="Arial" w:hAnsi="Arial"/>
          <w:sz w:val="18"/>
          <w:szCs w:val="18"/>
          <w:i w:val="1"/>
          <w:iCs w:val="1"/>
          <w:color w:val="auto"/>
        </w:rPr>
        <w:t>Clinical Research Laboratories</w:t>
      </w:r>
      <w:r>
        <w:rPr>
          <w:rFonts w:ascii="Arial" w:cs="Arial" w:eastAsia="Arial" w:hAnsi="Arial"/>
          <w:sz w:val="18"/>
          <w:szCs w:val="18"/>
          <w:color w:val="auto"/>
        </w:rPr>
        <w:t>. Recent advances in genetic analysis technology are increasingly being used for clinical research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such as SNP genotyping, gene expression analysis, targeted DNA sequencing and other genetic correlation studies, have been developed to identify disease susceptibility and to diagnose, classify and monitor disease progression. Prognostics and diagnostics based on measuring these genetic markers have the potential to be much more accurate and robust than conventional diagnostics. The validation and translation of prognostics and diagnostics into clinically available tests often requires life science automation systems that are able to measure multiple biomarkers efficiently in a large number of patient samples.</w:t>
      </w:r>
    </w:p>
    <w:p>
      <w:pPr>
        <w:spacing w:after="0" w:line="193"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i w:val="1"/>
          <w:iCs w:val="1"/>
          <w:color w:val="auto"/>
        </w:rPr>
        <w:t xml:space="preserve">Biopharmaceuticals. </w:t>
      </w:r>
      <w:r>
        <w:rPr>
          <w:rFonts w:ascii="Arial" w:cs="Arial" w:eastAsia="Arial" w:hAnsi="Arial"/>
          <w:sz w:val="18"/>
          <w:szCs w:val="18"/>
          <w:color w:val="auto"/>
        </w:rPr>
        <w:t>Biopharmaceutical companies use production scale genomic and proteomic analytical methods in numerous phases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development and the approval process of a therapeutic agent. These methods also may be used in companion diagnostics to attempt to reduce adverse events and identify patient populations that may more effectively respond to a therapeutic agent.</w:t>
      </w:r>
    </w:p>
    <w:p>
      <w:pPr>
        <w:spacing w:after="0" w:line="181" w:lineRule="exact"/>
        <w:rPr>
          <w:sz w:val="20"/>
          <w:szCs w:val="20"/>
          <w:color w:val="auto"/>
        </w:rPr>
      </w:pPr>
    </w:p>
    <w:p>
      <w:pPr>
        <w:jc w:val="both"/>
        <w:ind w:right="480" w:firstLine="432"/>
        <w:spacing w:after="0" w:line="259" w:lineRule="auto"/>
        <w:rPr>
          <w:sz w:val="20"/>
          <w:szCs w:val="20"/>
          <w:color w:val="auto"/>
        </w:rPr>
      </w:pPr>
      <w:r>
        <w:rPr>
          <w:rFonts w:ascii="Arial" w:cs="Arial" w:eastAsia="Arial" w:hAnsi="Arial"/>
          <w:sz w:val="18"/>
          <w:szCs w:val="18"/>
          <w:i w:val="1"/>
          <w:iCs w:val="1"/>
          <w:color w:val="auto"/>
        </w:rPr>
        <w:t>Biorepositories</w:t>
      </w:r>
      <w:r>
        <w:rPr>
          <w:rFonts w:ascii="Arial" w:cs="Arial" w:eastAsia="Arial" w:hAnsi="Arial"/>
          <w:sz w:val="18"/>
          <w:szCs w:val="18"/>
          <w:color w:val="auto"/>
        </w:rPr>
        <w:t>. Advancements in biology have led to an increased dependence on biorepositories to store genetic material for future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Flaws in the identity and quality of biorepository specimens are costly and result in erroneous data. To ensure sample integrity, biorepositories require cost-effective, simple and high-throughput techniques to identify DNA samples and ensure traceability throughout the banking and downstream analytical processes.</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Agricultural Biotechnology</w:t>
      </w:r>
      <w:r>
        <w:rPr>
          <w:rFonts w:ascii="Arial" w:cs="Arial" w:eastAsia="Arial" w:hAnsi="Arial"/>
          <w:sz w:val="18"/>
          <w:szCs w:val="18"/>
          <w:color w:val="auto"/>
        </w:rPr>
        <w:t>. Ag-Bio applies scientific techniques, including genetic analysis techniques, such as SNP genotyping and DNA sequencing,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to study and improve desired characteristics in plants, animals and microorganisms. Genetic analysis techniques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high-throughput and cost-efficient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Fluidigm’s Strategy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Key elements of our strategy include:</w:t>
      </w:r>
    </w:p>
    <w:p>
      <w:pPr>
        <w:spacing w:after="0" w:line="221" w:lineRule="exact"/>
        <w:rPr>
          <w:sz w:val="20"/>
          <w:szCs w:val="20"/>
          <w:color w:val="auto"/>
        </w:rPr>
      </w:pPr>
    </w:p>
    <w:p>
      <w:pPr>
        <w:ind w:left="420" w:hanging="331"/>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Offer innovative, differentiated products to researchers based on our microfluidic and mass cytometry technologies.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microfluidic technologies enable a scalable and sensitive solution in fields requiring high-throughput genomic analysis, whether this be for the analysis of gene expression profiles, genotyping or library preparation in advance of gene sequencing. Microfluidic solutions also enable single-cell genomic analysis across a broad menu of applications. Mass cytometry is a leading solution to analyze many cell-surface and intracellular proteins simultaneously in cell suspensions and tissues. Our products enable innovative methods to characterize cells and other sample types not commonly achieved with other technology analogues.</w:t>
      </w:r>
    </w:p>
    <w:p>
      <w:pPr>
        <w:spacing w:after="0" w:line="184" w:lineRule="exact"/>
        <w:rPr>
          <w:sz w:val="20"/>
          <w:szCs w:val="20"/>
          <w:color w:val="auto"/>
        </w:rPr>
      </w:pPr>
    </w:p>
    <w:p>
      <w:pPr>
        <w:ind w:left="420" w:right="800" w:hanging="331"/>
        <w:spacing w:after="0" w:line="28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Expand addressable markets through attention to assay content, workflow efficiency, software improvements, and desirable strategic partnerships</w:t>
      </w:r>
      <w:r>
        <w:rPr>
          <w:rFonts w:ascii="Arial" w:cs="Arial" w:eastAsia="Arial" w:hAnsi="Arial"/>
          <w:sz w:val="18"/>
          <w:szCs w:val="18"/>
          <w:color w:val="auto"/>
        </w:rPr>
        <w:t>.</w:t>
      </w:r>
    </w:p>
    <w:p>
      <w:pPr>
        <w:spacing w:after="0" w:line="166"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strategy devotes attention to building out applications, workflows and analytics to allow our customers better productivity, increasing the value of our toolsets. We have internally-developed and externally-partnered to enable our C1 system to enable the widest breadth of single-cell applications currently in the marketplace. Our content development strategy also includes our high-throughput genomics platforms for gene expression, genotyping and sequencing library preparations as well as our mass cytometry franchise. Our future assay development will leverage both in-house informatics as well as externally-partnered solutions to drive towards sample-to-answer functionality across all our platforms.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Service and Support</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companies and academic institutions who need reliable life science automation solutions or enabling new single-cell genomics and mass cytometry technologies for research or commercial purposes.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1" w:name="page12"/>
    <w:bookmarkEnd w:id="11"/>
    <w:p>
      <w:pPr>
        <w:ind w:right="24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8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December 31, 2016, we had 198 people employed in sales, technical support, and marketing, including 92 sales representatives and applications specialists located in the field.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No single customer represented more than 10% of our total revenue for 2016, 2015, or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the nickel sampler cone and certain metal isotopes used with, our Helios/CyTOF 2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14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largest component of our current research and development effort is in the areas of new products and new applications. We developed a high-throughput C1 IFC (HT IFC) for handling up to 800 medium sized cell types applied to the work-flows of the Fluidigm installed base instruments. In the area of mass cytometry, we developed an initial prototype imaging mass cytometer instrument in 2016. The imaging mass cytometer system provides spatial resolution of protein expression in complex tissue samples at the single-cell level, quantitative measurement using metal isotope tags, and analysis of more than 35 proteins. The imaging mass cytometer system is in early-access commercial availability, with later expanded commercial availability. We also invest significantly in research and development efforts to expand our single-cell and production genomics applications. For example, we continue to develop various panel sets for cancer research for use with our systems.</w:t>
      </w:r>
    </w:p>
    <w:p>
      <w:pPr>
        <w:spacing w:after="0" w:line="178"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 increase manufacturing throughput, widen fabrication process capability, and support new microfluidic devices and designs.</w:t>
      </w:r>
    </w:p>
    <w:p>
      <w:pPr>
        <w:spacing w:after="0" w:line="124" w:lineRule="exact"/>
        <w:rPr>
          <w:sz w:val="20"/>
          <w:szCs w:val="20"/>
          <w:color w:val="auto"/>
        </w:rPr>
      </w:pPr>
    </w:p>
    <w:p>
      <w:pPr>
        <w:ind w:right="1020" w:firstLine="432"/>
        <w:spacing w:after="0" w:line="277" w:lineRule="auto"/>
        <w:rPr>
          <w:sz w:val="20"/>
          <w:szCs w:val="20"/>
          <w:color w:val="auto"/>
        </w:rPr>
      </w:pPr>
      <w:r>
        <w:rPr>
          <w:rFonts w:ascii="Arial" w:cs="Arial" w:eastAsia="Arial" w:hAnsi="Arial"/>
          <w:sz w:val="18"/>
          <w:szCs w:val="18"/>
          <w:color w:val="auto"/>
        </w:rPr>
        <w:t>Our research and development expenses were $38.4 million, $39.3 million, and $43.4 million in 2016, 2015, and 2014, respectively. As of December 31, 2016, 131 of our employees were engaged in research and development activities.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life science markets are highly competitive and expected to grow more competitive with the increasing knowledge gained from ongoing research and development. We believe that the principal competitive factors in our target markets include cost of capital equipment and supplies; reputation among customers; innovation in product offerings; flexibility and ease of use; accuracy and reproducibility of results; and compatibility with existing laboratory processes, tools, and methods.</w:t>
      </w:r>
    </w:p>
    <w:p>
      <w:pPr>
        <w:spacing w:after="0" w:line="18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179"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innovation and applicability of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2016, we owned or licensed over 600 patents and we had approximately 300 pending patent applications worldwide. Our patents have expiration dates ranging from 2017 to 2033.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225"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or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which subsequently became a PerkinElmer company, referred to as Caliper.</w:t>
      </w:r>
    </w:p>
    <w:p>
      <w:pPr>
        <w:spacing w:after="0" w:line="181" w:lineRule="exact"/>
        <w:rPr>
          <w:sz w:val="20"/>
          <w:szCs w:val="20"/>
          <w:color w:val="auto"/>
        </w:rPr>
      </w:pPr>
    </w:p>
    <w:p>
      <w:pPr>
        <w:ind w:left="820" w:right="20" w:hanging="245"/>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186" w:lineRule="exact"/>
        <w:rPr>
          <w:rFonts w:ascii="Arial" w:cs="Arial" w:eastAsia="Arial" w:hAnsi="Arial"/>
          <w:sz w:val="18"/>
          <w:szCs w:val="18"/>
          <w:color w:val="auto"/>
        </w:rPr>
      </w:pPr>
    </w:p>
    <w:p>
      <w:pPr>
        <w:jc w:val="both"/>
        <w:ind w:left="820" w:right="220" w:hanging="245"/>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181" w:lineRule="exact"/>
        <w:rPr>
          <w:rFonts w:ascii="Arial" w:cs="Arial" w:eastAsia="Arial" w:hAnsi="Arial"/>
          <w:sz w:val="18"/>
          <w:szCs w:val="18"/>
          <w:color w:val="auto"/>
        </w:rPr>
      </w:pPr>
    </w:p>
    <w:p>
      <w:pPr>
        <w:ind w:left="820" w:right="480" w:hanging="245"/>
        <w:spacing w:after="0" w:line="286"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May 2011, we entered into a license agreement with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64" w:right="279" w:bottom="1440" w:gutter="0" w:footer="0" w:header="0"/>
        </w:sectPr>
      </w:pPr>
    </w:p>
    <w:bookmarkStart w:id="13" w:name="page14"/>
    <w:bookmarkEnd w:id="13"/>
    <w:p>
      <w:pPr>
        <w:ind w:right="60" w:firstLine="486"/>
        <w:spacing w:after="0" w:line="290" w:lineRule="auto"/>
        <w:rPr>
          <w:sz w:val="20"/>
          <w:szCs w:val="20"/>
          <w:color w:val="auto"/>
        </w:rPr>
      </w:pPr>
      <w:r>
        <w:rPr>
          <w:rFonts w:ascii="Arial" w:cs="Arial" w:eastAsia="Arial" w:hAnsi="Arial"/>
          <w:sz w:val="16"/>
          <w:szCs w:val="16"/>
          <w:i w:val="1"/>
          <w:iCs w:val="1"/>
          <w:color w:val="auto"/>
        </w:rPr>
        <w:t xml:space="preserve">Instrumentation and Digital PCR. </w:t>
      </w:r>
      <w:r>
        <w:rPr>
          <w:rFonts w:ascii="Arial" w:cs="Arial" w:eastAsia="Arial" w:hAnsi="Arial"/>
          <w:sz w:val="16"/>
          <w:szCs w:val="16"/>
          <w:color w:val="auto"/>
        </w:rPr>
        <w:t>On June 30, 2011, we settled litigation and entered into a series of patent cross-license and sub-license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Life Technologies Corporation (now part of Thermo Fisher Scientific) and its subsidiary Applied Biosystems, LLC, referred to as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The license agreement will terminate with the last-to-expire of the licensed patents, which is expected to be in 2028.</w:t>
      </w:r>
    </w:p>
    <w:p>
      <w:pPr>
        <w:spacing w:after="0" w:line="16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i w:val="1"/>
          <w:iCs w:val="1"/>
          <w:color w:val="auto"/>
        </w:rPr>
        <w:t xml:space="preserve">Mass Cytometry. </w:t>
      </w:r>
      <w:r>
        <w:rPr>
          <w:rFonts w:ascii="Arial" w:cs="Arial" w:eastAsia="Arial" w:hAnsi="Arial"/>
          <w:sz w:val="16"/>
          <w:szCs w:val="16"/>
          <w:color w:val="auto"/>
        </w:rPr>
        <w:t>Some of the intellectual property rights covering our mass cytometry products were subject to a license agreement, referred to as the</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 License Agreement, between Fluidigm Canada Inc., referred to as Fluidigm Canada, and PerkinElmer Health Sciences, Inc., referred to as PerkinElmer. Under the Original License Agreement, Fluidigm Canada received an exclusive, royalty bearing, worldwide license to certain patents owned by PerkinElmer in the field of inductively coupled plasma, or ICP-based mass cytometry, including the analysis of elemental tagged materials in connection therewith, referred to as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175"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Our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for use in clinical practice in the diagnosis of disease or other conditions, and they are labeled for research use only. Accordingly, they are subject only to limited, specific regulation with respect to labeling by the U.S. Food and Drug Administration, or FDA. In particular, while FDA regulations require that research use only products be labeled, “For Research Use Only. Not for use in diagnostic procedures,” or RUO products, the regulations do not subject such products to the FDA’s broader pre- and post-market controls for medical devices.</w:t>
      </w:r>
    </w:p>
    <w:p>
      <w:pPr>
        <w:spacing w:after="0" w:line="178"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 If we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4" w:right="29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t>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FDA review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17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some cases, our customers may use our RUO products in their own laboratory-developed tests, or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19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prior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187"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18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5" w:name="page16"/>
    <w:bookmarkEnd w:id="15"/>
    <w:p>
      <w:pPr>
        <w:ind w:right="540"/>
        <w:spacing w:after="0" w:line="277" w:lineRule="auto"/>
        <w:rPr>
          <w:sz w:val="20"/>
          <w:szCs w:val="20"/>
          <w:color w:val="auto"/>
        </w:rPr>
      </w:pPr>
      <w:r>
        <w:rPr>
          <w:rFonts w:ascii="Arial" w:cs="Arial" w:eastAsia="Arial" w:hAnsi="Arial"/>
          <w:sz w:val="18"/>
          <w:szCs w:val="18"/>
          <w:color w:val="auto"/>
        </w:rPr>
        <w:t>currently maintain separate environmental liability coverage and any such contamination or discharge could result in significant cost to us in penalties, damages, and suspension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Information</w:t>
      </w:r>
    </w:p>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last three years, a majority of our revenue was generated within the United States and Europe and a majority of our long-lived assets were located within the United States, in Singapore and in Canada. Total revenue received from customers outside the United States totaled $51.8 million, or 49% of our total revenue, in 2016, compared to $59.3 million, or 52% of our total revenue, in 2015, and $56.8 million, or 49% of our total revenue, in 2014. Please see Note 12 to our audited consolidated financial statements for additional information regarding geographic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2011, 2012, 2014 and 2015, our product revenue was higher in the fourth quarter of the year than in the first quarter of the next year reflecting numerous factors, including, among others, seasonal variations in customer operations and customer budget and capital spending cycles. Although this was not the case in the fourth quarter of 2013 compared to the first quarter of 2014, this historical trend continued in 2014 and 2015 with a decrease in revenue in the first quarters of 2015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2016, we had 589 employees, of which 131 work in research and development, 97 work in general and administrative, 163 work in manufacturing, and 198 work in sales, technical support, and marketing. None of our employees are represented by a labor union nor are they subject to a collective bargaining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17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http://investors.fluidigm.com/corporate-governance.cfm.</w:t>
      </w:r>
    </w:p>
    <w:p>
      <w:pPr>
        <w:spacing w:after="0" w:line="16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addition to SEC filings, press releases, public conference calls, and webcasts, we use our website (www.fluidigm.com), corporate Twitter account (@Fluidigm), Facebook page (https://www.facebook.com/Fluidigm), and LinkedIn page (https://www.linkedin.com/company/fluidigm-corporation) as channels of distribution of information about our company, our products, our planned financial and other announcements, our attendance at upcoming investor and industry conferences, and other matters. It is possible that the information we post on our website and through these social media accounts could be deemed material information.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6" w:name="page17"/>
    <w:bookmarkEnd w:id="16"/>
    <w:p>
      <w:pPr>
        <w:ind w:right="140" w:firstLine="432"/>
        <w:spacing w:after="0" w:line="264" w:lineRule="auto"/>
        <w:rPr>
          <w:sz w:val="20"/>
          <w:szCs w:val="20"/>
          <w:color w:val="auto"/>
        </w:rPr>
      </w:pPr>
      <w:r>
        <w:rPr>
          <w:rFonts w:ascii="Arial" w:cs="Arial" w:eastAsia="Arial" w:hAnsi="Arial"/>
          <w:sz w:val="18"/>
          <w:szCs w:val="18"/>
          <w:color w:val="auto"/>
        </w:rPr>
        <w:t>The contents of our website and the information we post through social media are not a part of, and are not incorporated by reference into, this Annual Report on Form 10-K or any other report or document we file with the SEC. Any references to our websites are intended to be inactive textual references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names, ages (as of February 10, 2017) and positions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ind w:left="473"/>
              <w:spacing w:after="0"/>
              <w:rPr>
                <w:sz w:val="20"/>
                <w:szCs w:val="20"/>
                <w:color w:val="auto"/>
              </w:rPr>
            </w:pPr>
            <w:r>
              <w:rPr>
                <w:rFonts w:ascii="Arial" w:cs="Arial" w:eastAsia="Arial" w:hAnsi="Arial"/>
                <w:sz w:val="14"/>
                <w:szCs w:val="14"/>
                <w:b w:val="1"/>
                <w:bCs w:val="1"/>
                <w:color w:val="auto"/>
                <w:w w:val="90"/>
              </w:rPr>
              <w:t>Age</w:t>
            </w:r>
          </w:p>
        </w:tc>
        <w:tc>
          <w:tcPr>
            <w:tcW w:w="6640" w:type="dxa"/>
            <w:vAlign w:val="bottom"/>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3040" w:type="dxa"/>
            <w:vAlign w:val="bottom"/>
          </w:tcPr>
          <w:p>
            <w:pPr>
              <w:spacing w:after="0"/>
              <w:rPr>
                <w:sz w:val="20"/>
                <w:szCs w:val="20"/>
                <w:color w:val="auto"/>
              </w:rPr>
            </w:pPr>
            <w:r>
              <w:rPr>
                <w:rFonts w:ascii="Arial" w:cs="Arial" w:eastAsia="Arial" w:hAnsi="Arial"/>
                <w:sz w:val="18"/>
                <w:szCs w:val="18"/>
                <w:color w:val="auto"/>
              </w:rPr>
              <w:t>Stephen Christopher Linthwaite</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45</w:t>
            </w:r>
          </w:p>
        </w:tc>
        <w:tc>
          <w:tcPr>
            <w:tcW w:w="664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Vikram Jog</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60</w:t>
            </w:r>
          </w:p>
        </w:tc>
        <w:tc>
          <w:tcPr>
            <w:tcW w:w="664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Steven C. McPhail</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62</w:t>
            </w:r>
          </w:p>
        </w:tc>
        <w:tc>
          <w:tcPr>
            <w:tcW w:w="6640" w:type="dxa"/>
            <w:vAlign w:val="bottom"/>
          </w:tcPr>
          <w:p>
            <w:pPr>
              <w:ind w:left="220"/>
              <w:spacing w:after="0"/>
              <w:rPr>
                <w:sz w:val="20"/>
                <w:szCs w:val="20"/>
                <w:color w:val="auto"/>
              </w:rPr>
            </w:pPr>
            <w:r>
              <w:rPr>
                <w:rFonts w:ascii="Arial" w:cs="Arial" w:eastAsia="Arial" w:hAnsi="Arial"/>
                <w:sz w:val="18"/>
                <w:szCs w:val="18"/>
                <w:color w:val="auto"/>
              </w:rPr>
              <w:t>Chief Commercial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Nicholas Khadder</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43</w:t>
            </w:r>
          </w:p>
        </w:tc>
        <w:tc>
          <w:tcPr>
            <w:tcW w:w="6640" w:type="dxa"/>
            <w:vAlign w:val="bottom"/>
          </w:tcPr>
          <w:p>
            <w:pPr>
              <w:ind w:left="220"/>
              <w:spacing w:after="0"/>
              <w:rPr>
                <w:sz w:val="20"/>
                <w:szCs w:val="20"/>
                <w:color w:val="auto"/>
              </w:rPr>
            </w:pPr>
            <w:r>
              <w:rPr>
                <w:rFonts w:ascii="Arial" w:cs="Arial" w:eastAsia="Arial" w:hAnsi="Arial"/>
                <w:sz w:val="18"/>
                <w:szCs w:val="18"/>
                <w:color w:val="auto"/>
                <w:w w:val="99"/>
              </w:rPr>
              <w:t>Senior Vice President, General Counsel, Chief Compliance Officer and Secretary</w:t>
            </w:r>
          </w:p>
        </w:tc>
      </w:tr>
      <w:tr>
        <w:trPr>
          <w:trHeight w:val="256"/>
        </w:trPr>
        <w:tc>
          <w:tcPr>
            <w:tcW w:w="3040" w:type="dxa"/>
            <w:vAlign w:val="bottom"/>
          </w:tcPr>
          <w:p>
            <w:pPr>
              <w:spacing w:after="0"/>
              <w:rPr>
                <w:sz w:val="20"/>
                <w:szCs w:val="20"/>
                <w:color w:val="auto"/>
              </w:rPr>
            </w:pPr>
            <w:r>
              <w:rPr>
                <w:rFonts w:ascii="Arial" w:cs="Arial" w:eastAsia="Arial" w:hAnsi="Arial"/>
                <w:sz w:val="18"/>
                <w:szCs w:val="18"/>
                <w:color w:val="auto"/>
              </w:rPr>
              <w:t>Mai Chan (Grace) Yow</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58</w:t>
            </w:r>
          </w:p>
        </w:tc>
        <w:tc>
          <w:tcPr>
            <w:tcW w:w="6640" w:type="dxa"/>
            <w:vAlign w:val="bottom"/>
          </w:tcPr>
          <w:p>
            <w:pPr>
              <w:ind w:left="220"/>
              <w:spacing w:after="0"/>
              <w:rPr>
                <w:sz w:val="20"/>
                <w:szCs w:val="20"/>
                <w:color w:val="auto"/>
              </w:rPr>
            </w:pPr>
            <w:r>
              <w:rPr>
                <w:rFonts w:ascii="Arial" w:cs="Arial" w:eastAsia="Arial" w:hAnsi="Arial"/>
                <w:sz w:val="18"/>
                <w:szCs w:val="18"/>
                <w:color w:val="auto"/>
                <w:w w:val="92"/>
              </w:rPr>
              <w:t>Executive Vice President, Worldwide Manufacturing and Managing Director of Fluidigm</w:t>
            </w:r>
          </w:p>
        </w:tc>
      </w:tr>
      <w:tr>
        <w:trPr>
          <w:trHeight w:val="230"/>
        </w:trPr>
        <w:tc>
          <w:tcPr>
            <w:tcW w:w="3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Singapore Pte. Ltd.</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Jennifer Lee</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53</w:t>
            </w:r>
          </w:p>
        </w:tc>
        <w:tc>
          <w:tcPr>
            <w:tcW w:w="6640" w:type="dxa"/>
            <w:vAlign w:val="bottom"/>
          </w:tcPr>
          <w:p>
            <w:pPr>
              <w:ind w:left="220"/>
              <w:spacing w:after="0"/>
              <w:rPr>
                <w:sz w:val="20"/>
                <w:szCs w:val="20"/>
                <w:color w:val="auto"/>
              </w:rPr>
            </w:pPr>
            <w:r>
              <w:rPr>
                <w:rFonts w:ascii="Arial" w:cs="Arial" w:eastAsia="Arial" w:hAnsi="Arial"/>
                <w:sz w:val="18"/>
                <w:szCs w:val="18"/>
                <w:color w:val="auto"/>
              </w:rPr>
              <w:t>Vice President, Controller, and Principal Accounting Officer</w:t>
            </w:r>
          </w:p>
        </w:tc>
      </w:tr>
    </w:tbl>
    <w:p>
      <w:pPr>
        <w:spacing w:after="0" w:line="175"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i w:val="1"/>
          <w:iCs w:val="1"/>
          <w:color w:val="auto"/>
        </w:rPr>
        <w:t xml:space="preserve">Stephen Christopher Linthwaite </w:t>
      </w:r>
      <w:r>
        <w:rPr>
          <w:rFonts w:ascii="Arial" w:cs="Arial" w:eastAsia="Arial" w:hAnsi="Arial"/>
          <w:sz w:val="17"/>
          <w:szCs w:val="17"/>
          <w:color w:val="auto"/>
        </w:rPr>
        <w:t>joined Fluidigm as President and Chief Operating Officer in August 2016 and has served as our President,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Director since October 2016. 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12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 February 2008. From April 2005 to February 2008, Mr. Jog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3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Steven C. McPhail </w:t>
      </w:r>
      <w:r>
        <w:rPr>
          <w:rFonts w:ascii="Arial" w:cs="Arial" w:eastAsia="Arial" w:hAnsi="Arial"/>
          <w:sz w:val="16"/>
          <w:szCs w:val="16"/>
          <w:color w:val="auto"/>
        </w:rPr>
        <w:t>joined Fluidigm as General Manager, Production Genomics in May 2015 and became our Chief Commercial Officer in August 2016.</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December 2014 to March 2015, Mr. McPhail was vice president, special projects at Quintiles Transnational Corporation, a biopharmaceutical development and commercial outsourcing services firm. From February 2003 to August 2012, Mr. McPhail was President and Chief Executive Officer of Expression Analysis, Inc., a genomic services company that was acquired by Quintiles Transnational Corporation in August 2012, where Mr. McPhail was President of the post-acquisition operation until December 2014.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as well as ImproveCareNow, a quality improvement network designed to improve the care and outcomes of children with inflammatory bowel disease. Mr. McPhail received a B.S. in Biology from San Diego State University.</w:t>
      </w:r>
    </w:p>
    <w:p>
      <w:pPr>
        <w:spacing w:after="0" w:line="11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i w:val="1"/>
          <w:iCs w:val="1"/>
          <w:color w:val="auto"/>
        </w:rPr>
        <w:t xml:space="preserve">Nicholas Khadder </w:t>
      </w:r>
      <w:r>
        <w:rPr>
          <w:rFonts w:ascii="Arial" w:cs="Arial" w:eastAsia="Arial" w:hAnsi="Arial"/>
          <w:sz w:val="16"/>
          <w:szCs w:val="16"/>
          <w:color w:val="auto"/>
        </w:rPr>
        <w:t>has served as our Senior Vice President, General Counsel, Chief Compliance Officer and Corporate Secretary since June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2010 to June 2016, Mr. 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ind w:right="220"/>
        <w:spacing w:after="0" w:line="264" w:lineRule="auto"/>
        <w:rPr>
          <w:sz w:val="20"/>
          <w:szCs w:val="20"/>
          <w:color w:val="auto"/>
        </w:rPr>
      </w:pPr>
      <w:r>
        <w:rPr>
          <w:rFonts w:ascii="Arial" w:cs="Arial" w:eastAsia="Arial" w:hAnsi="Arial"/>
          <w:sz w:val="18"/>
          <w:szCs w:val="18"/>
          <w:color w:val="auto"/>
        </w:rPr>
        <w:t>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127"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i w:val="1"/>
          <w:iCs w:val="1"/>
          <w:color w:val="auto"/>
        </w:rPr>
        <w:t xml:space="preserve">Mai Chan (Grace) Yow </w:t>
      </w:r>
      <w:r>
        <w:rPr>
          <w:rFonts w:ascii="Arial" w:cs="Arial" w:eastAsia="Arial" w:hAnsi="Arial"/>
          <w:sz w:val="18"/>
          <w:szCs w:val="18"/>
          <w:color w:val="auto"/>
        </w:rPr>
        <w:t>has served as Executive Vice President, Worldwide Manufacturing of Fluidigm Singapore Pte. Ltd., our Singapore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February 2012, and as Managing Director of Fluidigm Singapore Pte. Ltd.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3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i w:val="1"/>
          <w:iCs w:val="1"/>
          <w:color w:val="auto"/>
        </w:rPr>
        <w:t xml:space="preserve">Jennifer Lee </w:t>
      </w:r>
      <w:r>
        <w:rPr>
          <w:rFonts w:ascii="Arial" w:cs="Arial" w:eastAsia="Arial" w:hAnsi="Arial"/>
          <w:sz w:val="17"/>
          <w:szCs w:val="17"/>
          <w:color w:val="auto"/>
        </w:rPr>
        <w:t>has served as Vice President, Controller, and Principal Accounting Officer since May 2016. From 1996 to May 2016, Ms. Lee held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leadership roles at Genentech, Inc., a biotechnology company that was acquired by Roche Holdings, Inc., in March 2009, including Director of Commercial Finance from 2010 to May 2016, Director of General Audit from 2008 to 2009, Director of Collaborations Finance and Royalties from 2006 to 2008 and Associate Director of External Reporting from 2000 to 2006. Prior to joining Genentech, Ms. Lee held staff and managerial roles at Pacific Gas and Electric Company and Arthur Andersen &amp; Co. Ms. Lee received her B.S. in accounting from San Francisco State University and her M.B.A. from Golden Gate University. Ms. Lee is also a certified public accountant.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Additionally, for the quarters ended March 31, 2015 and June 30, 2015, we experienced year-over-year revenue growth rates that were substantially lower than revenue growth rates experienced in other periods since our initial public offering, and we experienced a year-over-year decline in revenue for the quarters ended September 30, 2016, June 30, 2016, September 30, 2015, and for the years ended December 31,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30" w:right="25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and WaferGen Bio-systems, Inc. have products that compete in certain segments of the market in which we sell our products. In addition, we have recently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and Neogenomics (Multiomyx).</w:t>
      </w:r>
    </w:p>
    <w:p>
      <w:pPr>
        <w:spacing w:after="0" w:line="170"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application of our technologies to high-throughput genomics, single-cell genomics and mass cytometry applications are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68" w:right="279" w:bottom="1440" w:gutter="0" w:footer="0" w:header="0"/>
        </w:sectPr>
      </w:pPr>
    </w:p>
    <w:bookmarkStart w:id="19" w:name="page20"/>
    <w:bookmarkEnd w:id="19"/>
    <w:p>
      <w:pPr>
        <w:ind w:right="200"/>
        <w:spacing w:after="0" w:line="276" w:lineRule="auto"/>
        <w:rPr>
          <w:sz w:val="20"/>
          <w:szCs w:val="20"/>
          <w:color w:val="auto"/>
        </w:rPr>
      </w:pPr>
      <w:r>
        <w:rPr>
          <w:rFonts w:ascii="Arial" w:cs="Arial" w:eastAsia="Arial" w:hAnsi="Arial"/>
          <w:sz w:val="17"/>
          <w:szCs w:val="17"/>
          <w:color w:val="auto"/>
        </w:rPr>
        <w:t>the growth, prevalence, and costs of competing methods of genetic and protein analysis. If the market for single-cell genomics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68" w:right="279" w:bottom="1440" w:gutter="0" w:footer="0" w:header="0"/>
        </w:sectPr>
      </w:pPr>
    </w:p>
    <w:bookmarkStart w:id="21" w:name="page22"/>
    <w:bookmarkEnd w:id="21"/>
    <w:p>
      <w:pPr>
        <w:ind w:right="42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biopharmaceutical, biotechnology, Ag-Bio companies and CRO's, a reduction in which could limit our ability to sell our products and adversely affect our business.</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mass cytometry instruments for commercial sale at our facility in Canada, and our assays and reagents for commercial sale at our facility in the United States.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years 2016, 2015, and 2014, approximately 49%, 52%,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4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addition, on June 23, 2016, the United Kingdom (U.K.) held a referendum in which voters approved an exit from the European Union, commonly referred to as “Brexit.” As a result of the referendum, it is expected that the British government will begin negotiating the terms of the U.K.’s withdrawal from the European Union and the U.K.’s future relationships with European Union member states.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158"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years ended December 31, 2016, 2015, and 2014, we experienced foreign currency losses of $1.5 million, $1.6 million, and $1.1 million, respectively. Fluctuations in currency exchange rates could have an adverse impact on our financial results in the future.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4" w:right="259" w:bottom="1440" w:gutter="0" w:footer="0" w:header="0"/>
        </w:sectPr>
      </w:pPr>
    </w:p>
    <w:bookmarkStart w:id="23" w:name="page24"/>
    <w:bookmarkEnd w:id="23"/>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movement stage included in the Imaging Mass Cytometer is purchased from a sole source supplier.</w:t>
      </w:r>
    </w:p>
    <w:p>
      <w:pPr>
        <w:spacing w:after="0" w:line="225"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customer base is primarily composed of academic institutions, clinical research laboratories that use our technology to develop tests, and biopharmaceutical,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8" w:right="279" w:bottom="1440" w:gutter="0" w:footer="0" w:header="0"/>
        </w:sectPr>
      </w:pPr>
    </w:p>
    <w:bookmarkStart w:id="24" w:name="page25"/>
    <w:bookmarkEnd w:id="24"/>
    <w:p>
      <w:pPr>
        <w:ind w:right="100"/>
        <w:spacing w:after="0" w:line="264" w:lineRule="auto"/>
        <w:rPr>
          <w:sz w:val="20"/>
          <w:szCs w:val="20"/>
          <w:color w:val="auto"/>
        </w:rPr>
      </w:pPr>
      <w:r>
        <w:rPr>
          <w:rFonts w:ascii="Arial" w:cs="Arial" w:eastAsia="Arial" w:hAnsi="Arial"/>
          <w:sz w:val="18"/>
          <w:szCs w:val="18"/>
          <w:color w:val="auto"/>
        </w:rPr>
        <w:t>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77"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$76.0 million, $53.3 million, and $52.8 million during the years 2016, 2015, and 2014, respectively. As of December 31, 2016, we had an accumulated deficit of $439.5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However, we recently implemented efficiency and cost-savings initiatives intended to stabilize our business operations and return to growth. These initiatives have included targeted workforce reductions and optimizing our facilities and excess space. They may also include decreasing or deferring capital expenditures and development activities. To the extent we are unable to invest sufficiently in these activities, it may impair our ability to develop, market and sell new and existing products.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As of December 31, 2016, we had approximately $190.6 million of goodwill and net intangible assets, including approximately $104.1 million of goodwill and $86.5 million of net intangible assets. These assets represent a significant portion of the assets recorded on our consolidated balance sheet and relate primarily to our acquisition of DVS Sciences, Inc.,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or DVS, in February 2014. In addition, if in the future we acquire additional businesses, technologies, or other intangible assets, a substantial portion of the value of such assets may be recorded as goodwill or intangible assets.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317" w:lineRule="exact"/>
        <w:rPr>
          <w:sz w:val="20"/>
          <w:szCs w:val="20"/>
          <w:color w:val="auto"/>
        </w:rPr>
      </w:pPr>
    </w:p>
    <w:p>
      <w:pPr>
        <w:ind w:right="100" w:firstLine="432"/>
        <w:spacing w:after="0" w:line="268" w:lineRule="auto"/>
        <w:rPr>
          <w:sz w:val="20"/>
          <w:szCs w:val="20"/>
          <w:color w:val="auto"/>
        </w:rPr>
      </w:pPr>
      <w:r>
        <w:rPr>
          <w:rFonts w:ascii="Arial" w:cs="Arial" w:eastAsia="Arial" w:hAnsi="Arial"/>
          <w:sz w:val="17"/>
          <w:szCs w:val="17"/>
          <w:color w:val="auto"/>
        </w:rPr>
        <w:t>Our performance is substantially dependent on the performance of our senior management, which has substantially changed over the last year, including, for example, the recent departures of our Chief Executive Officer, Gajus Worthington, and Executive Vice President, Research and Development and Marketing, Marc Unger. We have a new president and chief executive officer who started in August 2016, a new controller and principal accounting officer who started in May 2016, a new general counsel who started in June 2016, and other new members of our senior management team.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88"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5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ind w:right="180"/>
        <w:spacing w:after="0" w:line="264" w:lineRule="auto"/>
        <w:rPr>
          <w:sz w:val="20"/>
          <w:szCs w:val="20"/>
          <w:color w:val="auto"/>
        </w:rPr>
      </w:pPr>
      <w:r>
        <w:rPr>
          <w:rFonts w:ascii="Arial" w:cs="Arial" w:eastAsia="Arial" w:hAnsi="Arial"/>
          <w:sz w:val="18"/>
          <w:szCs w:val="18"/>
          <w:color w:val="auto"/>
        </w:rPr>
        <w:t>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77"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announced our plan to register with the FDA as a medical device manufacturer and list some of our products with the FDA pursuant to an FDA Class I listing for general purpose laboratory equipment. We are currently assessing when to make an initial registration.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 applications for certain of our products,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spacing w:after="0" w:line="312" w:lineRule="auto"/>
        <w:rPr>
          <w:sz w:val="20"/>
          <w:szCs w:val="20"/>
          <w:color w:val="auto"/>
        </w:rPr>
      </w:pPr>
      <w:r>
        <w:rPr>
          <w:rFonts w:ascii="Arial" w:cs="Arial" w:eastAsia="Arial" w:hAnsi="Arial"/>
          <w:sz w:val="16"/>
          <w:szCs w:val="16"/>
          <w:color w:val="auto"/>
        </w:rPr>
        <w:t>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intended uses we believe are important or commercially attractive.</w:t>
      </w:r>
    </w:p>
    <w:p>
      <w:pPr>
        <w:spacing w:after="0" w:line="147"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If we receive regulatory clearance or approval for our products, we will be subject to ongoing FDA obligations and continued regulatory oversight and review, including the general controls listed above and the FDA’s QSRs for our development and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272"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62"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8" w:name="page29"/>
    <w:bookmarkEnd w:id="28"/>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29" w:name="page30"/>
    <w:bookmarkEnd w:id="29"/>
    <w:p>
      <w:pPr>
        <w:ind w:right="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00" w:firstLine="40"/>
        <w:spacing w:after="0" w:line="563" w:lineRule="auto"/>
        <w:tabs>
          <w:tab w:leader="none" w:pos="7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00" w:hanging="32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64" w:right="299" w:bottom="1440" w:gutter="0" w:footer="0" w:header="0"/>
        </w:sectPr>
      </w:pPr>
    </w:p>
    <w:bookmarkStart w:id="30" w:name="page31"/>
    <w:bookmarkEnd w:id="30"/>
    <w:p>
      <w:pPr>
        <w:ind w:right="40"/>
        <w:spacing w:after="0" w:line="272" w:lineRule="auto"/>
        <w:rPr>
          <w:sz w:val="20"/>
          <w:szCs w:val="20"/>
          <w:color w:val="auto"/>
        </w:rPr>
      </w:pPr>
      <w:r>
        <w:rPr>
          <w:rFonts w:ascii="Arial" w:cs="Arial" w:eastAsia="Arial" w:hAnsi="Arial"/>
          <w:sz w:val="17"/>
          <w:szCs w:val="17"/>
          <w:color w:val="auto"/>
        </w:rPr>
        <w:t>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8"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rapid growth of our business over time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6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In August 2015, we entered into a lease for new office, laboratory and warehouse space in Canada and relocated our Canada operations to the new space in April 2016. This Canada lease expires in March 2026. A move of any of our manufacturing facilities may delay or otherwise adversely affect our manufacturing activities and business.</w:t>
      </w:r>
    </w:p>
    <w:p>
      <w:pPr>
        <w:spacing w:after="0" w:line="16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anticipated growth effectively could have an adverse effect on our ability to achieve our development and commercialization goals.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4" w:right="259" w:bottom="1440" w:gutter="0" w:footer="0" w:header="0"/>
        </w:sectPr>
      </w:pPr>
    </w:p>
    <w:bookmarkStart w:id="32" w:name="page33"/>
    <w:bookmarkEnd w:id="32"/>
    <w:p>
      <w:pPr>
        <w:ind w:firstLine="432"/>
        <w:spacing w:after="0" w:line="269" w:lineRule="auto"/>
        <w:rPr>
          <w:sz w:val="20"/>
          <w:szCs w:val="20"/>
          <w:color w:val="auto"/>
        </w:rPr>
      </w:pPr>
      <w:r>
        <w:rPr>
          <w:rFonts w:ascii="Arial" w:cs="Arial" w:eastAsia="Arial" w:hAnsi="Arial"/>
          <w:sz w:val="17"/>
          <w:szCs w:val="17"/>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will be effective for our fiscal year 2018. Although we are currently in the process of evaluating the impact of this new guidance on our consolidated financial statements, it could change the way we account for certain of our sales transactions. Thus, adoption of the standard could have a significant impact on our financial statements and may retroactively affect the accounting treatment of transactions completed before adoption.</w:t>
      </w:r>
    </w:p>
    <w:p>
      <w:pPr>
        <w:spacing w:after="0" w:line="183"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121"/>
        </w:rPr>
        <w:t>believe that these tax benefits are a valuable asset for us. On November 21, 2016, our board of directors approved a Tax Benefit Preservation Plan,</w:t>
      </w:r>
      <w:r>
        <w:rPr>
          <w:rFonts w:ascii="Arial" w:cs="Arial" w:eastAsia="Arial" w:hAnsi="Arial"/>
          <w:sz w:val="18"/>
          <w:szCs w:val="18"/>
          <w:color w:val="auto"/>
        </w:rPr>
        <w:t xml:space="preserve"> </w:t>
      </w:r>
      <w:r>
        <w:rPr>
          <w:rFonts w:ascii="Arial" w:cs="Arial" w:eastAsia="Arial" w:hAnsi="Arial"/>
          <w:sz w:val="18"/>
          <w:szCs w:val="18"/>
          <w:color w:val="212121"/>
        </w:rPr>
        <w:t>or tax benefit preservation plan in an effort to protect our tax benefits during the effective period of the tax benefit preservation plan. The tax benefit preservation plan is expected to be submitted to a stockholder vote at our 2017 annual meeting of stockholders. If our stockholders do not approve the tax benefit preservation plan, it will expire. Although the tax benefit preservation plan is intended to reduce the likelihood of an “ownership change” that could adversely affect us, there is no assurance that the tax benefit preservation plan will prevent acquisitions in our common stock that could result in such an “ownership change.”</w:t>
      </w:r>
    </w:p>
    <w:p>
      <w:pPr>
        <w:spacing w:after="0" w:line="1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121"/>
        </w:rPr>
        <w:t>tax benefit preservation plan could make it more difficult for a third party to acquire, or could discourage a third party from acquiring, us or a large</w:t>
      </w:r>
      <w:r>
        <w:rPr>
          <w:rFonts w:ascii="Arial" w:cs="Arial" w:eastAsia="Arial" w:hAnsi="Arial"/>
          <w:sz w:val="18"/>
          <w:szCs w:val="18"/>
          <w:color w:val="auto"/>
        </w:rPr>
        <w:t xml:space="preserve"> </w:t>
      </w:r>
      <w:r>
        <w:rPr>
          <w:rFonts w:ascii="Arial" w:cs="Arial" w:eastAsia="Arial" w:hAnsi="Arial"/>
          <w:sz w:val="18"/>
          <w:szCs w:val="18"/>
          <w:color w:val="212121"/>
        </w:rPr>
        <w:t>block of our common stock. A third party that acquires 4.99% or more of our common stock could suffer substantial dilution of its ownership interest under the terms of the tax benefit preservation plan through the issuance of common stock or common stock equivalents to all stockholders other than the acquiring person.</w:t>
      </w:r>
    </w:p>
    <w:p>
      <w:pPr>
        <w:spacing w:after="0" w:line="187"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121"/>
        </w:rPr>
        <w:t>foregoing provisions may adversely affect the marketability of our common stock by discouraging potential investors from acquiring our stock. In</w:t>
      </w:r>
      <w:r>
        <w:rPr>
          <w:rFonts w:ascii="Arial" w:cs="Arial" w:eastAsia="Arial" w:hAnsi="Arial"/>
          <w:sz w:val="16"/>
          <w:szCs w:val="16"/>
          <w:color w:val="auto"/>
        </w:rPr>
        <w:t xml:space="preserve"> </w:t>
      </w:r>
      <w:r>
        <w:rPr>
          <w:rFonts w:ascii="Arial" w:cs="Arial" w:eastAsia="Arial" w:hAnsi="Arial"/>
          <w:sz w:val="16"/>
          <w:szCs w:val="16"/>
          <w:color w:val="212121"/>
        </w:rPr>
        <w:t>addition, these provisions could delay or frustrate the removal of incumbent directors and could make a merger, tender offer or proxy contest involving us more difficult, or impede an attempt to acquire a significant or controlling interest in us, even if such events might be beneficial to us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13" w:right="259" w:bottom="1440" w:gutter="0" w:footer="0" w:header="0"/>
        </w:sectPr>
      </w:pPr>
    </w:p>
    <w:bookmarkStart w:id="34" w:name="page35"/>
    <w:bookmarkEnd w:id="34"/>
    <w:p>
      <w:pPr>
        <w:ind w:right="40"/>
        <w:spacing w:after="0" w:line="297" w:lineRule="auto"/>
        <w:rPr>
          <w:sz w:val="20"/>
          <w:szCs w:val="20"/>
          <w:color w:val="auto"/>
        </w:rPr>
      </w:pPr>
      <w:r>
        <w:rPr>
          <w:rFonts w:ascii="Arial" w:cs="Arial" w:eastAsia="Arial" w:hAnsi="Arial"/>
          <w:sz w:val="16"/>
          <w:szCs w:val="16"/>
          <w:color w:val="auto"/>
        </w:rPr>
        <w:t>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We are currently and may become in the future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are currently a defendant in litigation brought against us and one of our non-executive employees by Thermo Fisher Scientific Inc. alleging, among other claims, misappropriation of proprietary information and breach of contractual and fiduciary obligations. The case is in its early stages, and we are unable to determine the ultimate outcome or estimate the range of potential losses. We intend to defend the case vigorously. If we fail in defending such claims, in addition to paying monetary damages, we may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7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rights to use the technology we license are also subject to the negotiation and continuation of those licenses. Certain of our licenses contain provisions that allow the licensor to terminate the license upon specific conditions. Our rights under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6"/>
          <w:szCs w:val="16"/>
          <w:color w:val="auto"/>
        </w:rPr>
        <w:t>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6" w:name="page37"/>
    <w:bookmarkEnd w:id="36"/>
    <w:p>
      <w:pPr>
        <w:ind w:right="840"/>
        <w:spacing w:after="0" w:line="277" w:lineRule="auto"/>
        <w:rPr>
          <w:sz w:val="20"/>
          <w:szCs w:val="20"/>
          <w:color w:val="auto"/>
        </w:rPr>
      </w:pPr>
      <w:r>
        <w:rPr>
          <w:rFonts w:ascii="Arial" w:cs="Arial" w:eastAsia="Arial" w:hAnsi="Arial"/>
          <w:sz w:val="18"/>
          <w:szCs w:val="18"/>
          <w:color w:val="auto"/>
        </w:rPr>
        <w:t>could adversely affect the timely and efficient operation of our business. Any delayed sales, significant costs or lost customers resulting from these technology failures could adversely affect our business, operations, and financial results.</w:t>
      </w:r>
    </w:p>
    <w:p>
      <w:pPr>
        <w:spacing w:after="0" w:line="170"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2016, we had 29,207,654 shares of common stock outstanding, and stockholders holding at least 5% of our stock, individually or with affiliated persons or entities, collectively beneficially owned or controlled approximately 77.9%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6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7" w:name="page38"/>
    <w:bookmarkEnd w:id="37"/>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Anti-takeover provisions in our charter documents, our tax benefit preservation plan,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34" w:lineRule="exact"/>
        <w:rPr>
          <w:rFonts w:ascii="Arial" w:cs="Arial" w:eastAsia="Arial" w:hAnsi="Arial"/>
          <w:sz w:val="17"/>
          <w:szCs w:val="17"/>
          <w:color w:val="auto"/>
        </w:rPr>
      </w:pPr>
    </w:p>
    <w:p>
      <w:pPr>
        <w:ind w:left="760" w:right="40" w:hanging="320"/>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83"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68" w:right="259" w:bottom="1440" w:gutter="0" w:footer="0" w:header="0"/>
        </w:sectPr>
      </w:pPr>
    </w:p>
    <w:bookmarkStart w:id="38" w:name="page39"/>
    <w:bookmarkEnd w:id="38"/>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12121"/>
        </w:rPr>
        <w:t>the tax benefit preservation plan that we adopted in November 2016 could make an acquisition of us more difficult. The risks associated</w:t>
      </w:r>
      <w:r>
        <w:rPr>
          <w:rFonts w:ascii="Arial" w:cs="Arial" w:eastAsia="Arial" w:hAnsi="Arial"/>
          <w:sz w:val="18"/>
          <w:szCs w:val="18"/>
          <w:color w:val="auto"/>
        </w:rPr>
        <w:t xml:space="preserve"> </w:t>
      </w:r>
      <w:r>
        <w:rPr>
          <w:rFonts w:ascii="Arial" w:cs="Arial" w:eastAsia="Arial" w:hAnsi="Arial"/>
          <w:sz w:val="18"/>
          <w:szCs w:val="18"/>
          <w:color w:val="212121"/>
        </w:rPr>
        <w:t>with the tax benefit preservation plan are described in more detail above under the heading “</w:t>
      </w:r>
      <w:r>
        <w:rPr>
          <w:rFonts w:ascii="Arial" w:cs="Arial" w:eastAsia="Arial" w:hAnsi="Arial"/>
          <w:sz w:val="18"/>
          <w:szCs w:val="18"/>
          <w:color w:val="000000"/>
        </w:rPr>
        <w:t>O</w:t>
      </w:r>
      <w:r>
        <w:rPr>
          <w:rFonts w:ascii="Arial" w:cs="Arial" w:eastAsia="Arial" w:hAnsi="Arial"/>
          <w:sz w:val="18"/>
          <w:szCs w:val="18"/>
          <w:color w:val="212121"/>
        </w:rPr>
        <w:t>ur ability to use net operating loss carryforwards to offset future taxable income for U.S. federal income tax purposes and other tax benefits may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9" w:name="page40"/>
    <w:bookmarkEnd w:id="39"/>
    <w:p>
      <w:pPr>
        <w:ind w:right="60"/>
        <w:spacing w:after="0" w:line="277" w:lineRule="auto"/>
        <w:rPr>
          <w:sz w:val="20"/>
          <w:szCs w:val="20"/>
          <w:color w:val="auto"/>
        </w:rPr>
      </w:pPr>
      <w:r>
        <w:rPr>
          <w:rFonts w:ascii="Arial" w:cs="Arial" w:eastAsia="Arial" w:hAnsi="Arial"/>
          <w:sz w:val="18"/>
          <w:szCs w:val="18"/>
          <w:color w:val="auto"/>
        </w:rPr>
        <w:t>available for that purpose. In addition, dividends, loans, or other distributions to us from such subsidiaries may be subject to contractual and other restrictions and are subject to other business and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0" w:name="page41"/>
    <w:bookmarkEnd w:id="40"/>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40" w:hanging="320"/>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4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1" w:name="page42"/>
    <w:bookmarkEnd w:id="41"/>
    <w:p>
      <w:pPr>
        <w:ind w:right="30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4" w:right="259" w:bottom="1440" w:gutter="0" w:footer="0" w:header="0"/>
        </w:sectPr>
      </w:pPr>
    </w:p>
    <w:bookmarkStart w:id="42" w:name="page43"/>
    <w:bookmarkEnd w:id="42"/>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We lease approximately 95,000 square feet of office and laboratory space at our headquarters in South San Francisco, California under a lease that expires in April 2020. Additionally, we lease office, laboratory and manufacturing space in Singapore of approximately 52,000 square feet and in Ontario, Canada of approximately 44,000 square feet under leases that expire in June 2022 and March 2026, respectively. As of December 31, 2016, we also leased office space in North Carolina, Japan, China, United Kingdom and France, with various expiration dates through March 2026. We believe that our existing office, laboratory, and manufacturing space, together with additional space and facilities available on commercially reasonable terms, will be sufficient to meet our current needs through 2017. In addition, we believe that our properties are in good condition and are adequate and suitable for their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December 21, 2015, Thermo Fisher Scientific, Inc.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w:t>
      </w:r>
    </w:p>
    <w:p>
      <w:pPr>
        <w:spacing w:after="0" w:line="17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Additionally, 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64"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49" w:lineRule="exact"/>
        <w:rPr>
          <w:sz w:val="20"/>
          <w:szCs w:val="20"/>
          <w:color w:val="auto"/>
        </w:rPr>
      </w:pPr>
    </w:p>
    <w:p>
      <w:pPr>
        <w:ind w:left="740" w:right="54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common stock began trading on the NASDAQ Global Select Market under the symbol “FLDM” on February 10, 2011. The following table sets forth the range of high and low closing sales prices of our common stock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High</w:t>
            </w:r>
          </w:p>
        </w:tc>
        <w:tc>
          <w:tcPr>
            <w:tcW w:w="1480" w:type="dxa"/>
            <w:vAlign w:val="bottom"/>
          </w:tcPr>
          <w:p>
            <w:pPr>
              <w:ind w:left="600"/>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$5.47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$8.20</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$4.34</w:t>
            </w:r>
          </w:p>
        </w:tc>
      </w:tr>
      <w:tr>
        <w:trPr>
          <w:trHeight w:val="392"/>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High</w:t>
            </w:r>
          </w:p>
        </w:tc>
        <w:tc>
          <w:tcPr>
            <w:tcW w:w="1480" w:type="dxa"/>
            <w:vAlign w:val="bottom"/>
          </w:tcPr>
          <w:p>
            <w:pPr>
              <w:ind w:left="600"/>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$33.27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$23.39</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$7.38</w:t>
            </w:r>
          </w:p>
        </w:tc>
      </w:tr>
    </w:tbl>
    <w:p>
      <w:pPr>
        <w:spacing w:after="0" w:line="17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had approximately 95 stockholders of record as of February 10, 2017; however, because many of our outstanding shares are held in accounts with brokers and other institutions, we believe we have more beneficial owners. 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following graph shows a comparison from December 31, 2011 through December 31, 2016 of the cumulative total return for our common stock, the NASDAQ Composite Total Return Index and the NASDAQ US Benchmark Medical Equipment Index, each of which assumes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848985" cy="4853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repurchase any shares of our common stock during the year ended December 31,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2016, 2015, and 2014 and consolidated balance sheet data as of December 31, 2016 and December 31, 2015 from audited consolidated financial statements included elsewhere in this Form 10-K. The consolidated statement of operations data for the years ended December 31, 2013 and December 31, 2012 and the consolidated balance sheet data as of December 31, 2014, December 31, 2013, and December 31, 2012 were derived from audited consolidated financial statements that are not included in this Form 10-K.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104,446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114,712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116,456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71,183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52,334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(50,155)</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(51,836)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(75,985)</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(53,315)</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(52,830)</w:t>
            </w: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(16,526)</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(19,024)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588"/>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Cash, cash equivalents, and short and long-term investments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59,430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142,800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86,286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83,677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76,334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123,433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133,440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89,354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 (2)</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306,395</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370,050</w:t>
            </w:r>
          </w:p>
        </w:tc>
        <w:tc>
          <w:tcPr>
            <w:tcW w:w="3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406,506</w:t>
            </w:r>
          </w:p>
        </w:tc>
        <w:tc>
          <w:tcPr>
            <w:tcW w:w="3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116,915</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113,732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(2)</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194,951</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194,673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194,402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53,233</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114,901</w:t>
            </w:r>
          </w:p>
        </w:tc>
        <w:tc>
          <w:tcPr>
            <w:tcW w:w="3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150,419</w:t>
            </w:r>
          </w:p>
        </w:tc>
        <w:tc>
          <w:tcPr>
            <w:tcW w:w="3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96,414</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100,657</w:t>
            </w:r>
          </w:p>
        </w:tc>
      </w:tr>
    </w:tbl>
    <w:p>
      <w:pPr>
        <w:spacing w:after="0" w:line="229"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excludes deferred revenue.</w:t>
      </w:r>
    </w:p>
    <w:p>
      <w:pPr>
        <w:spacing w:after="0" w:line="23" w:lineRule="exact"/>
        <w:rPr>
          <w:rFonts w:ascii="Arial" w:cs="Arial" w:eastAsia="Arial" w:hAnsi="Arial"/>
          <w:sz w:val="18"/>
          <w:szCs w:val="18"/>
          <w:color w:val="auto"/>
        </w:rPr>
      </w:pPr>
    </w:p>
    <w:p>
      <w:pPr>
        <w:ind w:right="100" w:firstLine="8"/>
        <w:spacing w:after="0" w:line="26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$1.1 million and $1.0 million of debt issuance costs of Convertible notes were previously included in Total assets reclassified to Total long-term debt as a deduction in December 31, 2014 and December 31, 2015,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DNA, RNA and proteins in a variety of different sample types, from individual cells to bulk tissue.</w:t>
      </w:r>
    </w:p>
    <w:p>
      <w:pPr>
        <w:spacing w:after="0" w:line="171" w:lineRule="exact"/>
        <w:rPr>
          <w:sz w:val="20"/>
          <w:szCs w:val="20"/>
          <w:color w:val="auto"/>
        </w:rPr>
      </w:pPr>
    </w:p>
    <w:p>
      <w:pPr>
        <w:ind w:right="300" w:firstLine="405"/>
        <w:spacing w:after="0" w:line="293"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Canada and the United States.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Canada facility manufactures our mass cytometry instruments. Our facility in the United States manufactures assays and reagents.</w:t>
      </w:r>
    </w:p>
    <w:p>
      <w:pPr>
        <w:spacing w:after="0" w:line="16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total revenue was $104.4 million in 2016, $114.7 million in 2015, and $116.5 million in 2014. We have incurred significant net losses since our inception in 1999 and, as of December 31, 2016, our accumulated deficit was $439.5 million.</w:t>
      </w:r>
    </w:p>
    <w:p>
      <w:pPr>
        <w:spacing w:after="0" w:line="17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and enable us to efficiently align our resources in areas providing the greatest benefit. If our efficiency and cost reduction efforts are unsuccessful, our cash position could be negatively impacted and we may, among other things, be required to seek other sources of financing.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7" w:name="page48"/>
    <w:bookmarkEnd w:id="47"/>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We generate revenue from sales of our products and services, license agreements, and government grants. Our product revenue consists of sales of instruments and consumables, including IFCs, assays and reagents. Our service revenue consists of sales of post-warranty service contracts, preventive maintenance plans, instrument parts, installation, and training.</w:t>
      </w:r>
    </w:p>
    <w:p>
      <w:pPr>
        <w:spacing w:after="0" w:line="18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18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collectability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by, among other things, reviewing contractual terms and conditions related to payment.</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or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9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their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products are typically delivered within a short time frame, generally within one to three months, of the contract date. Service contracts are entered into for terms of one to three years, following the expiration of the warranty period.</w:t>
      </w:r>
    </w:p>
    <w:p>
      <w:pPr>
        <w:spacing w:after="0" w:line="17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products are generally sold without the right of return. Accruals are provided for estimated warranty expenses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6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7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have received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7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recognize compensation for all stock-based awards, including stock options and restricted stock units,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Stock-based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8" w:name="page49"/>
    <w:bookmarkEnd w:id="48"/>
    <w:p>
      <w:pPr>
        <w:ind w:right="400"/>
        <w:spacing w:after="0" w:line="277" w:lineRule="auto"/>
        <w:rPr>
          <w:sz w:val="20"/>
          <w:szCs w:val="20"/>
          <w:color w:val="auto"/>
        </w:rPr>
      </w:pPr>
      <w:r>
        <w:rPr>
          <w:rFonts w:ascii="Arial" w:cs="Arial" w:eastAsia="Arial" w:hAnsi="Arial"/>
          <w:sz w:val="18"/>
          <w:szCs w:val="18"/>
          <w:color w:val="auto"/>
        </w:rPr>
        <w:t>compensation cost for restricted stock units granted to employees is measured based on the closing fair market value of our common stock on the date of grant.</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board of directors sets the terms, conditions, and restrictions related to the grant of stock options and restricted stock units, including the number of shares underlying the grants and the vesting criteria. With respect to performance-based stock awards, depending on the extent to which the vesting criteria are met, our board of directors determines the number of shares that vest under the grants.</w:t>
      </w:r>
    </w:p>
    <w:p>
      <w:pPr>
        <w:spacing w:after="0" w:line="181"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awards, stock-based compensation expense is recognized over the requisite service period when the achievement of each individual performance milestone becomes probable.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common stock has a limited trading history because our common stock was not publicly traded until our initial public offering, or IPO, in February</w:t>
      </w:r>
    </w:p>
    <w:p>
      <w:pPr>
        <w:spacing w:after="0" w:line="4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2011. Accordingly, the expected volatility of our common stock is developed by combining data from our historical volatilities and historical volatilities of unrelated public companies within the life sciences industry. When selecting our industry peer companies, we consider our stage of development, size, and financial leverage. These historical volatilities are weighted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w:t>
      </w:r>
    </w:p>
    <w:p>
      <w:pPr>
        <w:spacing w:after="0" w:line="16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8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We will continue to use judgment in evaluating the expected term, volatility, and forfeiture rate related to our stock-based compensation.</w:t>
      </w:r>
    </w:p>
    <w:p>
      <w:pPr>
        <w:spacing w:after="0" w:line="16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Historically, certain of our stock awards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recorded stock-based compensation expense of $13.9 million, $16.8 million, and $20.9 million during 2016, 2015, and 2014, respectively. As of December 31, 2016, we have $15.8 million of total unrecognized compensation cost related to stock-based compensation arrangements that is expected to be recognized over an average period of 2.3 years.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46" w:right="259" w:bottom="1440" w:gutter="0" w:footer="0" w:header="0"/>
        </w:sectPr>
      </w:pPr>
    </w:p>
    <w:bookmarkStart w:id="49" w:name="page50"/>
    <w:bookmarkEnd w:id="49"/>
    <w:p>
      <w:pPr>
        <w:ind w:right="200"/>
        <w:spacing w:after="0" w:line="291" w:lineRule="auto"/>
        <w:rPr>
          <w:sz w:val="20"/>
          <w:szCs w:val="20"/>
          <w:color w:val="auto"/>
        </w:rPr>
      </w:pPr>
      <w:r>
        <w:rPr>
          <w:rFonts w:ascii="Arial" w:cs="Arial" w:eastAsia="Arial" w:hAnsi="Arial"/>
          <w:sz w:val="16"/>
          <w:szCs w:val="16"/>
          <w:color w:val="auto"/>
        </w:rPr>
        <w:t>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research and development tax credits, and stock-based compensation. We intend to maintain such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67"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the income tax provision.</w:t>
      </w:r>
    </w:p>
    <w:p>
      <w:pPr>
        <w:spacing w:after="0" w:line="14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2016 because such earnings are intended to be indefinitely reinvested. Upon distribution of such earnings in the form of dividends or otherwise, we believe there will be no material U.S. federal and state income tax liability as there are sufficient amount of tax losses or other attributes. Undistributed earnings of our foreign subsidiaries amounted to approximately $2.7 million, as of December 31, 2016. If these earning were to be repatriated, approximately $46,000 of withholding taxes may be due. However, since such subsidiaries’ earnings are permanently reinvested, no related deferred tax liabilities were accrued as of December 31, 2016.</w:t>
      </w:r>
    </w:p>
    <w:p>
      <w:pPr>
        <w:spacing w:after="0" w:line="19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Effective January 1, 2015, our Pioneer Tax Status was replaced by a Development and Expansion Incentive, or DEI, which provides a reduced tax rate for qualifying income in Singapore through 2019, if certain milestones are met. Due to the lower mix of genomics production activities, we expect that we will not be able to fulfill the DEI milestones. Due to available capital allowances, we have not benefited from the reduced tax rate through December 31, 2016, and may not benefit from the incentive in future years if the incentive is withdrawn.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Goodwill</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Screening for and assessing whether impairment indicators exist, or if events or changes in circumstances have occurred, including a decline in our stock price or market capitalization, declines in our market shares or revenue, operating fundamentals, rapid changes in technology, competition, general economic conditions or other matters, requires significant judgment. An impairment charge may occur as a result of future goodwill and intangible asset impairment tests. The decreases in revenue and stock price that have occurred and may occur in the future could make such impairment more likely to result. If impairment is deemed to exist, we would write-down the recorded value of these intangible assets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50" w:name="page51"/>
    <w:bookmarkEnd w:id="50"/>
    <w:p>
      <w:pPr>
        <w:ind w:right="60"/>
        <w:spacing w:after="0" w:line="272" w:lineRule="auto"/>
        <w:rPr>
          <w:sz w:val="20"/>
          <w:szCs w:val="20"/>
          <w:color w:val="auto"/>
        </w:rPr>
      </w:pPr>
      <w:r>
        <w:rPr>
          <w:rFonts w:ascii="Arial" w:cs="Arial" w:eastAsia="Arial" w:hAnsi="Arial"/>
          <w:sz w:val="17"/>
          <w:szCs w:val="17"/>
          <w:color w:val="auto"/>
        </w:rPr>
        <w:t>their fair values. If and when these write-downs occur, they could harm our results of operations.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the carrying value of the net assets, goodwill is not considered impaired and no further analysis is required. If the carrying value of the net assets exceeds the fair value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78"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2016, 2015, and 2014,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104,446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114,712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116,456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43,001</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39,511</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34</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38,415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39,264</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43,423</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82,959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71,324</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22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10,696</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164,867</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168,292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145</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(50,155)</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(51,836)</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(5,808)</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(5,344)</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(1,157)</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1,475</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4,875</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We generate revenue primarily from sales of our products and services, license agreements, and government grants. Our product revenue consists of sales of instruments and consumables, including IFCs, assays and reagents. Our service revenue consists of post-warranty service contracts, preventive maintenance plans, instrument parts, installation and training. We have entered into license agreements and have received government grants to conduct research and development activities.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46,834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58,455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60,233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46,838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89,003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102,140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107,071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56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104,446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114,712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116,456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and as a percentage of total revenue by geographic area of our customers for each period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264"/>
        </w:trPr>
        <w:tc>
          <w:tcPr>
            <w:tcW w:w="22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$55,404</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$59,674</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Europe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29,739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36,772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33,045</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3,927</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2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$114,712</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225"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Revenue from our five largest customers in each of the periods presented comprised 15%, 13%, and 15% of total revenue in 2016, 2015, and 2014,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Total revenue decreased by $10.3 million, or 9%, to $104.4 million for 2016, compared to $114.7 million for 2015 primarily due to a decrease of $13.1 million in product revenue, partially offset by a $2.9 million increase in service revenue. Total revenue decreased in all geographic areas, except Asia-Pacific for 2016 compared to 2015. The revenue decrease was predominantly in Europe due to lower instrument sales. The revenue increase in Asia-Pacific was largely attributable to a $5.5 million, or 97%, increase in our revenue in China, offset by a reduction of sales in the rest of the region, primarily Japan, for 2016 compared to 2015. We cannot provide any assurance that the revenue growth rate that we experienced in China in 2016 will continue.</w:t>
      </w:r>
    </w:p>
    <w:p>
      <w:pPr>
        <w:spacing w:after="0" w:line="15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Total revenue decreased by $1.7 million, or 1%, to $114.7 million for 2015, compared to $116.5 million for 2014 primarily due to a decrease of $4.9 million in product revenue, partially offset by a $3.5 million increase in service revenue. Unfavorable foreign exchange rates, primarily between the U.S. dollar and Euro, adversely affected total revenue from Europe by approximately $5.0 million in 2015.</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Due to the volatility in currency exchange rates, we have experienced and may in the future experience fluctuations in currency exchange rates which could have an adverse impact on our financial results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Product revenue decreased by $13.1 million, or 13%, to $89.0 million for 2016, compared to $102.1 million for 2015. Product revenue decreased by $4.9 million, or 5%, to $102.1 million for 2015 compared to $107.1 million for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2" w:name="page53"/>
    <w:bookmarkEnd w:id="52"/>
    <w:p>
      <w:pPr>
        <w:ind w:firstLine="432"/>
        <w:spacing w:after="0" w:line="277" w:lineRule="auto"/>
        <w:rPr>
          <w:sz w:val="20"/>
          <w:szCs w:val="20"/>
          <w:color w:val="auto"/>
        </w:rPr>
      </w:pPr>
      <w:r>
        <w:rPr>
          <w:rFonts w:ascii="Arial" w:cs="Arial" w:eastAsia="Arial" w:hAnsi="Arial"/>
          <w:sz w:val="18"/>
          <w:szCs w:val="18"/>
          <w:color w:val="auto"/>
        </w:rPr>
        <w:t>Instrument revenue decreased by $11.6 million, or 20%, to $46.8 million for 2016, compared to 2015, predominately due to lower unit sales across most instrument systems, primarily our genomic instruments and particularly our C1 systems.</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Instrument revenue decreased by $1.8 million, or 3%, to $58.5 million for 2015, compared to 2014, primarily due to decreases in unit sales of BioMark, C1 and Access Array systems and, to a lesser extent, lower average selling prices, partially offset by growth in unit sales of Helios/CyTOF2 systems with relatively higher selling prices compared to genomic systems, and contributions from new products including Juno and Polaris. Changes in foreign exchange rates negatively affected instrument revenue by $3.6 million, or 6% in 2015 compared to 2014.</w:t>
      </w:r>
    </w:p>
    <w:p>
      <w:pPr>
        <w:spacing w:after="0" w:line="18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Consumables revenue decreased by $1.5 million, or 3%, to $42.2 million for 2016, compared to 2015, largely attributable to decreased unit sales from IFCs, particularly Access Array IFCs, and to a lesser extent, lower average selling prices for most IFCs. The decrease was partially offset by increased sales from Helios consumables.</w:t>
      </w:r>
    </w:p>
    <w:p>
      <w:pPr>
        <w:spacing w:after="0" w:line="181"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Consumables revenue decreased by $3.2 million, or 7%, to $43.7 million for 2015, compared to 2014, primarily due to decreases in unit sales of IFCs, as well as the negative effects of foreign exchange rates, which reduced consumables revenue by $2.3 million or 5% in 2015.</w:t>
      </w:r>
    </w:p>
    <w:p>
      <w:pPr>
        <w:spacing w:after="0" w:line="17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In addition, our total revenue and product revenue declined in 2016 compared to 2015 and declined in 2015 compared to 2014, and we cannot provide assurance concerning future revenue growth,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Service revenue increased by $2.9 million, or 23%, to $15.2 million for 2016 compared to 2015. Service revenue increased by $3.5 million, or 40%, to $12.3 million for 2015 compared to 2014. The increases in both 2016 and 2015 were primarily due to an increase in instruments under post-warranty service contracts as a result of growth in our installed base. Changes in service contracts generally lag changes in our instrument revenue by one year. In addition, other fee-for-service offerings, including training, installation, parts, labor and preventive maintenance, increased during the periods.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and License Revenue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Grant revenue consists of a grant from the California Institute for Regenerative Medicine (CIRM). Grant revenue was $0.2 million in 2014. There was no grant revenue in 2015 and 2016. Our CIRM grant was awarded in 2011 in the amount of $1.9 million to be earned over a three-year period, which ended in April 2014. The CIRM grant revenue was recognized as the related research and development services were performed and costs associated with the grants were recognized as research and development expense during the period incurred.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License revenue was $0.2 million in 2016 and $0.3 million for both 2015 and 2014.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22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41,110</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43,001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39,511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3,629</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3,338</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ind w:right="440" w:firstLine="432"/>
        <w:spacing w:after="0" w:line="255" w:lineRule="auto"/>
        <w:rPr>
          <w:sz w:val="20"/>
          <w:szCs w:val="20"/>
          <w:color w:val="auto"/>
        </w:rPr>
      </w:pPr>
      <w:r>
        <w:rPr>
          <w:rFonts w:ascii="Arial" w:cs="Arial" w:eastAsia="Arial" w:hAnsi="Arial"/>
          <w:sz w:val="18"/>
          <w:szCs w:val="18"/>
          <w:color w:val="auto"/>
        </w:rPr>
        <w:t>Cost of product revenue decreased by $1.9 million, or 4%, to $41.1 million for 2016 compared to $43.0 million for 2015. Cost of product revenue increased by $3.5 million, or 9%, to $43.0 million for 2015 compared to $39.5 million for 2014. Cost of product revenue includes the amortization of acquired intangibles assets resulting from our acquisition of DVS, which was $11.2 million for both 2016 and 2015. Cost of product revenue for 2014 includes $10.7 million of amortization of developed technology and inventory fair value write-up resulting from our acquisition of DVS. Overall cost of product revenue as a percentage of product revenue was 46% for 2016, 42% for 2015, and 37% for 2014, including 13%, 11% and 10%, respectively, of acquisition-related amortization expenses.</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Product margin declined 4 percentage points during 2016 compared to 2015, primarily driven by higher acquisition-related intangible amortization costs as a percentage of product revenue and, to a lesser extent, lower average selling prices for certain genomics instruments and lower consumables capacity utilization. Product margin declined 5 percentage points during 2015 compared to 2014 primarily due to lower consumables capacity utilization, lower instrument selling prices across all instrument systems, higher acquisition-related amortization costs and higher IFC inventory reserves related to product transitions.</w:t>
      </w:r>
    </w:p>
    <w:p>
      <w:pPr>
        <w:spacing w:after="0" w:line="18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Cost of service revenue increased by $1.3 million, or 35%, to $4.9 million for 2016, compared to $3.6 million for 2015. Cost of service revenue increased by $0.3 million, or 9%, to $3.6 million for 2015 compared to $3.3 million for 2014. Cost of service revenue as a percentage of service revenue was 32% for 2016, 29% for 2015, and 38% for 2014.</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Service margin declined 3 percentage points during 2016 compared to 2015, mainly due to higher material and labor cost due to unfavorable product support plan mix.</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Service margin increased 9 percentage points during 2015 compared to 2014, mainly due to increased post-warranty service contract revenue combined with relatively lower growth in service costs.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63" w:right="2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2016 vs. 2015</w:t>
            </w:r>
          </w:p>
        </w:tc>
        <w:tc>
          <w:tcPr>
            <w:tcW w:w="11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43,423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93,212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82,959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71,324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131,627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118,237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125,443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Research and development expense decreased by $0.8 million, or 2%, to $38.4 million for 2016 compared to $39.3 million for 2015. Research and development expense decreased by $4.2 million, or 10%, to $39.3 million for 2015 compared to $43.4 million for 2014. The decrease in research and development expense for 2016 was primarily due to a decrease in product materials and supplies of $1.8 million resulting from higher cost projects in the prior year, including investments in our Imaging Mass Cytometry system. The decrease was partially offset by an increase in headcount and compensation related costs of $1.0 million. The decrease in research and development expense for 2015 was primarily due to a decrease in stock-based compensation expenses of $5.6 million resulting from the vesting in 2014 of a substantial portion of equity awards in connection with the DVS acquisition according to the vesting terms, partially offset by an increase in compensation related costs of $0.7 million and an increase in facilities costs of $0.6 million.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research and development expense to continue to decrease in 2017 as we implement efficiency and cost savings initiatives.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Selling, general and administrative expense increased by $10.3 million, or 12%, to $93.2 million for 2016 compared to $83.0 million for 2015. Selling, general and administrative expense increased by $11.6 million, or 16%, to $83.0 million for 2015 compared to $71.3 million for 2014. The increase for 2016 was primarily due to higher headcount and compensation-related costs of $9.7 million and an increase in legal and outside services costs of $1.7 million. The increase was partially offset by a decrease in trade shows and marketing costs of $1.1 million. The increase for 2015 was primarily due to higher headcount and compensation-related costs of $4.1 million, including an increase of $1.3 million in stock-based compensation; increased legal costs of $3.0 million and other outside services costs of $2.2 million, and increased facilities costs of $1.1 million. The increase in selling, general and administrative expense in both 2016 and 2015 was mainly driven by investments in our global commercial infrastructure.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selling, general and administrative expense to decrease in 2017 as we implement efficiency and cost savings initiatives.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225"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Acquisition-related expenses were $10.7 million for 2014 and primarily included accelerated vesting of certain DVS restricted stock and options, and consulting, legal, and investment banking fees relating to our acquisition of DVS. There were no acquisition-related expenses in 2015 and 2016.</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Gain on Escrow Settlement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Approximately 885,000 shares of Fluidigm common stock were deposited into escrow, or Escrowed Shares, in connection with our acquisition of DVS in February 2014.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or the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or Stockholder Representative. Prior to the Initial Release Date, we submitted escrow claim notices under the terms of the merger agreement, which were objected to by the Stockholder Representative. In July 2015, we entered into a settlement agreement with the Stockholder Representative regarding the claims pursuant to which the parties agreed to release approximately 80% of the Escrowed Shares to the former stockholders of DVS, and the remaining approximately 20% of the Escrowed Shares, or 170,107 shares, to us, which were canceled and returned to the status of authorized and unissued shares. On the settlement date, the 170,107 shares had a value of approximately $4.0 million, which was recorded to gain on escrow settlement during the quarter ended September 30, 2015.</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$5.8 million for both 2016 and 2015.</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Interest expense increased to $5.8 million for 2015, compared to $5.3 million for 2014 due to the accrual of interest under the terms of the Note, as compared to a partial comparable period in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accompanying consolidated statement of operations for the year ended December 31, 2015. In January 2016, we received payment of this amount.</w:t>
      </w:r>
    </w:p>
    <w:p>
      <w:pPr>
        <w:spacing w:after="0" w:line="17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Other expense, net was $1.2 million for both 2016 and 2015 and $0.9 million for 2014. The expense was mainly associated with losses from revaluation of certain foreign currency denominated assets and liabilities.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recorded a tax benefit of $4.2 million, or an effective tax rate benefit of 5.2%, for the year ended December 31, 2016. This tax benefit was primarily attributable to amortization of our acquisition-related deferred tax liability, net income tax benefit from our foreign operations and release of unrecognized tax benefits. We recorded a tax benefit of $1.5 million, or an effective tax rate benefit of 2.6%, for the year ended December 31, 2015. The tax benefit was principally due to the amortization of our acquisition-related deferred tax liability, partially offset by net income tax expense from our foreign operations and unrecognized tax benefits.</w:t>
      </w:r>
    </w:p>
    <w:p>
      <w:pPr>
        <w:spacing w:after="0" w:line="18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recorded a tax benefit of $4.9 million for the year ended December 31, 2014, which was primarily attributable to the amortization of our acquisition-related deferred tax liability and net income tax benefit from our foreign operations and release of valuation allowance on California deferred tax assets, as a result of the deferred tax liability related to its acquired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2016, our principal sources of liquidity consisted of $35.0 million of cash and cash equivalents and $24.4 million of short-term and long-term investments. As of December 31, 2016, our working capital (excluding deferred revenue) totaled $76.3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(39,098)</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(22,623)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200,326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 and this may continue in the future.</w:t>
      </w:r>
    </w:p>
    <w:p>
      <w:pPr>
        <w:spacing w:after="0" w:line="18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Net cash used in operating activities was $39.1 million, $34.7 million, and $22.6 million in 2016, 2015, and 2014, respectively. Net cash used in operating activities in 2016 of $39.1 million consisted of net loss of $76.0 million less non-cash adjustments of $32.1 million, plus net change in assets and liabilities of $4.8 million. Non-cash items primarily included stock-based compensation expense of $13.9 million, amortization of developed technology of $11.2 million, and depreciation and amortization of $6.7 million. The net change in assets and liabilities was primarily driven by a decrease in accounts receivable, offset by an increase in inventory and a decrease in accounts payable.</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cash used in operating activities in 2015 of $34.7 million consisted of net loss of $53.3 million less non-cash adjustments of $26.9 million, plus net change in assets and liabilities of $8.2 million. Non-cash items primarily included stock-based compensation expense of $16.8 million, amortization of developed technology of $11.2 million, and depreciation and amortization of $4.9 million, partially offset by a $4.0 million gain on escrow settlement and $2.3 million gain from the sale of investment in Verinata. The net change in assets and liabilities was primarily driven by an increase in inventory and accounts receivable, offset by a net decrease in liabilities.</w:t>
      </w:r>
    </w:p>
    <w:p>
      <w:pPr>
        <w:spacing w:after="0" w:line="188"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Net cash used in operating activities during 2014 resulted from a net loss of $52.8 million, adjusted for $38.1 million in non-cash adjustments and a $7.8 million increase in net assets and liabilities. Significant non-cash items included stock-based compensation expense of $20.9 million, amortization of developed technology of $9.8 million, depreciation and amortization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7" w:name="page58"/>
    <w:bookmarkEnd w:id="57"/>
    <w:p>
      <w:pPr>
        <w:ind w:right="40"/>
        <w:spacing w:after="0" w:line="264" w:lineRule="auto"/>
        <w:rPr>
          <w:sz w:val="20"/>
          <w:szCs w:val="20"/>
          <w:color w:val="auto"/>
        </w:rPr>
      </w:pPr>
      <w:r>
        <w:rPr>
          <w:rFonts w:ascii="Arial" w:cs="Arial" w:eastAsia="Arial" w:hAnsi="Arial"/>
          <w:sz w:val="18"/>
          <w:szCs w:val="18"/>
          <w:color w:val="auto"/>
        </w:rPr>
        <w:t>$4.1 million, and acquisition-related share-based awards acceleration expense of $2.6 million. The net change in assets and liabilities was driven primarily by higher inventory and accounts receivables offset by a net increase in operating liabilities. Cash used in operating activities in 2014 included $8.0 million of cash outflows related to the DVS acquisition.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as a result of our efficiency and cost-savings initiatives, we may decrease or defer certain capital expenditures and development activities, while further optimizing our organization.</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provided by (used in) investing activities was $45.1 million, $25.7 million and ($178.4) million in 2016, 2015, and 2014, respectively. Net cash provided by investing activities in 2016, included proceeds from sales and maturities of investments of $86.4 million and proceeds from the sale of investment in Verinata of $2.3 million, offset by purchases of investments of $38.6 million and capital expenditures of $5.1 million to support our commercial and manufacturing operations.</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Net cash provided by investing activities in 2015, included proceeds from sales and maturities of investments of $103.3 million, offset by purchases of investments of $67.0 million, purchase of patents from PerkinElmer and other intangibles of $6.7 million; and capital expenditures of $4.0 million to support growth in our commercial and manufacturing operations.</w:t>
      </w:r>
    </w:p>
    <w:p>
      <w:pPr>
        <w:spacing w:after="0" w:line="18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We used $178.4 million of cash in investing activities during 2014, including $113.2 million in connection with the DVS acquisition, net of acquired cash of $8.4 million classified as cash used in operating activities, purchases of investments of $132.6 million, and capital expenditures of $7.4 million primarily to support growth in our manufacturing operations; partially offset by proceeds from sales and maturities of investments of $74.5 million, and additional proceeds of $0.3 million from the 2013 sale of our investment in Verinata.</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generated cash from financing activities of $0.1 million during 2016 and $5.3 million during 2015 from proceeds received in connection with the exercise of options for our common stock.</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Net cash provided by financing activities was $200.3 million during 2014, consisting of net proceeds of $195.2 million from the issuance of the Notes, and $5.1 million from proceeds received in connection with the exercise of options for our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At December 31, 2016 and December 31, 2015, our working capital, excluding deferred revenues, was $76.3 million and $123.4 million, respectively, including cash and cash equivalents of $35.0 million and $29.1 million, respectively, and short-term and long-term investments of $24.4 million and $72.3 million, respectively. On February 4, 2014, we closed an underwritten public offering of approximately $201.3 million aggregate principal amount of our Notes and received cash proceeds of $195.2 million, net of underwriting discounts. Debt issuance costs were approximately $1.1 million. We used $113.2 million of the net proceeds to fund the cash portion of the consideration paid by us in connection with our acquisition of DVS.</w:t>
      </w:r>
    </w:p>
    <w:p>
      <w:pPr>
        <w:spacing w:after="0" w:line="15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effectiveness of our efficiency and cost reduction initiatives.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46" w:right="259" w:bottom="1440" w:gutter="0" w:footer="0" w:header="0"/>
        </w:sectPr>
      </w:pPr>
    </w:p>
    <w:bookmarkStart w:id="58" w:name="page59"/>
    <w:bookmarkEnd w:id="58"/>
    <w:p>
      <w:pPr>
        <w:ind w:right="10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8"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 targeted workforce reductions, optimizing our facilities, and reducing excess space. In addition, we may need to decrease or defer capital expenditures and development activities to further optimize our operations; such measures may impair our ability to invest in developing, marketing and selling new and existing products. The efficiency and cost-savings initiatives are expected to reduce operating expenses by approximately $8 million in 2017 before severances expense, and to enable us to more efficiently align our resources in areas providing the greatest benefit. If our efficiency and cost reduction efforts are unsuccessful, our cash position could be negatively impacted and we may, among other things, be required to seek other sources of financing.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2016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w w:val="96"/>
              </w:rPr>
              <w:t>Less than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295,796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268,124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20,033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320,011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20,288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270,729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Notes mature in 2034, they can be converted into cash and shares of our common stock prior to maturity if certain conditions are met. See Note 7 to our consolidated financial statements for additional information regarding the terms of the Notes.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operating lease obligations relate to a lease for our current headquarters and leases for manufacturing and office space for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consist of contractual and legally binding commitments to purchase goods and services.</w:t>
      </w:r>
    </w:p>
    <w:p>
      <w:pPr>
        <w:spacing w:after="0" w:line="2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lease facilities and equipment under non-cancelable lease agreements expiring at various times through 2026. Our lease payments are expensed on a straight-line basis over the life of the leases. Rental expense under operating leases, net of amortization of lease incentive, totaled $6.3 million, $5.2 million, and $4.0 million for 2016, 2015, and 2014, respectively.</w:t>
      </w:r>
    </w:p>
    <w:p>
      <w:pPr>
        <w:spacing w:after="0" w:line="18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96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years ended December 31, 2016 and 2015, we experienced foreign currency losses of $1.5 million and $1.6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had cash and cash equivalents of $35.0 million at December 31, 2016. These amounts were held primarily in cash on deposit with banks and money market funds which are short-term. We had $24.4 million in investments at December 31, 2016 held primarily in U.S. government agency securities. The contractual maturity periods of $24.4 million of our investments are within one year from December 31, 2016.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742"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9"/>
        </w:trPr>
        <w:tc>
          <w:tcPr>
            <w:tcW w:w="9780" w:type="dxa"/>
            <w:vAlign w:val="bottom"/>
            <w:gridSpan w:val="8"/>
          </w:tcPr>
          <w:p>
            <w:pPr>
              <w:spacing w:after="0" w:line="170" w:lineRule="exact"/>
              <w:rPr>
                <w:rFonts w:ascii="Arial" w:cs="Arial" w:eastAsia="Arial" w:hAnsi="Arial"/>
                <w:sz w:val="18"/>
                <w:szCs w:val="18"/>
                <w:color w:val="0000EE"/>
              </w:rPr>
            </w:pPr>
            <w:hyperlink w:anchor="page62">
              <w:r>
                <w:rPr>
                  <w:rFonts w:ascii="Arial" w:cs="Arial" w:eastAsia="Arial" w:hAnsi="Arial"/>
                  <w:sz w:val="18"/>
                  <w:szCs w:val="18"/>
                  <w:color w:val="0000EE"/>
                </w:rPr>
                <w:t>Report of PricewaterhouseCoopers - Independent Registered Public Accounting Firm</w:t>
              </w:r>
            </w:hyperlink>
          </w:p>
        </w:tc>
        <w:tc>
          <w:tcPr>
            <w:tcW w:w="900" w:type="dxa"/>
            <w:vAlign w:val="bottom"/>
            <w:gridSpan w:val="2"/>
          </w:tcPr>
          <w:p>
            <w:pPr>
              <w:jc w:val="center"/>
              <w:ind w:left="632"/>
              <w:spacing w:after="0" w:line="170"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700" w:type="dxa"/>
            <w:vAlign w:val="bottom"/>
          </w:tcPr>
          <w:p>
            <w:pPr>
              <w:spacing w:after="0"/>
              <w:rPr>
                <w:sz w:val="16"/>
                <w:szCs w:val="16"/>
                <w:color w:val="auto"/>
              </w:rPr>
            </w:pPr>
          </w:p>
        </w:tc>
      </w:tr>
      <w:tr>
        <w:trPr>
          <w:trHeight w:val="27"/>
        </w:trPr>
        <w:tc>
          <w:tcPr>
            <w:tcW w:w="20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920" w:type="dxa"/>
            <w:vAlign w:val="bottom"/>
            <w:tcBorders>
              <w:left w:val="single" w:sz="8" w:color="0000EE"/>
            </w:tcBorders>
            <w:shd w:val="clear" w:color="auto" w:fill="0000EE"/>
          </w:tcPr>
          <w:p>
            <w:pPr>
              <w:spacing w:after="0"/>
              <w:rPr>
                <w:sz w:val="2"/>
                <w:szCs w:val="2"/>
                <w:color w:val="auto"/>
              </w:rPr>
            </w:pPr>
          </w:p>
        </w:tc>
        <w:tc>
          <w:tcPr>
            <w:tcW w:w="4340" w:type="dxa"/>
            <w:vAlign w:val="bottom"/>
            <w:gridSpan w:val="2"/>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r>
      <w:tr>
        <w:trPr>
          <w:trHeight w:val="378"/>
        </w:trPr>
        <w:tc>
          <w:tcPr>
            <w:tcW w:w="97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Ernst &amp; Young - Independent Registered Public Accounting Firm</w:t>
              </w:r>
            </w:hyperlink>
          </w:p>
        </w:tc>
        <w:tc>
          <w:tcPr>
            <w:tcW w:w="900" w:type="dxa"/>
            <w:vAlign w:val="bottom"/>
            <w:gridSpan w:val="2"/>
          </w:tcPr>
          <w:p>
            <w:pPr>
              <w:jc w:val="center"/>
              <w:ind w:left="632"/>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700" w:type="dxa"/>
            <w:vAlign w:val="bottom"/>
          </w:tcPr>
          <w:p>
            <w:pPr>
              <w:spacing w:after="0"/>
              <w:rPr>
                <w:sz w:val="24"/>
                <w:szCs w:val="24"/>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5440" w:type="dxa"/>
            <w:vAlign w:val="bottom"/>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4340" w:type="dxa"/>
            <w:vAlign w:val="bottom"/>
            <w:gridSpan w:val="2"/>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c>
          <w:tcPr>
            <w:tcW w:w="700" w:type="dxa"/>
            <w:vAlign w:val="bottom"/>
          </w:tcPr>
          <w:p>
            <w:pPr>
              <w:spacing w:after="0"/>
              <w:rPr>
                <w:sz w:val="24"/>
                <w:szCs w:val="24"/>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97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900" w:type="dxa"/>
            <w:vAlign w:val="bottom"/>
            <w:gridSpan w:val="2"/>
          </w:tcPr>
          <w:p>
            <w:pPr>
              <w:jc w:val="center"/>
              <w:ind w:left="632"/>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c>
          <w:tcPr>
            <w:tcW w:w="700" w:type="dxa"/>
            <w:vAlign w:val="bottom"/>
          </w:tcPr>
          <w:p>
            <w:pPr>
              <w:spacing w:after="0"/>
              <w:rPr>
                <w:sz w:val="24"/>
                <w:szCs w:val="24"/>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Comprehensive Loss</w:t>
              </w:r>
            </w:hyperlink>
          </w:p>
        </w:tc>
        <w:tc>
          <w:tcPr>
            <w:tcW w:w="6260" w:type="dxa"/>
            <w:vAlign w:val="bottom"/>
            <w:gridSpan w:val="3"/>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63</w:t>
              </w:r>
            </w:hyperlink>
          </w:p>
        </w:tc>
        <w:tc>
          <w:tcPr>
            <w:tcW w:w="700" w:type="dxa"/>
            <w:vAlign w:val="bottom"/>
          </w:tcPr>
          <w:p>
            <w:pPr>
              <w:spacing w:after="0"/>
              <w:rPr>
                <w:sz w:val="24"/>
                <w:szCs w:val="24"/>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60" w:type="dxa"/>
            <w:vAlign w:val="bottom"/>
            <w:tcBorders>
              <w:left w:val="single" w:sz="8" w:color="0000EE"/>
            </w:tcBorders>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sz w:val="20"/>
                <w:szCs w:val="20"/>
                <w:color w:val="auto"/>
              </w:rPr>
            </w:pPr>
            <w:r>
              <w:rPr>
                <w:rFonts w:ascii="Arial" w:cs="Arial" w:eastAsia="Arial" w:hAnsi="Arial"/>
                <w:sz w:val="18"/>
                <w:szCs w:val="18"/>
                <w:color w:val="0000FF"/>
                <w:w w:val="89"/>
              </w:rPr>
              <w:t>Consolidated Statements of Stockholders' Equity</w:t>
            </w:r>
          </w:p>
        </w:tc>
        <w:tc>
          <w:tcPr>
            <w:tcW w:w="6260" w:type="dxa"/>
            <w:vAlign w:val="bottom"/>
            <w:gridSpan w:val="3"/>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c>
          <w:tcPr>
            <w:tcW w:w="700" w:type="dxa"/>
            <w:vAlign w:val="bottom"/>
          </w:tcPr>
          <w:p>
            <w:pPr>
              <w:spacing w:after="0"/>
              <w:rPr>
                <w:sz w:val="24"/>
                <w:szCs w:val="24"/>
                <w:color w:val="auto"/>
              </w:rPr>
            </w:pP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3520" w:type="dxa"/>
            <w:vAlign w:val="bottom"/>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w:t>
              </w:r>
            </w:hyperlink>
          </w:p>
        </w:tc>
        <w:tc>
          <w:tcPr>
            <w:tcW w:w="6260" w:type="dxa"/>
            <w:vAlign w:val="bottom"/>
            <w:gridSpan w:val="3"/>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65</w:t>
              </w:r>
            </w:hyperlink>
          </w:p>
        </w:tc>
        <w:tc>
          <w:tcPr>
            <w:tcW w:w="700" w:type="dxa"/>
            <w:vAlign w:val="bottom"/>
          </w:tcPr>
          <w:p>
            <w:pPr>
              <w:spacing w:after="0"/>
              <w:rPr>
                <w:sz w:val="24"/>
                <w:szCs w:val="24"/>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97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Notes to Consolidated Financial Statements</w:t>
              </w:r>
            </w:hyperlink>
          </w:p>
        </w:tc>
        <w:tc>
          <w:tcPr>
            <w:tcW w:w="900" w:type="dxa"/>
            <w:vAlign w:val="bottom"/>
            <w:gridSpan w:val="2"/>
          </w:tcPr>
          <w:p>
            <w:pPr>
              <w:jc w:val="center"/>
              <w:ind w:left="632"/>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66</w:t>
              </w:r>
            </w:hyperlink>
          </w:p>
        </w:tc>
        <w:tc>
          <w:tcPr>
            <w:tcW w:w="700" w:type="dxa"/>
            <w:vAlign w:val="bottom"/>
          </w:tcPr>
          <w:p>
            <w:pPr>
              <w:spacing w:after="0"/>
              <w:rPr>
                <w:sz w:val="24"/>
                <w:szCs w:val="24"/>
                <w:color w:val="auto"/>
              </w:rPr>
            </w:pPr>
          </w:p>
        </w:tc>
      </w:tr>
      <w:tr>
        <w:trPr>
          <w:trHeight w:val="507"/>
        </w:trPr>
        <w:tc>
          <w:tcPr>
            <w:tcW w:w="3140" w:type="dxa"/>
            <w:vAlign w:val="bottom"/>
            <w:tcBorders>
              <w:top w:val="single" w:sz="8" w:color="0000EE"/>
            </w:tcBorders>
            <w:gridSpan w:val="4"/>
          </w:tcPr>
          <w:p>
            <w:pPr>
              <w:spacing w:after="0"/>
              <w:rPr>
                <w:sz w:val="24"/>
                <w:szCs w:val="24"/>
                <w:color w:val="auto"/>
              </w:rPr>
            </w:pPr>
          </w:p>
        </w:tc>
        <w:tc>
          <w:tcPr>
            <w:tcW w:w="3020" w:type="dxa"/>
            <w:vAlign w:val="bottom"/>
            <w:gridSpan w:val="3"/>
          </w:tcPr>
          <w:p>
            <w:pPr>
              <w:jc w:val="right"/>
              <w:ind w:right="400"/>
              <w:spacing w:after="0"/>
              <w:rPr>
                <w:sz w:val="20"/>
                <w:szCs w:val="20"/>
                <w:color w:val="auto"/>
              </w:rPr>
            </w:pPr>
            <w:r>
              <w:rPr>
                <w:rFonts w:ascii="Arial" w:cs="Arial" w:eastAsia="Arial" w:hAnsi="Arial"/>
                <w:sz w:val="18"/>
                <w:szCs w:val="18"/>
                <w:color w:val="auto"/>
              </w:rPr>
              <w:t>58</w:t>
            </w:r>
          </w:p>
        </w:tc>
        <w:tc>
          <w:tcPr>
            <w:tcW w:w="3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Fluidigm Corporation:</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loss, of stockholders’ equity, and of cash flows present fairly, in all material respects, the financial position of Fluidigm Corporation and its subsidiaries at December 31, 2016, and December 31, 2015, and the results of their operations and their cash flows for each of the two years in the period ended December 31, 2016 in conformity with accounting principles generally accepted in the United States of America. In addition, in our opinion, the financial statement schedule listed in the accompanying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the manner in which it classifies deferred tax assets and liabilities in 2016 due to the adoption of Accounting Standards Update 2015-17, </w:t>
      </w:r>
      <w:r>
        <w:rPr>
          <w:rFonts w:ascii="Arial" w:cs="Arial" w:eastAsia="Arial" w:hAnsi="Arial"/>
          <w:sz w:val="18"/>
          <w:szCs w:val="18"/>
          <w:i w:val="1"/>
          <w:iCs w:val="1"/>
          <w:color w:val="auto"/>
        </w:rPr>
        <w:t>Balance Sheet Classification of Deferred Taxes.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42" w:right="279" w:bottom="1440" w:gutter="0" w:footer="0" w:header="0"/>
        </w:sectPr>
      </w:pPr>
    </w:p>
    <w:bookmarkStart w:id="62" w:name="page63"/>
    <w:bookmarkEnd w:id="62"/>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Fluidigm Corporation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audited the consolidated balance sheet of Fluidigm Corporation as of December 31, 2014, and the related consolidated statements of operations, comprehensive loss, stockholders’ equity, and cash flows for the year then ended. Our audit also included the financial statement schedule listed in the Index at Item 15(2). These financial statements and schedule are the responsibility of the Company’s management. Our responsibility is to express an opinion on these financial statements and schedule based on our audit.</w:t>
      </w:r>
    </w:p>
    <w:p>
      <w:pPr>
        <w:spacing w:after="0" w:line="18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Fluidigm Corporation at December 31, 2014, and the consolidated results of its operations and its cash flows for the year then ended,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7"/>
          <w:szCs w:val="17"/>
          <w:color w:val="auto"/>
        </w:rPr>
        <w:t>/s/ Ernst &amp; Young LLP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3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65,855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Accounts receivable (net of allowances of $502 and $103 at December 31, 2016 and 2015,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17,924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96,671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144,095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15,258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79,800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91,000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306,395</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370,050</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3,553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revenue, current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9,419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194,951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194,673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23,595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revenue, non-current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4,398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253,162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255,149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Preferred stock, $0.001 par value, 10,000 shares authorized, no shares issued and outstanding at either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2016 or 2015</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3"/>
              </w:rPr>
              <w:t>Common stock: $0.001 par value, 200,000 shares authorized at December 31, 2016 and 2015; 29,208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28,844 shares issued and outstanding at December 31, 2016 and 2015,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479,508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114,901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306,395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370,050</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42" w:right="239" w:bottom="1440" w:gutter="0" w:footer="0" w:header="0"/>
          <w:type w:val="continuous"/>
        </w:sectPr>
      </w:pPr>
    </w:p>
    <w:bookmarkStart w:id="64" w:name="page65"/>
    <w:bookmarkEnd w:id="64"/>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89,003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107,071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104,446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116,456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39,511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43,423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71,324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10,696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177,636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164,867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168,292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4,875</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(52,830)</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51"/>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27,768</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2" w:right="239" w:bottom="1440" w:gutter="0" w:footer="0" w:header="0"/>
        </w:sectPr>
      </w:pPr>
    </w:p>
    <w:bookmarkStart w:id="65" w:name="page66"/>
    <w:bookmarkEnd w:id="65"/>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(52,894)</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2" w:right="239" w:bottom="1440" w:gutter="0" w:footer="0" w:header="0"/>
        </w:sectPr>
      </w:pPr>
    </w:p>
    <w:bookmarkStart w:id="66" w:name="page67"/>
    <w:bookmarkEnd w:id="66"/>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8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25,811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7"/>
              </w:rPr>
              <w:t>Issuance of common stock upon purchase of</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DVS</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76,805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76,807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Vested DVS stock options converted to</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equivalent vested options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9"/>
              </w:rPr>
              <w:t>Issuance of common stock upon exercise of</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80"/>
              <w:spacing w:after="0"/>
              <w:rPr>
                <w:sz w:val="20"/>
                <w:szCs w:val="20"/>
                <w:color w:val="auto"/>
              </w:rPr>
            </w:pPr>
            <w:r>
              <w:rPr>
                <w:rFonts w:ascii="Arial" w:cs="Arial" w:eastAsia="Arial" w:hAnsi="Arial"/>
                <w:sz w:val="18"/>
                <w:szCs w:val="18"/>
                <w:color w:val="auto"/>
                <w:w w:val="94"/>
              </w:rPr>
              <w:t>stock options for cash and release of restricted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28,341</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461,362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Issuance of common stock upon exercise of</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stock options for cash and release of restricted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units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Gain on escrow settlement</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28,844</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479,508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Issuance of common stock upon exercise of</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stock options for cash and release of restricted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units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(75,985)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29,208</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493,441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742" w:right="259" w:bottom="1440" w:gutter="0" w:footer="0" w:header="0"/>
        </w:sectPr>
      </w:pPr>
    </w:p>
    <w:bookmarkStart w:id="67" w:name="page68"/>
    <w:bookmarkEnd w:id="67"/>
    <w:p>
      <w:pPr>
        <w:ind w:left="45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(75,985)</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(53,315)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(52,830)</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6,738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20,940</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Acquisition-related share-based awards acceleration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developed technology</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9,800</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Non-cash charges for sale of inventory revalued at the date of acquisition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items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from escrow settlement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Gain from sale of investment in Verinata</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10,521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(6,162)</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(39,098)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(34,696)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(22,623)</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Acquisition, net of cash acquired</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(113,190)</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(38,594)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(132,644)</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sales and maturities of investments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86,431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103,369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74,520</w:t>
            </w:r>
          </w:p>
        </w:tc>
        <w:tc>
          <w:tcPr>
            <w:tcW w:w="0" w:type="dxa"/>
            <w:vAlign w:val="bottom"/>
          </w:tcPr>
          <w:p>
            <w:pPr>
              <w:spacing w:after="0"/>
              <w:rPr>
                <w:sz w:val="1"/>
                <w:szCs w:val="1"/>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investment in Verinata</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Purchase of intangible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(7,403)</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45,102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25,744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(178,385)</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issuance of convertible notes, net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195,213</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through stock plan, net of tax payment</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5,113</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200,326</w:t>
            </w:r>
          </w:p>
        </w:tc>
        <w:tc>
          <w:tcPr>
            <w:tcW w:w="0" w:type="dxa"/>
            <w:vAlign w:val="bottom"/>
          </w:tcPr>
          <w:p>
            <w:pPr>
              <w:spacing w:after="0"/>
              <w:rPr>
                <w:sz w:val="1"/>
                <w:szCs w:val="1"/>
                <w:color w:val="auto"/>
              </w:rPr>
            </w:pPr>
          </w:p>
        </w:tc>
      </w:tr>
      <w:tr>
        <w:trPr>
          <w:trHeight w:val="25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50"/>
        </w:trPr>
        <w:tc>
          <w:tcPr>
            <w:tcW w:w="67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5,928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29,117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35,261</w:t>
            </w:r>
          </w:p>
        </w:tc>
        <w:tc>
          <w:tcPr>
            <w:tcW w:w="0" w:type="dxa"/>
            <w:vAlign w:val="bottom"/>
          </w:tcPr>
          <w:p>
            <w:pPr>
              <w:spacing w:after="0"/>
              <w:rPr>
                <w:sz w:val="1"/>
                <w:szCs w:val="1"/>
                <w:color w:val="auto"/>
              </w:rPr>
            </w:pPr>
          </w:p>
        </w:tc>
      </w:tr>
      <w:tr>
        <w:trPr>
          <w:trHeight w:val="283"/>
        </w:trPr>
        <w:tc>
          <w:tcPr>
            <w:tcW w:w="67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35,045</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29,117</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33,713</w:t>
            </w:r>
          </w:p>
        </w:tc>
        <w:tc>
          <w:tcPr>
            <w:tcW w:w="0" w:type="dxa"/>
            <w:vAlign w:val="bottom"/>
          </w:tcPr>
          <w:p>
            <w:pPr>
              <w:spacing w:after="0"/>
              <w:rPr>
                <w:sz w:val="1"/>
                <w:szCs w:val="1"/>
                <w:color w:val="auto"/>
              </w:rPr>
            </w:pPr>
          </w:p>
        </w:tc>
      </w:tr>
      <w:tr>
        <w:trPr>
          <w:trHeight w:val="25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2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and options related to acquisition</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78,196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380"/>
          </w:cols>
          <w:pgMar w:left="260" w:top="742"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80"/>
          </w:cols>
          <w:pgMar w:left="260" w:top="742" w:right="2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We create, manufacture, and market innovative technologies and tools for life sciences research. We sell our instruments to leading academic research institutions, clinical research laboratories, and biopharmaceutical, biotechnology and agricultural biotechnology, or Ag-Bio companies. Our technologies and tools are directed at the analysis of DNA, RNA and proteins in a variety of different sample types, from individual cells to bulk tissue.</w:t>
      </w:r>
    </w:p>
    <w:p>
      <w:pPr>
        <w:spacing w:after="0" w:line="166"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On February 13, 2014, we completed our acquisition of DVS Sciences, Inc., a Delaware corporation (DVS) for approximately $199.9 million and assumed all outstanding DVS stock options and unvested restricted stock, pursuant to a merger agreement dated as of January 28, 2014.</w:t>
      </w:r>
    </w:p>
    <w:p>
      <w:pPr>
        <w:spacing w:after="0" w:line="251" w:lineRule="exact"/>
        <w:rPr>
          <w:sz w:val="20"/>
          <w:szCs w:val="20"/>
          <w:color w:val="auto"/>
        </w:rPr>
      </w:pPr>
    </w:p>
    <w:p>
      <w:pPr>
        <w:ind w:right="7860" w:firstLine="8"/>
        <w:spacing w:after="0" w:line="566" w:lineRule="auto"/>
        <w:tabs>
          <w:tab w:leader="none" w:pos="1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2016,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Prior period amounts, which do not affect total revenue, total costs and expenses, loss from operations or net loss, were reclassified to conform to the current period presentation as follows:</w:t>
      </w:r>
    </w:p>
    <w:p>
      <w:pPr>
        <w:spacing w:after="0" w:line="170" w:lineRule="exact"/>
        <w:rPr>
          <w:sz w:val="20"/>
          <w:szCs w:val="20"/>
          <w:color w:val="auto"/>
        </w:rPr>
      </w:pPr>
    </w:p>
    <w:p>
      <w:pPr>
        <w:ind w:left="660" w:right="5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Unamortized debt issuance costs of $1.0 million as of December 31, 2015 were reclassified from other non-current assets to a deduction from Convertible Notes, net in the consolidated balance sheets, as a result of adopting ASU 2015-03 in the first quarter of 2016;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from customers in Japan is included in revenue generated in Asia-Pacific.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income/loss, a separate component of stockholders’ equity. Income and expense accounts are translated at monthly average exchange rates during the year.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convertible notes. Our cash equivalents, investments, accounts receivable, and accounts payable have short maturity or payment periods. Accordingly, their carrying values approximated their fair values at December 31, 2016 and 2015. The convertible notes are presented at their carrying value, with fair value disclosures made in Note 5. As a basis for considering fair value, we follow a three-tier value hierarchy, which prioritizes the inputs used in measuring fair value as follows: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2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8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2016, 2015, or 2014, and no single customer represented more than 10% of total accounts receivable at December 31, 2016, 2015, or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70" w:name="page71"/>
    <w:bookmarkEnd w:id="70"/>
    <w:p>
      <w:pPr>
        <w:jc w:val="both"/>
        <w:ind w:right="60" w:firstLine="432"/>
        <w:spacing w:after="0" w:line="264"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Inventories are stated at the lower of cost (on a first-in, first-out basis) or market. Inventory costs include direct materials, direct labor, and normal manufacturing overhead. Finished goods that are used for research and development are expensed as consumed or depreciated over their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and Long-Lived Assets</w:t>
      </w:r>
    </w:p>
    <w:p>
      <w:pPr>
        <w:spacing w:after="0" w:line="229"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Property and equipment, including leasehold improvements, are stated at cost less accumulated depreciation. Accumulated depreciation is calculated using the straight-line method over the estimated useful lives of the assets, which range from three to seven years. Leasehold improvements are amortized using the straight-line method over the estimated useful lives of the assets or the remaining term of the lease, whichever is shorter. Depreciation expense for the years ended December 31, 2016, 2015 and 2014 was $5.1 million, $3.6 million and $3.0 million, respectively.</w:t>
      </w:r>
    </w:p>
    <w:p>
      <w:pPr>
        <w:spacing w:after="0" w:line="17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22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accompanying consolidated statement of operations for the year ended December 31, 2015. In January 2016, we received payment of $2.3 million and it was recorded in net cash provided by investing activities in the consolidated statement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intangible assets include developed technology, patents and licenses. We evaluate our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on intangible assets for any of the periods presented herein.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584"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48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generate revenue from sales of our products, services, license agreements, and government grants. Our products consist of instruments and consumables, including IFCs, assays, and reagents. Our service revenue consists of post-warranty service contracts, preventive maintenance plans, instrument parts, installation, and training.</w:t>
      </w:r>
    </w:p>
    <w:p>
      <w:pPr>
        <w:spacing w:after="0" w:line="18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 among other things, reviewing contractual terms and conditions related to payment. Delivery occurs when there is a transfer of title and risk of loss passes to the customer. Revenue excludes taxes collected from our customers.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and Service Revenue</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and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93" w:lineRule="exact"/>
        <w:rPr>
          <w:sz w:val="20"/>
          <w:szCs w:val="20"/>
          <w:color w:val="auto"/>
        </w:rPr>
      </w:pPr>
    </w:p>
    <w:p>
      <w:pPr>
        <w:ind w:right="200" w:firstLine="432"/>
        <w:spacing w:after="0" w:line="258"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its relative selling price. We may use our best estimate of selling price for</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individual deliverables when vendor specific objective evidence or third-party evidence is unavailable. A delivered item is considered to be a separate unit of accounting when it has value to the customer on a stand-alone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products, other than service contracts, are typically delivered within a short time frame, generally within one to three months of the contract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contracts are entered into for terms of one to three years, following the expiration of the warranty period.</w:t>
      </w:r>
    </w:p>
    <w:p>
      <w:pPr>
        <w:spacing w:after="0" w:line="21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Our products are generally sold without the right of return. Amounts received before revenue recognition criteria are met are classified in the consolidated balance sheets as deferred revenue or customer deposits, depending on the terms of the arrangement.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have received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36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$2.3 million, $2.9 million and $4.2 million during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92"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account for stock options and restricted stock units granted to employees and directors based on the fair value of the awards. We recognize stock-based compensation expense on a straight-line basis over the requisite service periods. For performance-based stock awards, stock-based compensation expense is recognized over the requisite service period when the achievement of each individual performance goal becomes probable.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24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580" w:right="339" w:bottom="1440" w:gutter="0" w:footer="0" w:header="0"/>
        </w:sectPr>
      </w:pPr>
    </w:p>
    <w:bookmarkStart w:id="73" w:name="page74"/>
    <w:bookmarkEnd w:id="73"/>
    <w:p>
      <w:pPr>
        <w:ind w:right="60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2016, 2015, and 2014 are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 Currency Translation</w:t>
            </w: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 Gain (Loss) on</w:t>
            </w:r>
          </w:p>
        </w:tc>
        <w:tc>
          <w:tcPr>
            <w:tcW w:w="140" w:type="dxa"/>
            <w:vAlign w:val="bottom"/>
          </w:tcPr>
          <w:p>
            <w:pPr>
              <w:spacing w:after="0"/>
              <w:rPr>
                <w:sz w:val="14"/>
                <w:szCs w:val="14"/>
                <w:color w:val="auto"/>
              </w:rPr>
            </w:pPr>
          </w:p>
        </w:tc>
        <w:tc>
          <w:tcPr>
            <w:tcW w:w="2020" w:type="dxa"/>
            <w:vAlign w:val="bottom"/>
          </w:tcPr>
          <w:p>
            <w:pPr>
              <w:jc w:val="right"/>
              <w:ind w:right="395"/>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202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Comprehensive Income (Loss)</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384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De minimus amounts of unrealized gains and losses have been reclassified into the consolidated statement of operations for the years ended December 31, 2015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combination are generally recorded at their fair values at the date of acquisition. The excess of purchase price over the fair value of assets acquired and liabilities assumed is recorded as goodwill. Determining fair value of identifiable assets, particularly intangibles, and liabilities acquired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22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values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that the carrying amount of an asset may not be recoverable. If any indicator of impairment exists, we assess the recoverability of the affected intangible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our common stock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4" w:name="page75"/>
    <w:bookmarkEnd w:id="74"/>
    <w:p>
      <w:pPr>
        <w:ind w:right="14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92"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awards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4,622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8,220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7,503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May 2016, the FASB issued ASU 2016-12, which provides narrow scope improvements and practical expedients related to ASU 2014-09. The improvements address completed contracts and contract modifications at transition, non-cash consideration, the presentation of sales taxes and other taxes collected from customers, and assessment of collectability when determining whether a transaction represents a valid contract. On July 7, 2015, the FASB amended ASU 2014-09 to defer the effective date by one year with early adoption permitted as of the original effective date. ASU 2014-09 and ASU 2016-12 will be effective for our fiscal year beginning January 1, 2018, with early adoption permitted. While we have not completed our assessment of the new revenue recognition standard, we currently expect that this new standard will not have a material impact on our consolidated financial statements. We expect to adopt ASU 2014-09 in the first quarter of 2018.</w:t>
      </w:r>
    </w:p>
    <w:p>
      <w:pPr>
        <w:spacing w:after="0" w:line="17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ASU 2015-03 was effective for our interim and annual financial statements beginning in the first quarter of 2016. We applied this guidance in our financial statements commencing the first quarter of 2016. Unamortized debt issuance costs of $1.0 million as of December 31, 2015 were reclassified from other non-current assets to a deduction from Convertible Notes, net in the consolidated balance sheets.</w:t>
      </w:r>
    </w:p>
    <w:p>
      <w:pPr>
        <w:spacing w:after="0" w:line="17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It will be effective for our interim and annual financial statements beginning in the first quarter of 2017 and early adoption is permitted. We will adopt this standard in the first quarter of 2017. The adoption of this standard is not expected to have a material impact on our consolidated financial statements.</w:t>
      </w:r>
    </w:p>
    <w:p>
      <w:pPr>
        <w:spacing w:after="0" w:line="17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effective for annual periods beginning after December 15, 2016.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We elected to early adopt this guidance in the fourth quarter of 2016 on a prospective basis. Prior periods were not retrospectively adjusted.</w:t>
      </w:r>
    </w:p>
    <w:p>
      <w:pPr>
        <w:spacing w:after="0" w:line="18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with the exception of short-term leases. For lessees, leases will continue to be classified as either operating or finance leases in the income statement. Lessor accounting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8" w:right="239" w:bottom="1440" w:gutter="0" w:footer="0" w:header="0"/>
        </w:sectPr>
      </w:pPr>
    </w:p>
    <w:bookmarkStart w:id="75" w:name="page76"/>
    <w:bookmarkEnd w:id="75"/>
    <w:p>
      <w:pPr>
        <w:ind w:right="80" w:firstLine="405"/>
        <w:spacing w:after="0" w:line="272"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This ASU simplifies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employee taxes paid when an employer withholds shares for tax-withholding purposes. ASU 2016-09 will be effective for our fiscal year beginning January 1, 2017. We will adopt this standard in the first quarter of 2017 by recording the cumulative impact of applying this guidance to retained earnings, which is not expected to be material. We will also elect to account for forfeitures as they occur, as permitted by ASU 2016-09.</w:t>
      </w:r>
    </w:p>
    <w:p>
      <w:pPr>
        <w:spacing w:after="0" w:line="17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ASU 2016-18 will be effective for our fiscal year beginning after January 1, 2018, with early adoption permitted. The adoption of this ASU is not expected to have a material impact on our consolidated financial statements.</w:t>
      </w:r>
    </w:p>
    <w:p>
      <w:pPr>
        <w:spacing w:after="0" w:line="17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new guidance intends to simplify the subsequent measurement of goodwill. The ASU eliminates the requirement for an entity to calculate the implied fair value of goodwill to measure a goodwill impairment charge. Instead, an entity will perform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adoption of this ASU and cannot estimate the financial statement impact of adoption.</w:t>
      </w:r>
    </w:p>
    <w:p>
      <w:pPr>
        <w:spacing w:after="0" w:line="16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There have been no other changes in accounting standards issued by the FASB during the year ended December 31, 2016 that are expected to have a material impact on our financial position, results of operations or cash flows.</w:t>
      </w:r>
    </w:p>
    <w:p>
      <w:pPr>
        <w:spacing w:after="0" w:line="329" w:lineRule="exact"/>
        <w:rPr>
          <w:sz w:val="20"/>
          <w:szCs w:val="20"/>
          <w:color w:val="auto"/>
        </w:rPr>
      </w:pPr>
    </w:p>
    <w:p>
      <w:pPr>
        <w:ind w:right="9580" w:firstLine="8"/>
        <w:spacing w:after="0" w:line="566" w:lineRule="auto"/>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 net Developed Technology</w:t>
      </w:r>
    </w:p>
    <w:p>
      <w:pPr>
        <w:spacing w:after="0" w:line="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expense for the years ended December 31, 2016, 2015 and 2014 was $11.2 million, $11.2 million and $9.8 million, respectively. For further discussion related to intangible assets acquired in 2014 from the DVS acquisition, see Note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On June 28, 2013, we acquired certain patents, patent applications, and licenses from Helicos Biosciences Corporation (Helicos) relating to Helicos’ next-generation sequencing technology. The rights acquired by us are subject to certain licenses and sublicenses granted by Helicos prior to or contemporaneously with our acquisition. The assets were acquired for $1.0 million and we incurred transaction costs of approximately $0.3 million. The patents, patent applications, and licenses have an alternative future use and, as a result, the acquired assets and transaction costs are capitalized as intangible assets and are included in other non-current assets. The acquired assets from Helicos are being amortized to research and development expense over their useful life of ten years. Related amortization expense was $127,000 for each of the years ended 2016, 2015 and 2014 .</w:t>
      </w:r>
    </w:p>
    <w:p>
      <w:pPr>
        <w:spacing w:after="0" w:line="16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November 4, 2015, we entered into a patent purchase agreement with PerkinElmer Health Sciences, Inc.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between Fluidigm Canada Inc. and PerkinElmer. Accordingly, we have no further financial obligations to PerkinElmer under the Original License Agreement. The Patents are being amortized to cost of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6" w:name="page77"/>
    <w:bookmarkEnd w:id="76"/>
    <w:p>
      <w:pPr>
        <w:ind w:right="760"/>
        <w:spacing w:after="0" w:line="277" w:lineRule="auto"/>
        <w:rPr>
          <w:sz w:val="20"/>
          <w:szCs w:val="20"/>
          <w:color w:val="auto"/>
        </w:rPr>
      </w:pPr>
      <w:r>
        <w:rPr>
          <w:rFonts w:ascii="Arial" w:cs="Arial" w:eastAsia="Arial" w:hAnsi="Arial"/>
          <w:sz w:val="18"/>
          <w:szCs w:val="18"/>
          <w:color w:val="auto"/>
        </w:rPr>
        <w:t>revenue through their useful life. Related amortization expense for the years ended December 31, 2016 and 2015 was $0.9 million and $0.1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June 30, 2011, we settled certain litigation and entered into a series of patent license agreements with Life Technologies Corporation (now part of Thermo Fisher Scientific) and its subsidiary, Applied Biosystems, LLC (collectively, Life). The agreements resulted in a net $3.0 million payment by us to Life, which was recognized as a litigation settlement expense. The agreements also provide for various royalty payments on future sales of certain products by each of the parties. Such royalty payments or receipts have not been and are not expected to be material to us. Under the terms of the agreements, in July 2011, we paid Life $2.0 million in connection with the exercise of our option to limit or preclude certain patent litigation between us and Life for a period of two to four years. As a result, subject to certain exceptions, Life may not initiate litigation under its patents existing as of June 30, 2011 against us, with respect to its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We recognized $0.3 million and $0.5 million of amortization expense during 2015 and 2014, respectively. The patent licenses were fully amortized in 2015.</w:t>
      </w:r>
    </w:p>
    <w:p>
      <w:pPr>
        <w:spacing w:after="0" w:line="173"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We recognized $0.3 million in cost of product revenue during each year of 2016, 2015, and 2014. Our future royalty payments are not expected to be material.</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include developed technology as a result of the DVS acquisition and other intangible assets included in the Other non-current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5"/>
              </w:rPr>
              <w:t>December 31, 2016</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3"/>
                <w:szCs w:val="13"/>
                <w:color w:val="auto"/>
              </w:rPr>
            </w:pPr>
          </w:p>
        </w:tc>
        <w:tc>
          <w:tcPr>
            <w:tcW w:w="9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6,691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86,491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5"/>
              </w:rPr>
              <w:t>December 31, 2015</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3"/>
                <w:szCs w:val="13"/>
                <w:color w:val="auto"/>
              </w:rPr>
            </w:pPr>
          </w:p>
        </w:tc>
        <w:tc>
          <w:tcPr>
            <w:tcW w:w="90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98,894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77" w:name="page78"/>
    <w:bookmarkEnd w:id="77"/>
    <w:p>
      <w:pPr>
        <w:ind w:right="18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December 31, 2016, the annual amortization expense for intangible assets, net is expected to be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182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Amortization Expense</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12,325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12,234</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12,079</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25,229</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86,491</w:t>
            </w: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187"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contractual price for the acquisition was $207.5 million, subject to certain adjustments as specified in the merger agreement. The measurement period for the acquisition ended February 12, 2015. The aggregate purchase price was $199.9 million, as detailed in the table below (in thousands):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126,048</w:t>
            </w:r>
          </w:p>
        </w:tc>
      </w:tr>
      <w:tr>
        <w:trPr>
          <w:trHeight w:val="270"/>
        </w:trPr>
        <w:tc>
          <w:tcPr>
            <w:tcW w:w="93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Issued 1,759,007 shares of Fluidigm common stock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76,805</w:t>
            </w: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202,853</w:t>
            </w:r>
          </w:p>
        </w:tc>
      </w:tr>
      <w:tr>
        <w:trPr>
          <w:trHeight w:val="270"/>
        </w:trPr>
        <w:tc>
          <w:tcPr>
            <w:tcW w:w="93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0"/>
        </w:trPr>
        <w:tc>
          <w:tcPr>
            <w:tcW w:w="93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4,039</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9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199,933</w:t>
            </w:r>
          </w:p>
        </w:tc>
      </w:tr>
      <w:tr>
        <w:trPr>
          <w:trHeight w:val="20"/>
        </w:trPr>
        <w:tc>
          <w:tcPr>
            <w:tcW w:w="9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20" w:hanging="328"/>
        <w:spacing w:after="0" w:line="271"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consolidated statements of operations.</w:t>
      </w:r>
    </w:p>
    <w:p>
      <w:pPr>
        <w:ind w:left="660" w:right="40" w:hanging="328"/>
        <w:spacing w:after="0" w:line="28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conjunction with the acquisition, we assumed all outstanding DVS stock options and unvested shares of restricted stock and converted, as of the Acquisition Date, the unvested stock options outstanding under the DVS stock option plan into unvested stock options to purchase approximately 143,000 shares of Fluidigm common stock and the unvested DVS restricted stock into approximately 186,000 shares of restricted Fluidigm common stock, retaining the original vesting schedules. These restricted shares have been included in the "Issuance of common stock upon purchase of DVS" line item in the Consolidated Statement of Stockholders' Equity.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170"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(Escrowed Shares). These Escrowed Shares comprised a portion of the merger consideration and were held in escrow to secure indemnification obligations under the merger agreement. Under the terms of the merger agreement, fifty percent (50.0%) of the aggregate shares subject to the indemnification escrow were eligible for release on March 13, 2015 (Initial Release Date), and the balance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8" w:name="page79"/>
    <w:bookmarkEnd w:id="78"/>
    <w:p>
      <w:pPr>
        <w:spacing w:after="0" w:line="289" w:lineRule="auto"/>
        <w:rPr>
          <w:sz w:val="20"/>
          <w:szCs w:val="20"/>
          <w:color w:val="auto"/>
        </w:rPr>
      </w:pPr>
      <w:r>
        <w:rPr>
          <w:rFonts w:ascii="Arial" w:cs="Arial" w:eastAsia="Arial" w:hAnsi="Arial"/>
          <w:sz w:val="16"/>
          <w:szCs w:val="16"/>
          <w:color w:val="auto"/>
        </w:rPr>
        <w:t>shares were subject to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16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results of DVS's operations have been included in the consolidated financial statements since the date of acquisition, including $20.7 million in revenue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22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340" w:type="dxa"/>
            <w:vAlign w:val="bottom"/>
          </w:tcPr>
          <w:p>
            <w:pPr>
              <w:spacing w:after="0"/>
              <w:rPr>
                <w:sz w:val="18"/>
                <w:szCs w:val="18"/>
                <w:color w:val="auto"/>
              </w:rPr>
            </w:pP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Allocation of Purchase Price</w:t>
            </w:r>
          </w:p>
        </w:tc>
      </w:tr>
      <w:tr>
        <w:trPr>
          <w:trHeight w:val="33"/>
        </w:trPr>
        <w:tc>
          <w:tcPr>
            <w:tcW w:w="9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7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9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7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9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199,933</w:t>
            </w:r>
          </w:p>
        </w:tc>
      </w:tr>
      <w:tr>
        <w:trPr>
          <w:trHeight w:val="20"/>
        </w:trPr>
        <w:tc>
          <w:tcPr>
            <w:tcW w:w="9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The $104.2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 only change to goodwill between the Acquisition Date and December 31, 2014 was an adjustment of $0.1 million to the deferred taxes liability resulting from the final tax analysis during the measurement period. There were no changes in goodwill between December 31, 2015 and December 31,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9" w:name="page80"/>
    <w:bookmarkEnd w:id="79"/>
    <w:p>
      <w:pPr>
        <w:ind w:right="80" w:firstLine="405"/>
        <w:spacing w:after="0" w:line="308" w:lineRule="auto"/>
        <w:rPr>
          <w:sz w:val="20"/>
          <w:szCs w:val="20"/>
          <w:color w:val="auto"/>
        </w:rPr>
      </w:pPr>
      <w:r>
        <w:rPr>
          <w:rFonts w:ascii="Arial" w:cs="Arial" w:eastAsia="Arial" w:hAnsi="Arial"/>
          <w:sz w:val="17"/>
          <w:szCs w:val="17"/>
          <w:color w:val="auto"/>
        </w:rPr>
        <w:t>Goodwill is tested for impairment annually during the fourth quarter unless a triggering event requires an expedited analysis. During the fourth quarters of 2016 and 2015, we completed our annual impairment assessments and we concluded that goodwill was not impaired in any of these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22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Acquisition-related expenses were $10.7 million in 2014 and primarily included accelerated vesting of certain DVS restricted stock and options, and consulting, legal, and investment banking fees. These costs are included within the acquisition-related expenses line of the consolidated statements of operations. No such costs were incurred in 2016 or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Results</w:t>
      </w:r>
    </w:p>
    <w:p>
      <w:pPr>
        <w:spacing w:after="0" w:line="22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unaudited financial information in the table below summarizes our results of operations combined with DVS's as though the companies were combined as of the beginning of each of the years presented. The unaudited pro forma information does not necessarily reflect the actual results of operations had the acquisition been consummated at the beginning of the fiscal reporting periods indicated nor is it indicative of future operating results.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vMerge w:val="restart"/>
          </w:tcPr>
          <w:p>
            <w:pPr>
              <w:ind w:left="40"/>
              <w:spacing w:after="0"/>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2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120,245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98,459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(55,249)</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(37,906)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unaudited pro forma financial information for the year ended December 31, 2014 includes adjustments related to stock-based compensation, amortization of developed technology, interest expense, and deferred tax liability of $1.4 million, $1.4 million, $1.0 million, and $371,000, respectively, and includes non-recurring adjustments representing the total acquisition-related expenses discussed above. The unaudited pro forma financial information for the year ended December 31, 2013 includes adjustments related to stock-based compensation, amortization of developed technology, interest expense, and deferred tax liability of $9.2 million, $11.2 million, $5.8 million, and $3.0 million,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category within the fair value hierarchy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2016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Gross 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Short-Term</w:t>
            </w: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8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Marketable</w:t>
            </w: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8"/>
                <w:szCs w:val="18"/>
                <w:color w:val="auto"/>
              </w:rPr>
              <w:t>Level I:</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8"/>
                <w:szCs w:val="18"/>
                <w:color w:val="auto"/>
              </w:rPr>
              <w:t>Level II:</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U.S. government and agency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24,385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59,433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35,045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24,385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December 31, 2015</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Gross Unrealized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Short-Term</w:t>
            </w: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8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Marketable</w:t>
            </w:r>
          </w:p>
        </w:tc>
        <w:tc>
          <w:tcPr>
            <w:tcW w:w="160" w:type="dxa"/>
            <w:vAlign w:val="bottom"/>
          </w:tcPr>
          <w:p>
            <w:pPr>
              <w:spacing w:after="0"/>
              <w:rPr>
                <w:sz w:val="12"/>
                <w:szCs w:val="12"/>
                <w:color w:val="auto"/>
              </w:rPr>
            </w:pPr>
          </w:p>
        </w:tc>
        <w:tc>
          <w:tcPr>
            <w:tcW w:w="9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17,889</w:t>
            </w:r>
          </w:p>
        </w:tc>
        <w:tc>
          <w:tcPr>
            <w:tcW w:w="12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8"/>
                <w:szCs w:val="18"/>
                <w:color w:val="auto"/>
              </w:rPr>
              <w:t>Level I:</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220"/>
              <w:spacing w:after="0"/>
              <w:rPr>
                <w:sz w:val="20"/>
                <w:szCs w:val="20"/>
                <w:color w:val="auto"/>
              </w:rPr>
            </w:pPr>
            <w:r>
              <w:rPr>
                <w:rFonts w:ascii="Arial" w:cs="Arial" w:eastAsia="Arial" w:hAnsi="Arial"/>
                <w:sz w:val="18"/>
                <w:szCs w:val="18"/>
                <w:color w:val="auto"/>
              </w:rPr>
              <w:t>Level II:</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U.S. government and agency</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65,855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101,537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101,465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65,855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contractual maturity periods of $24.4 million of debt securities are within one year from December 31, 2016.</w:t>
      </w:r>
    </w:p>
    <w:p>
      <w:pPr>
        <w:spacing w:after="0" w:line="22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year ended December 31, 2016, and there were no changes in the valuation techniques used.</w:t>
      </w:r>
    </w:p>
    <w:p>
      <w:pPr>
        <w:spacing w:after="0" w:line="1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years ended December 31, 2016, 2015, and 2014.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estimated fair value of the 2.75% Convertible Notes is based on a market approach (See Note 7 for Convertible Notes). The estimated fair value was approximately $139.7 million and $118.8 million (par value $201.3 million) as of December 31, 2016 and December 31, 2015, respectively,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26" w:right="239" w:bottom="1440" w:gutter="0" w:footer="0" w:header="0"/>
        </w:sectPr>
      </w:pPr>
    </w:p>
    <w:bookmarkStart w:id="81" w:name="page82"/>
    <w:bookmarkEnd w:id="81"/>
    <w:p>
      <w:pPr>
        <w:ind w:right="9280" w:firstLine="8"/>
        <w:spacing w:after="0" w:line="566" w:lineRule="auto"/>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Data Cash and Cash Equivalents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Cash and cash equivalents consisted of the following as of December 31, 2016 and 2015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35,045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29,117</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Inventories consisted of the following as of December 31, 2016 and 2015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20,114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w w:val="97"/>
              </w:rPr>
              <w:t>Property and equipment consisted of the following as of December 31, 2016 and 2015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2"/>
                <w:szCs w:val="22"/>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Laboratory and manufacturing equipment</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23,670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Office furniture and fixtures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16,525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Activity for our warranty accrual for the years ended December 31, 2016 and 2015, which are included in other accrued liabilities, is summarized below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37"/>
        </w:trPr>
        <w:tc>
          <w:tcPr>
            <w:tcW w:w="8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20"/>
                <w:szCs w:val="20"/>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1,178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672</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1,023</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1,076</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364" w:right="2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7. Convertible Notes</w:t>
      </w:r>
    </w:p>
    <w:p>
      <w:pPr>
        <w:spacing w:after="0" w:line="22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188"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February 2014, we received $195.2 million, net of underwriting discounts, from the issuance of the Notes and incurred approximately $1.1 million in offering-related expenses. The underwriting discount of $6.0 million and the debt issuance costs of $1.1 million were recorded as offsets to the proceeds.</w:t>
      </w:r>
    </w:p>
    <w:p>
      <w:pPr>
        <w:spacing w:after="0" w:line="1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(now Fluidigm Sciences Inc.) (See Note 4). Interest expense related to the Notes was approximately $5.8 million, $5.8 million and $5.3 million during 2016, 2015 and 2014, respectively. Accrued interest related to the Notes as of December 31, 2016 and 2015 were both $2.3 million, respectively, which were included in Other current liabilities. Approximately $5.5 million of interest under the Notes were paid for each year ended December 31, 2016 and 2015,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Notes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Notes</w:t>
            </w:r>
          </w:p>
        </w:tc>
        <w:tc>
          <w:tcPr>
            <w:tcW w:w="4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201,250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201,250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3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w:t>
            </w:r>
          </w:p>
        </w:tc>
        <w:tc>
          <w:tcPr>
            <w:tcW w:w="3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57"/>
        </w:trPr>
        <w:tc>
          <w:tcPr>
            <w:tcW w:w="4340" w:type="dxa"/>
            <w:vAlign w:val="bottom"/>
          </w:tcPr>
          <w:p>
            <w:pPr>
              <w:ind w:left="260"/>
              <w:spacing w:after="0"/>
              <w:rPr>
                <w:sz w:val="20"/>
                <w:szCs w:val="20"/>
                <w:color w:val="auto"/>
              </w:rPr>
            </w:pPr>
            <w:r>
              <w:rPr>
                <w:rFonts w:ascii="Arial" w:cs="Arial" w:eastAsia="Arial" w:hAnsi="Arial"/>
                <w:sz w:val="18"/>
                <w:szCs w:val="18"/>
                <w:color w:val="auto"/>
              </w:rPr>
              <w:t>Net carrying value of convertible notes</w:t>
            </w:r>
          </w:p>
        </w:tc>
        <w:tc>
          <w:tcPr>
            <w:tcW w:w="39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194,951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194,673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980" w:type="dxa"/>
            <w:vAlign w:val="bottom"/>
            <w:vMerge w:val="restart"/>
          </w:tcPr>
          <w:p>
            <w:pPr>
              <w:jc w:val="right"/>
              <w:ind w:right="2430"/>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83" w:name="page84"/>
    <w:bookmarkEnd w:id="83"/>
    <w:p>
      <w:pPr>
        <w:ind w:right="8680" w:firstLine="8"/>
        <w:spacing w:after="0" w:line="533" w:lineRule="auto"/>
        <w:tabs>
          <w:tab w:leader="none" w:pos="1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firstLine="432"/>
        <w:spacing w:after="0" w:line="257" w:lineRule="auto"/>
        <w:rPr>
          <w:sz w:val="20"/>
          <w:szCs w:val="20"/>
          <w:color w:val="auto"/>
        </w:rPr>
      </w:pPr>
      <w:r>
        <w:rPr>
          <w:rFonts w:ascii="Arial" w:cs="Arial" w:eastAsia="Arial" w:hAnsi="Arial"/>
          <w:sz w:val="18"/>
          <w:szCs w:val="18"/>
          <w:color w:val="auto"/>
        </w:rPr>
        <w:t>We have entered into various long-term non-cancelable operating lease agreements for equipment and facilities expiring at various times through 2026. We also leased office space under non-cancelable leases in the United States, Canada, Singapore, Japan, China, France and United Kingdom, with various expiration dates through March 2026. Certain facility leases also contain rent escalation clauses. Our lease payments are expensed on a straight-line basis over the life of the leases. Rental expense under operating leases, net of amortization of lease incentive, totaled $6.3 million, $5.2 million, and $4.0 million for 2016, 2015, and 2014,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under non-cancelable operating leases as of December 31, 2016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6"/>
                <w:szCs w:val="16"/>
                <w:color w:val="auto"/>
              </w:rPr>
            </w:pPr>
          </w:p>
        </w:tc>
        <w:tc>
          <w:tcPr>
            <w:tcW w:w="198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Minimum Lease Payments</w:t>
            </w:r>
          </w:p>
        </w:tc>
      </w:tr>
      <w:tr>
        <w:trPr>
          <w:trHeight w:val="250"/>
        </w:trPr>
        <w:tc>
          <w:tcPr>
            <w:tcW w:w="9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4,285</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4,445</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4,769</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2,550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2,605</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20,033</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2016, these commitments through the next two years were approximately $4.2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400" w:firstLine="405"/>
        <w:spacing w:after="0" w:line="276" w:lineRule="auto"/>
        <w:rPr>
          <w:sz w:val="20"/>
          <w:szCs w:val="20"/>
          <w:color w:val="auto"/>
        </w:rPr>
      </w:pPr>
      <w:r>
        <w:rPr>
          <w:rFonts w:ascii="Arial" w:cs="Arial" w:eastAsia="Arial" w:hAnsi="Arial"/>
          <w:sz w:val="17"/>
          <w:szCs w:val="17"/>
          <w:color w:val="auto"/>
        </w:rPr>
        <w:t>Since October 2015, we have been incurring legal expenses in the defense of claims by Thermo Fisher Scientific, Inc., (Thermo) against one of our employees. On December 21, 2015,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65"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As of December 31, 2016, we had an aggregate legal contingency accrual based on our estimate of the probable losses before considering insurance proceeds, if any, and does not include an estimate for legal fees expected to be incurred in connection with the loss contingency. The amount of our legal contingency accrual was not material as of December 31, 2016.</w:t>
      </w:r>
    </w:p>
    <w:p>
      <w:pPr>
        <w:spacing w:after="0" w:line="177" w:lineRule="exact"/>
        <w:rPr>
          <w:sz w:val="20"/>
          <w:szCs w:val="20"/>
          <w:color w:val="auto"/>
        </w:rPr>
      </w:pPr>
    </w:p>
    <w:p>
      <w:pPr>
        <w:ind w:right="9100" w:firstLine="8"/>
        <w:spacing w:after="0" w:line="604" w:lineRule="auto"/>
        <w:tabs>
          <w:tab w:leader="none" w:pos="18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jc w:val="both"/>
        <w:ind w:right="20" w:firstLine="432"/>
        <w:spacing w:after="0" w:line="264"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outstanding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6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board of directors sets the terms, conditions, and restrictions related to the grant of restricted stock units, including the number of restricted stock units to grant. Our board of directors also sets vesting criteria and, depending on the extent to which the criteria are met, our board of directors will determine the number of restricted stock units to be paid out. In general, RSUs vest on a quarterly basis over a period of four years from the date of grant, provided that no shares will vest during the first year of employment, at the end of which the shares that would have vested during the year will vest and the remaining shares will vest over the remaining 12 quarters, subject to the employees' continued employment.</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exercise price of any stock appreciation right shall be determined by our board of directors but will be no less than 100% of the fair market value of the underlying common stock on the date of grant. The stock appreciation rights expire upon the date determined by our board of directors but no later than ten years from the date of grant.</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2011 Plan had a total of 6,431,215 awards authorized for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229"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64" w:right="2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t>Activity under the 2011 Plan, the 2009 Plan, and the 1999 Plan is as follows (in thousands,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bottom w:val="single" w:sz="8" w:color="auto"/>
            </w:tcBorders>
            <w:gridSpan w:val="7"/>
          </w:tcPr>
          <w:p>
            <w:pPr>
              <w:jc w:val="right"/>
              <w:ind w:right="775"/>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rPr>
              <w:t>Shares Available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for Grant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per Share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5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Additional shares authorized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5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1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6"/>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 canceled</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2016</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3,560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Restricted Stock units:</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Nonvested and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w w:val="95"/>
              </w:rPr>
              <w:t>Weighted-Average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Outstanding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575"/>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RSUs granted</w:t>
            </w: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ind w:right="41"/>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RSUs canceled</w:t>
            </w: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determine stock-based compensation expense using the Black-Scholes option-pricing model and the following weighted-average assumptions: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6.0 years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5.9 years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5.9 years</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9.80</w:t>
            </w:r>
          </w:p>
        </w:tc>
      </w:tr>
      <w:tr>
        <w:trPr>
          <w:trHeight w:val="27"/>
        </w:trPr>
        <w:tc>
          <w:tcPr>
            <w:tcW w:w="6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Expected volatility is derived by combining data from our historical volatilities and historical volatilities of unrelated public companies within the life sciences industry. Each company’s historical volatility is weighted and combined to produce the single volatility factor used by us. The risk-free interest rate is based on the U.S. Treasury yield curve in effect at the time of grant for zero coupon U.S. Treasury notes with maturities approximately equal to the option’s expected life. Given our limited history as a public company, we used the “simplified” method to estimate expected lives of options granted to the various employee groups. The “simplified” method calculates the expected life of an option as the average of the time-to-vesting and the contractual life of the options. Forfeitures were estimated based on an analysis of actual forfeitures. We periodically evaluate the adequacy of our forfeiture rate based on actual forfeiture experience, analysis of employee turnover, and other factors. Each of these inputs is subjective and generally requires significant judgment by us. Also required to compute the fair value calculation of options is the fair value of the underlying common stock.</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grant stock options at exercise prices not less than the fair value of our common stock at the date of grant. The fair value of options granted is based on the closing price of our common stock on the date of grant as quoted on the NASDAQ Global Select Market.</w:t>
      </w:r>
    </w:p>
    <w:p>
      <w:pPr>
        <w:spacing w:after="0" w:line="17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fair value of RSUs granted to employees was estimated on the date of grant by multiplying the number of shares granted by the fair market value of our common stock on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68"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7"/>
          <w:szCs w:val="17"/>
          <w:color w:val="auto"/>
        </w:rPr>
        <w:t>Additional information regarding our stock options outstanding and exercisable as of December 31, 2016 is summarized in the following table: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Options Outstanding</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 Per Share</w:t>
            </w:r>
          </w:p>
        </w:tc>
        <w:tc>
          <w:tcPr>
            <w:tcW w:w="120" w:type="dxa"/>
            <w:vAlign w:val="bottom"/>
            <w:vMerge w:val="restart"/>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vMerge w:val="restart"/>
          </w:tcPr>
          <w:p>
            <w:pPr>
              <w:spacing w:after="0"/>
              <w:rPr>
                <w:sz w:val="13"/>
                <w:szCs w:val="13"/>
                <w:color w:val="auto"/>
              </w:rPr>
            </w:pPr>
          </w:p>
        </w:tc>
        <w:tc>
          <w:tcPr>
            <w:tcW w:w="1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8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Remaining Contractual Life</w:t>
            </w:r>
          </w:p>
        </w:tc>
        <w:tc>
          <w:tcPr>
            <w:tcW w:w="1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 Years)</w:t>
            </w:r>
          </w:p>
        </w:tc>
        <w:tc>
          <w:tcPr>
            <w:tcW w:w="1800" w:type="dxa"/>
            <w:vAlign w:val="bottom"/>
          </w:tcPr>
          <w:p>
            <w:pPr>
              <w:jc w:val="right"/>
              <w:ind w:right="35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$0.64 - $4.76</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$4.76 - $9.51</w:t>
            </w:r>
          </w:p>
        </w:tc>
        <w:tc>
          <w:tcPr>
            <w:tcW w:w="12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$9.52 - $14.27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$14.27 - $19.02</w:t>
            </w:r>
          </w:p>
        </w:tc>
        <w:tc>
          <w:tcPr>
            <w:tcW w:w="12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$19.03 - $23.78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$23.79 - $28.53</w:t>
            </w:r>
          </w:p>
        </w:tc>
        <w:tc>
          <w:tcPr>
            <w:tcW w:w="12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$28.54 - $33.29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$33.30 - $38.04</w:t>
            </w:r>
          </w:p>
        </w:tc>
        <w:tc>
          <w:tcPr>
            <w:tcW w:w="12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$38.05 - $42.80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$42.81 - $47.55</w:t>
            </w:r>
          </w:p>
        </w:tc>
        <w:tc>
          <w:tcPr>
            <w:tcW w:w="12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Options exercisable as of December 31, 2016 had a weighted-average remaining contractual life of 5.8 years, a weighted-average exercise price per share of $18.01, and an aggregate intrinsic value of $0.6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Options outstanding that have vested as of December 31, 2016 or are expected to vest in the future are summarized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12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160" w:type="dxa"/>
            <w:vAlign w:val="bottom"/>
          </w:tcPr>
          <w:p>
            <w:pPr>
              <w:spacing w:after="0"/>
              <w:rPr>
                <w:sz w:val="22"/>
                <w:szCs w:val="22"/>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2,442</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Expected to vest, net of estimated forfeitures</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932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vested and expected to vest, net of forfeitures</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3,374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260" w:hanging="316"/>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stock price on the last trading day of 2016, which was $7.28, and the exercise price of the options, multiplied by the number of in-the-money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intrinsic value of options exercised during 2016, 2015, and 2014 was $0.3 million, $13.7 million, and $12.8 million, respectively.</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total intrinsic value of RSUs vested and released during the year ended December 31, 2016, 2015 and 2014 were approximately $2.4 million, $1.8 million and $1.4 million, respectively. The intrinsic value of vested and released RSUs is calculated by multiplying the fair market value of our common stock on the vesting date by the number of shares vested. As of December 31, 2016, the number of RSUs outstanding and expected to vest was 883,570, with a total intrinsic value of $6.4 million. The intrinsic value of the outstanding and expected to vest RSUs is calculated based on the market value of the Company's closing stock price as of December 30, 2016 of $7.28, the last market trading day of 2016.</w:t>
      </w:r>
    </w:p>
    <w:p>
      <w:pPr>
        <w:spacing w:after="0" w:line="17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There were no stock-based compensation tax benefits recognized during 2016, 2015, or 2014. Capitalized stock-based compensation costs were insignificant at December 31, 2016, 2015, and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87" w:name="page88"/>
    <w:bookmarkEnd w:id="87"/>
    <w:p>
      <w:pPr>
        <w:ind w:right="200" w:firstLine="432"/>
        <w:spacing w:after="0" w:line="277" w:lineRule="auto"/>
        <w:rPr>
          <w:sz w:val="20"/>
          <w:szCs w:val="20"/>
          <w:color w:val="auto"/>
        </w:rPr>
      </w:pPr>
      <w:r>
        <w:rPr>
          <w:rFonts w:ascii="Arial" w:cs="Arial" w:eastAsia="Arial" w:hAnsi="Arial"/>
          <w:sz w:val="18"/>
          <w:szCs w:val="18"/>
          <w:color w:val="auto"/>
        </w:rPr>
        <w:t>As of December 31, 2016, there was $15.8 million of total unrecognized compensation cost related to stock-based compensation arrangements that is expected to be recognized over an average period of 2.3 years.</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During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The Company recognizes stock-based compensation expense over the vesting period of the performance awards when achievement of the performance criteria becomes probable. We did not recognize any expense related to these performance awards during 2016.</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loss before income taxes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(65,211)</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(14,966)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(80,177)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color w:val="auto"/>
                <w:w w:val="93"/>
              </w:rPr>
              <w:t>Significant components of our benefit for income taxes are as follows (in thousands):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67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benefit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Total benefit for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4,192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1380" w:type="dxa"/>
            <w:vAlign w:val="bottom"/>
            <w:gridSpan w:val="14"/>
          </w:tcPr>
          <w:p>
            <w:pPr>
              <w:ind w:left="420"/>
              <w:spacing w:after="0"/>
              <w:rPr>
                <w:sz w:val="20"/>
                <w:szCs w:val="20"/>
                <w:color w:val="auto"/>
              </w:rPr>
            </w:pPr>
            <w:r>
              <w:rPr>
                <w:rFonts w:ascii="Arial" w:cs="Arial" w:eastAsia="Arial" w:hAnsi="Arial"/>
                <w:sz w:val="18"/>
                <w:szCs w:val="18"/>
                <w:color w:val="auto"/>
                <w:w w:val="95"/>
              </w:rPr>
              <w:t>Reconciliation of income taxes at the statutory rate to the benefit from (provision for) income taxes recorded in the statements of operations is as</w:t>
            </w:r>
          </w:p>
        </w:tc>
        <w:tc>
          <w:tcPr>
            <w:tcW w:w="0" w:type="dxa"/>
            <w:vAlign w:val="bottom"/>
          </w:tcPr>
          <w:p>
            <w:pPr>
              <w:spacing w:after="0"/>
              <w:rPr>
                <w:sz w:val="1"/>
                <w:szCs w:val="1"/>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State tax credit (expense), net of federal benefit</w:t>
            </w:r>
          </w:p>
        </w:tc>
        <w:tc>
          <w:tcPr>
            <w:tcW w:w="2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research and development credit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Return to provision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8"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368" w:right="259" w:bottom="1440" w:gutter="0" w:footer="0" w:header="0"/>
          <w:type w:val="continuous"/>
        </w:sectPr>
      </w:pPr>
    </w:p>
    <w:bookmarkStart w:id="88" w:name="page89"/>
    <w:bookmarkEnd w:id="88"/>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123,913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104,291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7,185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126,044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(124,137)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 and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since our inception. The valuation allowance increased by $22.1 million and $14.0 million during 2016 and 2015, respectively. The change in valuation allowance is mainly due to a significant increase in the current year taxable loss and an increase in research development credits.</w:t>
      </w:r>
    </w:p>
    <w:p>
      <w:pPr>
        <w:spacing w:after="0" w:line="17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valuation allowances of $146.3 million and $124.1 million as of December 31, 2016 and 2015, respectively, primarily relate to temporary tax differences, net operating losses and research and development credits generated in the current and prior years. We believe it is more likely than not that U.S. federal, California, Japan and Singapore deferred tax assets relating to temporary differences, net operating losses and research and development credits are not realizable. As such, full valuation allowances have been applied against the deferred tax assets relating to jurisdictions of the federal U.S., the state of California, Japan and Singapore.</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reconciliation of the beginning and ending amount of the valuation allowance for the years ended December 31, 2016, 2015 and 2014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Valuation Allowance</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5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96,275</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5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5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56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110,167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earnings</w:t>
            </w:r>
          </w:p>
        </w:tc>
        <w:tc>
          <w:tcPr>
            <w:tcW w:w="5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Charges to other accounts</w:t>
            </w:r>
          </w:p>
        </w:tc>
        <w:tc>
          <w:tcPr>
            <w:tcW w:w="5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13,970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5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124,137</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5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5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56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146,285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60" w:type="dxa"/>
            <w:vAlign w:val="bottom"/>
            <w:vMerge w:val="restart"/>
          </w:tcPr>
          <w:p>
            <w:pPr>
              <w:jc w:val="right"/>
              <w:ind w:right="3710"/>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9" w:name="page90"/>
    <w:bookmarkEnd w:id="89"/>
    <w:p>
      <w:pPr>
        <w:ind w:left="440"/>
        <w:spacing w:after="0"/>
        <w:rPr>
          <w:sz w:val="20"/>
          <w:szCs w:val="20"/>
          <w:color w:val="auto"/>
        </w:rPr>
      </w:pPr>
      <w:r>
        <w:rPr>
          <w:rFonts w:ascii="Arial" w:cs="Arial" w:eastAsia="Arial" w:hAnsi="Arial"/>
          <w:sz w:val="16"/>
          <w:szCs w:val="16"/>
          <w:color w:val="auto"/>
        </w:rPr>
        <w:t>As of December 31, 2016, we had net operating loss carryforwards for U.S. federal income tax purposes of $376.0 million, which expire in the years</w:t>
      </w:r>
    </w:p>
    <w:p>
      <w:pPr>
        <w:spacing w:after="0" w:line="4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2021 through 2037, and U.S. federal research and development tax credits of $7.9 million, which expire in the years 2021 through 2037. As of December 31, 2016, we had net operating loss carryforwards for state income tax purposes of $186.4 million, which expire beginning in 2017 through 2037, and California research and development tax credits of $9.4 million, which do not expire. As of December 31, 2016, we had foreign net operating loss carryforwards of $2.5 million, which expire in the years 2017 through 2037.</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18, 2015, the Protecting Americans from Tax Hikes Act of 2015 was signed into law. This law establishes the permanency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credits. We recorded approximately $0.5 million which was fully offset by a valuation allowance in the current year.</w:t>
      </w:r>
    </w:p>
    <w:p>
      <w:pPr>
        <w:spacing w:after="0" w:line="2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2015, we completed a Section 382 analysis for the period from our inception in May 1999 through December 31, 2015, which excluded the net operating loss carryforwards for DVS prior to the acquisition, and determined that an ownership change as defined under Section 382 occurred in November 2001, which resulted in a reduction to our U.S. federal net operating losses by $1.2 million. In 2016, we performed a Section 382 analysis for the period from January 1, 2014 through December 31, 2016 and determined that an ownership change did not occur during such period. See Note 13 for a discussion of our Tax Benefit Preservation Plan.</w:t>
      </w:r>
    </w:p>
    <w:p>
      <w:pPr>
        <w:spacing w:after="0" w:line="17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2016, because such earnings are intended to be indefinitely reinvested. If we were to distribute such earnings of $2.7 million in the form of dividends or otherwise, we may be subject to withholding taxes of approximately $46,000 . However, since such subsidiaries’ earnings are permanently reinvested, no deferred tax liabilities were accrued for that amount as of December 31, 2016.</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Effective January 1, 2015, our Pioneer Tax Status was replaced by a Development and Expansion Incentive, or DEI, which provides a reduced tax rate of 5% for qualifying income in Singapore through 2019, if certain milestones are met. Due to the lower mix of genomics production activities, we expect that we will not be able to fulfill the DEI milestones. Due to available capital allowances, we have not benefited from the reduced tax rate through December 31, 2016, and may not benefit from the incentive in future years if the incentive is withdrawn.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2016, 2015, and 2014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48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Increases in balances related to tax positions taken during current period</w:t>
            </w:r>
          </w:p>
        </w:tc>
        <w:tc>
          <w:tcPr>
            <w:tcW w:w="4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w w:val="93"/>
              </w:rPr>
              <w:t>Decreases in balances related to tax position taken during prior period</w:t>
            </w:r>
          </w:p>
        </w:tc>
        <w:tc>
          <w:tcPr>
            <w:tcW w:w="4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2014</w:t>
            </w:r>
          </w:p>
        </w:tc>
        <w:tc>
          <w:tcPr>
            <w:tcW w:w="4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w w:val="89"/>
              </w:rPr>
              <w:t>Increases in balances related to tax positions taken during current period</w:t>
            </w:r>
          </w:p>
        </w:tc>
        <w:tc>
          <w:tcPr>
            <w:tcW w:w="4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Decreases in balances related to tax positions taken during prior period</w:t>
            </w:r>
          </w:p>
        </w:tc>
        <w:tc>
          <w:tcPr>
            <w:tcW w:w="4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43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Increases in balances related to tax positions taken during a prior period</w:t>
            </w:r>
          </w:p>
        </w:tc>
        <w:tc>
          <w:tcPr>
            <w:tcW w:w="4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w w:val="89"/>
              </w:rPr>
              <w:t>Increases in balances related to tax positions taken during current period</w:t>
            </w:r>
          </w:p>
        </w:tc>
        <w:tc>
          <w:tcPr>
            <w:tcW w:w="4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Decreases in balances related to tax positions taken during prior period</w:t>
            </w:r>
          </w:p>
        </w:tc>
        <w:tc>
          <w:tcPr>
            <w:tcW w:w="4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434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340" w:type="dxa"/>
            <w:vAlign w:val="bottom"/>
            <w:vMerge w:val="restart"/>
          </w:tcPr>
          <w:p>
            <w:pPr>
              <w:jc w:val="right"/>
              <w:ind w:right="4050"/>
              <w:spacing w:after="0"/>
              <w:rPr>
                <w:sz w:val="20"/>
                <w:szCs w:val="20"/>
                <w:color w:val="auto"/>
              </w:rPr>
            </w:pPr>
            <w:r>
              <w:rPr>
                <w:rFonts w:ascii="Arial" w:cs="Arial" w:eastAsia="Arial" w:hAnsi="Arial"/>
                <w:sz w:val="18"/>
                <w:szCs w:val="18"/>
                <w:color w:val="auto"/>
                <w:w w:val="89"/>
              </w:rPr>
              <w:t>87</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90" w:name="page91"/>
    <w:bookmarkEnd w:id="90"/>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2016 and 2015.</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As of December 31, 2016, there are no unrecognized tax benefits that, if recognized, would affect our effective tax rate. We do not anticipate that our existing unrecognized tax benefits will significantly increase or decrease within the next 12 months.</w:t>
      </w:r>
    </w:p>
    <w:p>
      <w:pPr>
        <w:spacing w:after="0" w:line="170"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2009 are open to examination in various foreign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2015, the Company implemented a match formula of 100% up to $2,000 annually, following a 4-year vesting schedule. Employer matching contributions to the 401(k) plan for the year ended December 31, 2016 and 2015 was $0.6 million and $0.5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2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operate in one reporting segment, which is the development, manufacturing, and commercialization of life science tools for the life science and Ag-Bio industries.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w:t>
      </w:r>
    </w:p>
    <w:p>
      <w:pPr>
        <w:ind w:right="820"/>
        <w:spacing w:after="0" w:line="323" w:lineRule="auto"/>
        <w:rPr>
          <w:sz w:val="20"/>
          <w:szCs w:val="20"/>
          <w:color w:val="auto"/>
        </w:rPr>
      </w:pPr>
      <w:r>
        <w:rPr>
          <w:rFonts w:ascii="Arial" w:cs="Arial" w:eastAsia="Arial" w:hAnsi="Arial"/>
          <w:sz w:val="16"/>
          <w:szCs w:val="16"/>
          <w:color w:val="auto"/>
        </w:rPr>
        <w:t>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represents our total revenue by geographic area of our customers for each year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52,637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59,674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29,739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36,772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33,045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3,927</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104,446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114,712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116,456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1" w:name="page92"/>
    <w:bookmarkEnd w:id="91"/>
    <w:p>
      <w:pPr>
        <w:ind w:left="440"/>
        <w:spacing w:after="0"/>
        <w:rPr>
          <w:sz w:val="20"/>
          <w:szCs w:val="20"/>
          <w:color w:val="auto"/>
        </w:rPr>
      </w:pPr>
      <w:r>
        <w:rPr>
          <w:rFonts w:ascii="Arial" w:cs="Arial" w:eastAsia="Arial" w:hAnsi="Arial"/>
          <w:sz w:val="16"/>
          <w:szCs w:val="16"/>
          <w:color w:val="auto"/>
        </w:rPr>
        <w:t>We had long-lived assets consisting of property and equipment, net of accumulated depreciation, in the following geographic areas (in thousands) as of:</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5,317</w:t>
            </w:r>
          </w:p>
        </w:tc>
      </w:tr>
      <w:tr>
        <w:trPr>
          <w:trHeight w:val="27"/>
        </w:trPr>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837</w:t>
            </w:r>
          </w:p>
        </w:tc>
      </w:tr>
      <w:tr>
        <w:trPr>
          <w:trHeight w:val="27"/>
        </w:trPr>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67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16,525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13,889</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Sales to customers in China represented 11% or $11.1 million, of total revenues for 2016. For the years ended December 31, 2015 and 2014, sales to China did not exceed 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November 21, 2016, our board of directors adopted a Tax Benefit Preservation Plan, or the tax benefit preservation plan. In connection with the adoption of the tax benefit preservation plan, the board of directors authorized and declared a dividend distribution of one right, a Right, for each outstanding share of common stock of the Company to stockholders of record as of the close of business on December 1, 2016, or the Record Date. Each Right entitles the registered holder to purchase from the Company one one-thousandth of a share of Series A Participating Preferred Stock, par value $0.001 per share, or the Preferred Shares, of the Company at an exercise price of $35.00 per one one-thousandth of a Preferred Share, subject to adjustment. The complete terms of the Rights are set forth in the tax benefit preservation plan. The Company expects to submit the tax benefit preservation plan to a stockholder vote at the Company’s 2017 Annual Meeting of Stockholders.</w:t>
      </w:r>
    </w:p>
    <w:p>
      <w:pPr>
        <w:spacing w:after="0" w:line="18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By adopting the tax benefit preservation plan, the board of directors is seeking to protect our ability to use our net operating losses, any loss or deduction attributable to a “net unrealized built-in loss” and other tax attributes, or the Tax Benefits. We view the Tax Benefits as highly valuable assets that are likely to inure to the benefit of us and our stockholders. However, if we experience an “ownership change,” as defined in Section 382 of the Internal Revenue Code, or the Code, our ability to use the Tax Benefits could be substantially limited, and the timing of the usage of the tax benefits could be substantially delayed, which could significantly impair the value of the Tax Benefits. Generally, an “ownership change” occurs if the percentage of our stock owned by one or more “five percent stockholders” increases by more than 50 percentage points over the lowest percentage of stock owned by such stockholders at any time during the prior three-year period or, if sooner, since the last “ownership change” experienced by us. the tax benefit preservation plan is intended to deter acquisitions of 4.99% or more of the outstanding shares of common stock by any person without the approval of the board of directors. This would protect the tax benefits because changes in ownership by a person owning less than 4.99% of the shares of common stock are not included in the calculation of “ownership change” for purposes of Section 382 of the Code.</w:t>
      </w:r>
    </w:p>
    <w:p>
      <w:pPr>
        <w:spacing w:after="0" w:line="27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Rights will expire on the earliest to occur of (i) 5:00 p.m., New York City time, on November 21, 2019 (unless such date is extended); (ii) the redemption or exchange of the Rights; (iii) following (a) the first annual meeting of the stockholders after the adoption of the tax benefit preservation plan if our stockholders do not approve the tax benefit preservation plan or (b) the first anniversary of the adoption of the tax benefit preservation plan if our stockholders have not otherwise approved the tax benefit preservation plan; (iv) the repeal of Section 382 of the Internal Revenue Code or any other change if our board of directors determines that the tax benefit preservation plan is no longer necessary or desirable for the preservation of our net operating losses; (v) the time at which we determine that the Tax Benefits associated with the net operating losses either are fully utilized or no longer available pursuant to Section 382 or that an ownership change pursuant to Section 382 would not adversely impact in any material respect the time period in which we could use the net operating losses or materially impair the amount of the net operating losses that could be used by us in any particular time period for applicable tax purposes; or (vi) a determination by our board of directors that the tax benefit preservation plan is no longer in our best interests and the best interest of our stockholders.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8" w:right="239" w:bottom="1440" w:gutter="0" w:footer="0" w:header="0"/>
        </w:sectPr>
      </w:pPr>
    </w:p>
    <w:bookmarkStart w:id="92" w:name="page93"/>
    <w:bookmarkEnd w:id="92"/>
    <w:p>
      <w:pPr>
        <w:ind w:right="9340" w:firstLine="8"/>
        <w:spacing w:after="0" w:line="566" w:lineRule="auto"/>
        <w:tabs>
          <w:tab w:leader="none" w:pos="27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2011 Equity Incentive Plan</w:t>
      </w:r>
    </w:p>
    <w:p>
      <w:pPr>
        <w:spacing w:after="0" w:line="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January 1, 2017, 1,000,000 shares were added to the 2011 Plan share reserve pursuant to an “evergreen” provision contained in the 2011 Plan. Pursuant to such provision, on January 1 of each fiscal year beginning with the 2012 fiscal year, the number of shares available for issuance under the 2011 Plan is automatically increased in an amount equal to the least of (i) 1,000,000 shares of the Company’s common stock, (ii) four percent (4%) of the number of shares of the Company’s common stock outstanding on December 31 of the preceding fiscal year, or (iii) such number of shares of the Company’s common stock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22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January 5, 2017, we adopted the Fluidigm Corporation 2017 Inducement Award Plan (the “Inducement Plan”) and reserved 2,000,000 shares of the Company’s common stock for issuance pursuant to equity awards granted under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2011 Equity Incentive Plan, including with respect to treatment of equity awards in the event of a “merger” or “change in control” as defined under the Inducement Plan, but with such other terms and conditions intended to comply with the NASDAQ Inducement Award exception. In accordance with Rule 5635(c)(4)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in connection with a merger or acquisition, to the extent permitted by Rule 5635(c)(3) of the Nasdaq Listing Rules.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2016 and 2015 are as follows (in thousands, except for per share amounts):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2016</w:t>
            </w:r>
          </w:p>
        </w:tc>
        <w:tc>
          <w:tcPr>
            <w:tcW w:w="4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180" w:type="dxa"/>
            <w:vAlign w:val="bottom"/>
          </w:tcPr>
          <w:p>
            <w:pPr>
              <w:jc w:val="center"/>
              <w:ind w:right="197"/>
              <w:spacing w:after="0" w:line="125"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7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25,084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4"/>
              </w:rPr>
              <w:t>2015</w:t>
            </w:r>
          </w:p>
        </w:tc>
        <w:tc>
          <w:tcPr>
            <w:tcW w:w="4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3"/>
                <w:szCs w:val="13"/>
                <w:color w:val="auto"/>
              </w:rPr>
            </w:pPr>
          </w:p>
        </w:tc>
        <w:tc>
          <w:tcPr>
            <w:tcW w:w="118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1"/>
                <w:szCs w:val="11"/>
                <w:color w:val="auto"/>
              </w:rPr>
            </w:pPr>
          </w:p>
        </w:tc>
        <w:tc>
          <w:tcPr>
            <w:tcW w:w="1180" w:type="dxa"/>
            <w:vAlign w:val="bottom"/>
          </w:tcPr>
          <w:p>
            <w:pPr>
              <w:jc w:val="center"/>
              <w:ind w:right="197"/>
              <w:spacing w:after="0" w:line="125"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7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30,722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2016,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2016.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that evaluation, our management concluded that our internal control over financial reporting was effective as of December 31, 2016.</w:t>
      </w:r>
    </w:p>
    <w:p>
      <w:pPr>
        <w:spacing w:after="0" w:line="13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2016 has been audited by PricewaterhouseCoopers, LLP, an independent registered public accounting firm, as stated in their report included in this Annual Report on Form 10-K.</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2016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30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742" w:right="299" w:bottom="1440" w:gutter="0" w:footer="0" w:header="0"/>
        </w:sectPr>
      </w:pPr>
    </w:p>
    <w:bookmarkStart w:id="94" w:name="page95"/>
    <w:bookmarkEnd w:id="94"/>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Pursuant to General Instruction G(3) of Form 10-K, the information required by this Item 10 relating to our executive officers is included under the caption “Executive Officers” in Part I of this Form 10-K.</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other information required by this Item 10 will be included either (i) in an amendment to this Annual Report on Form 10-K or (ii) incorporated by reference to our Proxy Statement for the 2017 Annual Meeting of Stockholders under the headings “Corporate Governance and Board of Directors,” “Election of Class I Directors,” “Executive Officers,” and “Related Person Transactions and Section 16(a) Beneficial Ownership Reporting Compliance.” Such amendment to our Form 10-K or Proxy Statement for our 2017 Annual Meeting of Stockholders will be filed with the Securities and Exchange Commission within 120 days of our December 31, 2016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The information required by this Item 11 will be included either (i) in an amendment to this Annual Report on Form 10-K or (ii) incorporated by reference to our Proxy Statement for the 2017 Annual Meeting of Stockholders under the headings “Corporate Governance and Board of Directors” and “Executive Compensation.” Such amendment to our Form 10-K or Proxy Statement for our 2017 Annual Meeting of Stockholders will be filed with the Securities and Exchange Commission within 120 days of our December 31, 2016 fiscal year end.</w:t>
      </w:r>
    </w:p>
    <w:p>
      <w:pPr>
        <w:spacing w:after="0" w:line="167" w:lineRule="exact"/>
        <w:rPr>
          <w:sz w:val="20"/>
          <w:szCs w:val="20"/>
          <w:color w:val="auto"/>
        </w:rPr>
      </w:pPr>
    </w:p>
    <w:p>
      <w:pPr>
        <w:ind w:left="820" w:right="6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information required by this Item 12 will be included either (i) in an amendment to this Annual Report on Form 10-K or (ii) incorporated by reference to our Proxy Statement for the 2017 Annual Meeting of Stockholders under the headings “Executive Compensation” and “Security Ownership.” Such amendment to our Form 10-K or Proxy Statement for our 2017 Annual Meeting of Stockholders will be filed with the Securities and Exchange Commission within 120 days of our December 31, 2016 fiscal year end.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information required by this Item 13 will be included either (i) in an amendment to this Annual Report on Form 10-K or (ii) incorporated by reference to our Proxy Statement for the 2017 Annual Meeting of Stockholders under the headings “Corporate Governance and Board of Directors” and “Related Person Transactions and Section 16(a) Beneficial Ownership Reporting Compliance.” Such amendment to our Form 10-K or Proxy Statement for our 2017 Annual Meeting of Stockholders will be filed with the Securities and Exchange Commission within 120 days of our December 31, 2016 fiscal year end.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information required by this Item 14 will be included either (i) in an amendment to this Annual Report on Form 10-K or (ii) incorporated by reference to our Proxy Statement for the 2017 Annual Meeting of Stockholders under the heading “Ratification of Appointment of Independent Registered Public Accounting Firm.” Such amendment to our Form 10-K or Proxy Statement for our 2017 Annual Meeting of Stockholders will be filed with the Securities and Exchange Commission within 120 days of our December 31, 2016 fiscal year end.</w:t>
      </w: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240" w:top="742" w:right="35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117" w:lineRule="exact"/>
        <w:rPr>
          <w:rFonts w:ascii="Arial" w:cs="Arial" w:eastAsia="Arial" w:hAnsi="Arial"/>
          <w:sz w:val="18"/>
          <w:szCs w:val="18"/>
          <w:color w:val="auto"/>
        </w:rPr>
      </w:pPr>
    </w:p>
    <w:p>
      <w:pPr>
        <w:ind w:firstLine="8"/>
        <w:spacing w:after="0" w:line="282"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 Index to Exhibits are filed herewith or are incorporated by reference to exhibits previously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and Exchange Commission.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742"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70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440" w:val="left"/>
        </w:tabs>
        <w:rPr>
          <w:sz w:val="20"/>
          <w:szCs w:val="20"/>
          <w:color w:val="auto"/>
        </w:rPr>
      </w:pPr>
      <w:r>
        <w:rPr>
          <w:rFonts w:ascii="Arial" w:cs="Arial" w:eastAsia="Arial" w:hAnsi="Arial"/>
          <w:sz w:val="18"/>
          <w:szCs w:val="18"/>
          <w:color w:val="auto"/>
        </w:rPr>
        <w:t>Dated: March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Stephen Christopher Linthwaite</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1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w w:val="99"/>
              </w:rPr>
              <w:t>President and Chief Executive Officer (Principal Executive</w:t>
            </w:r>
          </w:p>
        </w:tc>
        <w:tc>
          <w:tcPr>
            <w:tcW w:w="144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480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Stephen Christopher Linthwaite</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80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 Officer)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Jennifer Lee</w:t>
            </w:r>
          </w:p>
        </w:tc>
        <w:tc>
          <w:tcPr>
            <w:tcW w:w="4800" w:type="dxa"/>
            <w:vAlign w:val="bottom"/>
          </w:tcPr>
          <w:p>
            <w:pPr>
              <w:ind w:left="160"/>
              <w:spacing w:after="0"/>
              <w:rPr>
                <w:sz w:val="20"/>
                <w:szCs w:val="20"/>
                <w:color w:val="auto"/>
              </w:rPr>
            </w:pPr>
            <w:r>
              <w:rPr>
                <w:rFonts w:ascii="Arial" w:cs="Arial" w:eastAsia="Arial" w:hAnsi="Arial"/>
                <w:sz w:val="18"/>
                <w:szCs w:val="18"/>
                <w:color w:val="auto"/>
              </w:rPr>
              <w:t>Vice President, Controller (Principal Accounting Officer)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Jennifer Lee</w:t>
            </w:r>
          </w:p>
        </w:tc>
        <w:tc>
          <w:tcPr>
            <w:tcW w:w="4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5"/>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80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6"/>
              </w:rPr>
              <w:t>/s/ Evan Jones</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Evan Jones</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A. Young</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2, 2017</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John A. Young</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525"/>
        </w:trPr>
        <w:tc>
          <w:tcPr>
            <w:tcW w:w="4800" w:type="dxa"/>
            <w:vAlign w:val="bottom"/>
          </w:tcPr>
          <w:p>
            <w:pPr>
              <w:spacing w:after="0"/>
              <w:rPr>
                <w:sz w:val="24"/>
                <w:szCs w:val="24"/>
                <w:color w:val="auto"/>
              </w:rPr>
            </w:pPr>
          </w:p>
        </w:tc>
        <w:tc>
          <w:tcPr>
            <w:tcW w:w="4800" w:type="dxa"/>
            <w:vAlign w:val="bottom"/>
          </w:tcPr>
          <w:p>
            <w:pPr>
              <w:ind w:left="820"/>
              <w:spacing w:after="0"/>
              <w:rPr>
                <w:sz w:val="20"/>
                <w:szCs w:val="20"/>
                <w:color w:val="auto"/>
              </w:rPr>
            </w:pPr>
            <w:r>
              <w:rPr>
                <w:rFonts w:ascii="Arial" w:cs="Arial" w:eastAsia="Arial" w:hAnsi="Arial"/>
                <w:sz w:val="18"/>
                <w:szCs w:val="18"/>
                <w:color w:val="auto"/>
              </w:rPr>
              <w:t>95</w:t>
            </w:r>
          </w:p>
        </w:tc>
        <w:tc>
          <w:tcPr>
            <w:tcW w:w="1440" w:type="dxa"/>
            <w:vAlign w:val="bottom"/>
          </w:tcPr>
          <w:p>
            <w:pPr>
              <w:spacing w:after="0"/>
              <w:rPr>
                <w:sz w:val="24"/>
                <w:szCs w:val="24"/>
                <w:color w:val="auto"/>
              </w:rPr>
            </w:pPr>
          </w:p>
        </w:tc>
      </w:tr>
    </w:tbl>
    <w:p>
      <w:pPr>
        <w:sectPr>
          <w:pgSz w:w="11900" w:h="16838" w:orient="portrait"/>
          <w:cols w:equalWidth="0" w:num="1">
            <w:col w:w="11360"/>
          </w:cols>
          <w:pgMar w:left="240" w:top="742" w:right="2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32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9"/>
              </w:rPr>
              <w:t>Agreement and Plan of Merger dated January 28,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among Fluidigm Corporation, DVS Sciences, Inc., Dawid Merger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Sub, Inc. and Shareholder Representative Services LLC.</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Eighth Amended and Restated Certificate of Incorporation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 filed on February 15,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Amended and Restated Bylaws of Fluidigm Corporation effective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 of February 9,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Certificate of Designation of Rights, Preferences and Privileges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Series A Participating Preferred Stock.</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Indenture, dated February 4, 2014, by and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 and U.S. Bank National Association.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First Supplemental Indenture, dated February 4,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between Fluidigm Corporation and U.S. Bank National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 of Global Note (included in Exhibit 4.3).</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3"/>
              </w:rPr>
              <w:t>Tax Benefit Preservation Plan, dated as of November 21, 2016,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8"/>
              </w:rPr>
              <w:t>and between Fluidigm Corporation and Computershare Inc.,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Rights Agent.</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 and its directors and 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1999 Stock Option Plan of Fluidigm Corporation,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2009 Equity Incentive Plan of Fluidigm Corporation,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2011 Equity Incentive Plan of Fluidigm Corporation.</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00" w:type="dxa"/>
            <w:vAlign w:val="bottom"/>
          </w:tcPr>
          <w:p>
            <w:pPr>
              <w:ind w:left="40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54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10.2A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10.3A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bl>
    <w:p>
      <w:pPr>
        <w:sectPr>
          <w:pgSz w:w="11900" w:h="16838" w:orient="portrait"/>
          <w:cols w:equalWidth="0" w:num="2">
            <w:col w:w="6580" w:space="20"/>
            <w:col w:w="4760"/>
          </w:cols>
          <w:pgMar w:left="280" w:top="742" w:right="259" w:bottom="1440" w:gutter="0" w:footer="0" w:header="0"/>
        </w:sectPr>
      </w:pPr>
    </w:p>
    <w:bookmarkStart w:id="99" w:name="page100"/>
    <w:bookmarkEnd w:id="9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10.4A#</w:t>
            </w: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80" w:type="dxa"/>
            <w:vAlign w:val="bottom"/>
            <w:gridSpan w:val="2"/>
            <w:vMerge w:val="continue"/>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10.5†</w:t>
            </w:r>
          </w:p>
        </w:tc>
        <w:tc>
          <w:tcPr>
            <w:tcW w:w="4900" w:type="dxa"/>
            <w:vAlign w:val="bottom"/>
          </w:tcPr>
          <w:p>
            <w:pPr>
              <w:ind w:left="20"/>
              <w:spacing w:after="0"/>
              <w:rPr>
                <w:sz w:val="20"/>
                <w:szCs w:val="20"/>
                <w:color w:val="auto"/>
              </w:rPr>
            </w:pPr>
            <w:r>
              <w:rPr>
                <w:rFonts w:ascii="Arial" w:cs="Arial" w:eastAsia="Arial" w:hAnsi="Arial"/>
                <w:sz w:val="18"/>
                <w:szCs w:val="18"/>
                <w:color w:val="auto"/>
              </w:rPr>
              <w:t>Second Amended and Restated License Agreement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between California Institute of Technology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Corporation, effective as of May 1, 2004.</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10.5A†</w:t>
            </w:r>
          </w:p>
        </w:tc>
        <w:tc>
          <w:tcPr>
            <w:tcW w:w="4900" w:type="dxa"/>
            <w:vAlign w:val="bottom"/>
          </w:tcPr>
          <w:p>
            <w:pPr>
              <w:ind w:left="20"/>
              <w:spacing w:after="0"/>
              <w:rPr>
                <w:sz w:val="20"/>
                <w:szCs w:val="20"/>
                <w:color w:val="auto"/>
              </w:rPr>
            </w:pPr>
            <w:r>
              <w:rPr>
                <w:rFonts w:ascii="Arial" w:cs="Arial" w:eastAsia="Arial" w:hAnsi="Arial"/>
                <w:sz w:val="18"/>
                <w:szCs w:val="18"/>
                <w:color w:val="auto"/>
              </w:rPr>
              <w:t>First Addendum, effective as of March 29, 2007, to Second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Amended and Restated License Agreement by and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California Institute of Technology and Fluidigm Corporation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effective as of May 1, 2004.</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10.6†</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10.6A†</w:t>
            </w:r>
          </w:p>
        </w:tc>
        <w:tc>
          <w:tcPr>
            <w:tcW w:w="4900" w:type="dxa"/>
            <w:vAlign w:val="bottom"/>
          </w:tcPr>
          <w:p>
            <w:pPr>
              <w:ind w:left="20"/>
              <w:spacing w:after="0"/>
              <w:rPr>
                <w:sz w:val="20"/>
                <w:szCs w:val="20"/>
                <w:color w:val="auto"/>
              </w:rPr>
            </w:pPr>
            <w:r>
              <w:rPr>
                <w:rFonts w:ascii="Arial" w:cs="Arial" w:eastAsia="Arial" w:hAnsi="Arial"/>
                <w:sz w:val="18"/>
                <w:szCs w:val="18"/>
                <w:color w:val="auto"/>
                <w:w w:val="97"/>
              </w:rPr>
              <w:t>First Amendment to Co-Exclusive License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Fellows of Harvard College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Corporation effective as of October 15, 2000.</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10.7†</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10.8†</w:t>
            </w: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10.9†</w:t>
            </w:r>
          </w:p>
        </w:tc>
        <w:tc>
          <w:tcPr>
            <w:tcW w:w="4900" w:type="dxa"/>
            <w:vAlign w:val="bottom"/>
          </w:tcPr>
          <w:p>
            <w:pPr>
              <w:ind w:left="20"/>
              <w:spacing w:after="0"/>
              <w:rPr>
                <w:sz w:val="20"/>
                <w:szCs w:val="20"/>
                <w:color w:val="auto"/>
              </w:rPr>
            </w:pPr>
            <w:r>
              <w:rPr>
                <w:rFonts w:ascii="Arial" w:cs="Arial" w:eastAsia="Arial" w:hAnsi="Arial"/>
                <w:sz w:val="18"/>
                <w:szCs w:val="18"/>
                <w:color w:val="auto"/>
              </w:rPr>
              <w:t>Letter Agreement between President and Fellows of Harvard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College and Fluidigm Corporation dated December 22, 2004.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10.10#</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Fluidigm Corporation 2017 Inducement Award Plan and related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form agreements.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10.11#</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Offer Letter to Jennifer Lee date March 30, 2016.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4"/>
              </w:rPr>
              <w:t>Amended and Restated Offer Letter to Steven C. McPhail,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Form of Amended and Restated Employment and Severance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Agreement between Fluidigm Corporation and each of 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officers.</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10.15#†</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Offer Letter to Stephen Christopher Linthwaite, dated July 14,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Employment and Severance Agreement, effective as of August 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2016, by and between Fluidigm Corporation and Stephen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Christopher Linthwaite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4"/>
              </w:rPr>
              <w:t>Offer Letter dated May 3, 2010 to Fredric Walder and Addendum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thereto dated November 8,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Lease Agreement between ARE - San Francisco No. 17 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Fluidigm Corporation, dated September 14, 2010,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September 22, 2010.</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10.19A</w:t>
            </w:r>
          </w:p>
        </w:tc>
        <w:tc>
          <w:tcPr>
            <w:tcW w:w="4900" w:type="dxa"/>
            <w:vAlign w:val="bottom"/>
          </w:tcPr>
          <w:p>
            <w:pPr>
              <w:ind w:left="20"/>
              <w:spacing w:after="0"/>
              <w:rPr>
                <w:sz w:val="20"/>
                <w:szCs w:val="20"/>
                <w:color w:val="auto"/>
              </w:rPr>
            </w:pPr>
            <w:r>
              <w:rPr>
                <w:rFonts w:ascii="Arial" w:cs="Arial" w:eastAsia="Arial" w:hAnsi="Arial"/>
                <w:sz w:val="18"/>
                <w:szCs w:val="18"/>
                <w:color w:val="auto"/>
              </w:rPr>
              <w:t>Second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Francisco No. 17, LLC and Fluidigm Corporation, dated April 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10.19B</w:t>
            </w:r>
          </w:p>
        </w:tc>
        <w:tc>
          <w:tcPr>
            <w:tcW w:w="4900" w:type="dxa"/>
            <w:vAlign w:val="bottom"/>
          </w:tcPr>
          <w:p>
            <w:pPr>
              <w:ind w:left="20"/>
              <w:spacing w:after="0"/>
              <w:rPr>
                <w:sz w:val="20"/>
                <w:szCs w:val="20"/>
                <w:color w:val="auto"/>
              </w:rPr>
            </w:pPr>
            <w:r>
              <w:rPr>
                <w:rFonts w:ascii="Arial" w:cs="Arial" w:eastAsia="Arial" w:hAnsi="Arial"/>
                <w:sz w:val="18"/>
                <w:szCs w:val="18"/>
                <w:color w:val="auto"/>
              </w:rPr>
              <w:t>Fourth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Francisco No. 17, LLC and Fluidigm Corporation, dated June 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00" w:type="dxa"/>
            <w:vAlign w:val="bottom"/>
          </w:tcPr>
          <w:p>
            <w:pPr>
              <w:ind w:left="40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10.4A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10.5A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10.6A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1/11/2017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5/23/2016</w:t>
            </w:r>
          </w:p>
        </w:tc>
        <w:tc>
          <w:tcPr>
            <w:tcW w:w="0" w:type="dxa"/>
            <w:vAlign w:val="bottom"/>
          </w:tcPr>
          <w:p>
            <w:pPr>
              <w:spacing w:after="0"/>
              <w:rPr>
                <w:sz w:val="1"/>
                <w:szCs w:val="1"/>
                <w:color w:val="auto"/>
              </w:rPr>
            </w:pPr>
          </w:p>
        </w:tc>
      </w:tr>
      <w:tr>
        <w:trPr>
          <w:trHeight w:val="54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12/11/2012</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4/4/2011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1/7/2011</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10.19A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5/9/2013</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bl>
    <w:p>
      <w:pPr>
        <w:sectPr>
          <w:pgSz w:w="11900" w:h="16838" w:orient="portrait"/>
          <w:cols w:equalWidth="0" w:num="2">
            <w:col w:w="6480" w:space="120"/>
            <w:col w:w="4760"/>
          </w:cols>
          <w:pgMar w:left="280" w:top="888" w:right="259" w:bottom="1440" w:gutter="0" w:footer="0" w:header="0"/>
        </w:sectPr>
      </w:pPr>
    </w:p>
    <w:bookmarkStart w:id="100" w:name="page101"/>
    <w:bookmarkEnd w:id="10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0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10.19C</w:t>
            </w:r>
          </w:p>
        </w:tc>
        <w:tc>
          <w:tcPr>
            <w:tcW w:w="4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580" w:type="dxa"/>
            <w:vAlign w:val="bottom"/>
            <w:gridSpan w:val="2"/>
            <w:vMerge w:val="continue"/>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Fifth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Francisco No. 17, LLC and Fluidigm Corporation,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September 15, 2014.</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10.19D</w:t>
            </w:r>
          </w:p>
        </w:tc>
        <w:tc>
          <w:tcPr>
            <w:tcW w:w="4900" w:type="dxa"/>
            <w:vAlign w:val="bottom"/>
          </w:tcPr>
          <w:p>
            <w:pPr>
              <w:ind w:left="20"/>
              <w:spacing w:after="0"/>
              <w:rPr>
                <w:sz w:val="20"/>
                <w:szCs w:val="20"/>
                <w:color w:val="auto"/>
              </w:rPr>
            </w:pPr>
            <w:r>
              <w:rPr>
                <w:rFonts w:ascii="Arial" w:cs="Arial" w:eastAsia="Arial" w:hAnsi="Arial"/>
                <w:sz w:val="18"/>
                <w:szCs w:val="18"/>
                <w:color w:val="auto"/>
              </w:rPr>
              <w:t>Sixth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Francisco No. 17, LLC and Fluidigm Corporation,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December 8, 2015.</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Tenancy for Flatted Factory Space in Singapore between JTC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Corporation and Fluidigm Corporation dated July 27, 2005,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amended August 12, 2008 and May 31,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Offer of Tenancy for Facility Lease between Fluidigm Singapore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Pte. Ltd. and SBC Institutional Trust Services (Singapore) Limited,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0"/>
              </w:rPr>
              <w:t>as trustee of Ascendas Real Estate Investment Trust dated October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14, 2013.</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Offer of Tenancy for Lease of Additional Space at Singapore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Facility between Fluidigm Singapore Pte. Ltd. and HSBC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Institutional Trust Services (Singapore) Limited, as trustee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Ascendas Real Estate Investment Trust, dated April 2, 2015.</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10.23†</w:t>
            </w:r>
          </w:p>
        </w:tc>
        <w:tc>
          <w:tcPr>
            <w:tcW w:w="4900" w:type="dxa"/>
            <w:vAlign w:val="bottom"/>
          </w:tcPr>
          <w:p>
            <w:pPr>
              <w:ind w:left="20"/>
              <w:spacing w:after="0"/>
              <w:rPr>
                <w:sz w:val="20"/>
                <w:szCs w:val="20"/>
                <w:color w:val="auto"/>
              </w:rPr>
            </w:pPr>
            <w:r>
              <w:rPr>
                <w:rFonts w:ascii="Arial" w:cs="Arial" w:eastAsia="Arial" w:hAnsi="Arial"/>
                <w:sz w:val="18"/>
                <w:szCs w:val="18"/>
                <w:color w:val="auto"/>
                <w:w w:val="91"/>
              </w:rPr>
              <w:t>Office Lease by and among Rodick Equities Inc., Fluidigm Canada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Inc., and Fluidigm Corporation, dated August 17, 2015.</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Form of Award Agreement for purposes of the Retention Program.</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Bonus Plan.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Letter Agreement between Fluidigm Corporation and William 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Smith, Fluidigm Corporation's Executive Vice President of Legal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Affairs and General Counsel, dated March 4, 2014.</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10.27†</w:t>
            </w:r>
          </w:p>
        </w:tc>
        <w:tc>
          <w:tcPr>
            <w:tcW w:w="4900" w:type="dxa"/>
            <w:vAlign w:val="bottom"/>
          </w:tcPr>
          <w:p>
            <w:pPr>
              <w:ind w:left="20"/>
              <w:spacing w:after="0"/>
              <w:rPr>
                <w:sz w:val="20"/>
                <w:szCs w:val="20"/>
                <w:color w:val="auto"/>
              </w:rPr>
            </w:pPr>
            <w:r>
              <w:rPr>
                <w:rFonts w:ascii="Arial" w:cs="Arial" w:eastAsia="Arial" w:hAnsi="Arial"/>
                <w:sz w:val="18"/>
                <w:szCs w:val="18"/>
                <w:color w:val="auto"/>
                <w:w w:val="99"/>
              </w:rPr>
              <w:t>License Agreement between MDS Analytical Technologies, 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business unit of MDS INC., and DVS Sciences Inc., dated July 17,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56"/>
        </w:trPr>
        <w:tc>
          <w:tcPr>
            <w:tcW w:w="1580" w:type="dxa"/>
            <w:vAlign w:val="bottom"/>
            <w:gridSpan w:val="2"/>
          </w:tcPr>
          <w:p>
            <w:pPr>
              <w:spacing w:after="0"/>
              <w:rPr>
                <w:sz w:val="20"/>
                <w:szCs w:val="20"/>
                <w:color w:val="auto"/>
              </w:rPr>
            </w:pPr>
            <w:r>
              <w:rPr>
                <w:rFonts w:ascii="Arial" w:cs="Arial" w:eastAsia="Arial" w:hAnsi="Arial"/>
                <w:sz w:val="18"/>
                <w:szCs w:val="18"/>
                <w:color w:val="auto"/>
              </w:rPr>
              <w:t>10.28†</w:t>
            </w:r>
          </w:p>
        </w:tc>
        <w:tc>
          <w:tcPr>
            <w:tcW w:w="4900" w:type="dxa"/>
            <w:vAlign w:val="bottom"/>
          </w:tcPr>
          <w:p>
            <w:pPr>
              <w:ind w:left="20"/>
              <w:spacing w:after="0"/>
              <w:rPr>
                <w:sz w:val="20"/>
                <w:szCs w:val="20"/>
                <w:color w:val="auto"/>
              </w:rPr>
            </w:pPr>
            <w:r>
              <w:rPr>
                <w:rFonts w:ascii="Arial" w:cs="Arial" w:eastAsia="Arial" w:hAnsi="Arial"/>
                <w:sz w:val="18"/>
                <w:szCs w:val="18"/>
                <w:color w:val="auto"/>
                <w:w w:val="94"/>
              </w:rPr>
              <w:t>Sublicense Agreement between DVS Sciences Inc.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Corporation, dated January 28, 2014.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10.29#</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0"/>
              </w:rPr>
              <w:t>Separation Agreement and Release between Gajus V. Worthington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and Fluidigm Corporation dated October 19, 2016.</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Computation of ratio of earnings to combined fixed charges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preference dividends.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8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Subsidiaries of Fluidigm Corporation.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1"/>
              </w:rPr>
              <w:t>Consent of PricewaterhouseCoopers LLP, Independent Registered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Public Accounting Firm.</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Consent of Ernst &amp; Young LLP, Independent Registered Public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Accounting Firm.</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Power of Attorney (contained in the signature page to this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Pursuant to Section 302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Pursuant to Section 302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Pursuant to Section 906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11/6/2014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12/14/2015</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11/9/2015</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2/10/2016</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5/12/2014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10/24/2016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480" w:space="120"/>
            <w:col w:w="4760"/>
          </w:cols>
          <w:pgMar w:left="280" w:top="888"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60"/>
          </w:cols>
          <w:pgMar w:left="280" w:top="888" w:right="2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02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1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5020" w:type="dxa"/>
            <w:vAlign w:val="bottom"/>
            <w:gridSpan w:val="2"/>
            <w:vMerge w:val="continue"/>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Certification Pursuant to 18 U.S.C. Section 1350, as Adopted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Pursuant to Section 906 of the Sarbanes-Oxley Act of 2002 of</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27"/>
        <w:spacing w:after="0"/>
        <w:tabs>
          <w:tab w:leader="none" w:pos="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37" w:lineRule="exact"/>
        <w:rPr>
          <w:sz w:val="20"/>
          <w:szCs w:val="20"/>
          <w:color w:val="auto"/>
        </w:rPr>
      </w:pPr>
    </w:p>
    <w:p>
      <w:pPr>
        <w:ind w:left="180" w:right="20" w:hanging="172"/>
        <w:spacing w:after="0" w:line="257" w:lineRule="auto"/>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888"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5628640</wp:posOffset>
            </wp:positionH>
            <wp:positionV relativeFrom="page">
              <wp:posOffset>88900</wp:posOffset>
            </wp:positionV>
            <wp:extent cx="154368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97205"/>
                    </a:xfrm>
                    <a:prstGeom prst="rect">
                      <a:avLst/>
                    </a:prstGeom>
                    <a:noFill/>
                  </pic:spPr>
                </pic:pic>
              </a:graphicData>
            </a:graphic>
          </wp:anchor>
        </w:drawing>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Steven C. McPhail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updated terms of employment letter supersedes and replaces your prior offer letter, dated April 1, 2015. As of the date hereof, you are serving as Chief Commercial Officer of Fluidigm Corporation (“Fluidigm” or the “Company”), reporting directly to the Chief Executive Officers. Other terms of employment include: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4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Your current annual base salary is $339,700, which will be paid, less any deductions required by applicable law, in accordance with the Company’s normal payroll procedures. The Company is on a semi-monthly pay schedule with two pay periods per calendar month which generally fall on the 15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and the last day of the month. This is an exempt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Bonus Plan: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will be eligible to participate in the Company’s Executive Corporate Bonus Plan which is based on achievement of targets or performance criteria as may be specified by your management and the Board. The terms and conditions of the Bonus Plan may be amended or varied from time to time at the sole discretion of the Board. Your target bonus is currently 42.5% of your annual base salary, subject to all applicable federal and state taxes, which, if and to the extent earned, is typically paid out following the end of the applicable bonus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you know, you have been granted certain equity awards under the Company equity incentive plan; such outstanding awards remain subject to the terms of the plan and the relevant grant documents. You may be eligible, subject to approval by the Company’s Board of Directors or its Compensation Committee, for further awards depending on performance and other considerations in the discretion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are eligible to receive the Company’s standard benefits package which includes medical, dental, vision, life and disability insurance benefits. Benefits will be effective the first day of the month following your date of hire or upon a qualifying event. Additional benefits, as the Company may make generally available to its employees from time to time, will be made available to you. You are entitled to three (3) weeks paid vacation each year and such paid holidays as the Company gives to its employees generally.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Workers’ Compensation Insurance: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9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5628640</wp:posOffset>
            </wp:positionH>
            <wp:positionV relativeFrom="page">
              <wp:posOffset>88900</wp:posOffset>
            </wp:positionV>
            <wp:extent cx="154368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97205"/>
                    </a:xfrm>
                    <a:prstGeom prst="rect">
                      <a:avLst/>
                    </a:prstGeom>
                    <a:noFill/>
                  </pic:spPr>
                </pic:pic>
              </a:graphicData>
            </a:graphic>
          </wp:anchor>
        </w:drawing>
        <w:t>Confidentiality and Company Policies: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 have executed the Company’s standard At-Will Employment, Confidential Information, Invention Assignment, and Arbitration Agreement, which continues to be in effect.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and Severance Agreement:</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an executive officer of the Company and subject to approval by the Board (or a committee authorized by the Board), you and the Company have entered into the Company’s Employment and Severance Agreement. A copy of the current form of such agreement as entered between the Company and each of its executive officers has been provided to you separately.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letter shall be interpreted under California law.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In addition, the Company may change your compensation, duties, assignments, responsibilities, location of your position, or any other terms and conditions of employment at any time to adjust to the changing needs of our dynamic Company.</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In the event of any dispute or claim relating to or arising out of our employment relationship, 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8"/>
          <w:szCs w:val="18"/>
          <w:u w:val="single" w:color="auto"/>
          <w:color w:val="006EBF"/>
        </w:rPr>
        <w:t>http://www.jamsadr.com/rules-employment-arbitration</w:t>
      </w:r>
      <w:r>
        <w:rPr>
          <w:rFonts w:ascii="Arial" w:cs="Arial" w:eastAsia="Arial" w:hAnsi="Arial"/>
          <w:sz w:val="18"/>
          <w:szCs w:val="18"/>
          <w:color w:val="006EBF"/>
        </w:rPr>
        <w:t>/</w:t>
      </w:r>
      <w:r>
        <w:rPr>
          <w:rFonts w:ascii="Arial" w:cs="Arial" w:eastAsia="Arial" w:hAnsi="Arial"/>
          <w:sz w:val="18"/>
          <w:szCs w:val="18"/>
          <w:color w:val="000000"/>
        </w:rPr>
        <w:t>. The JAMS employment arbitration rules &amp; procedures may, however, be amended by JAMS.) You acknowledge that you are</w:t>
      </w:r>
      <w:r>
        <w:rPr>
          <w:rFonts w:ascii="Arial" w:cs="Arial" w:eastAsia="Arial" w:hAnsi="Arial"/>
          <w:sz w:val="18"/>
          <w:szCs w:val="18"/>
          <w:color w:val="006EBF"/>
        </w:rPr>
        <w:t xml:space="preserve"> </w:t>
      </w:r>
      <w:r>
        <w:rPr>
          <w:rFonts w:ascii="Arial" w:cs="Arial" w:eastAsia="Arial" w:hAnsi="Arial"/>
          <w:sz w:val="18"/>
          <w:szCs w:val="18"/>
          <w:color w:val="000000"/>
        </w:rPr>
        <w:t>waiving your right to a jury trial.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employees are committed to the success and growth of our business. At Fluidigm, we believe that our values are not just words on paper</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they are a statement of our character. Fluidigmers should: Win as a team; Work hard and with passion; Be strong; Be aggressive; Do what you say you will do; Sweat the details; and Keep learning. We believe our values define who we are as a company and as employees of Fluidigm. We aspire to live by these values each day and work hard to exhibit these traits because these are the things that are worth believing. Thank you for your continued dedication to Fluidigm; I look forward to our mutual success in growing the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197"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5628640</wp:posOffset>
            </wp:positionH>
            <wp:positionV relativeFrom="page">
              <wp:posOffset>88900</wp:posOffset>
            </wp:positionV>
            <wp:extent cx="154368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3685" cy="497205"/>
                    </a:xfrm>
                    <a:prstGeom prst="rect">
                      <a:avLst/>
                    </a:prstGeom>
                    <a:noFill/>
                  </pic:spPr>
                </pic:pic>
              </a:graphicData>
            </a:graphic>
          </wp:anchor>
        </w:drawing>
        <w:t>Sincerely,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 Christopher Linthwaite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Linthwaite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w w:val="98"/>
              </w:rPr>
              <w:t>/s/ Steven C. McPhail</w:t>
            </w:r>
          </w:p>
        </w:tc>
        <w:tc>
          <w:tcPr>
            <w:tcW w:w="1420" w:type="dxa"/>
            <w:vAlign w:val="bottom"/>
          </w:tcPr>
          <w:p>
            <w:pPr>
              <w:spacing w:after="0"/>
              <w:rPr>
                <w:sz w:val="17"/>
                <w:szCs w:val="17"/>
                <w:color w:val="auto"/>
              </w:rPr>
            </w:pPr>
          </w:p>
        </w:tc>
        <w:tc>
          <w:tcPr>
            <w:tcW w:w="2900" w:type="dxa"/>
            <w:vAlign w:val="bottom"/>
            <w:gridSpan w:val="2"/>
          </w:tcPr>
          <w:p>
            <w:pPr>
              <w:ind w:left="1420"/>
              <w:spacing w:after="0"/>
              <w:rPr>
                <w:sz w:val="20"/>
                <w:szCs w:val="20"/>
                <w:color w:val="auto"/>
              </w:rPr>
            </w:pPr>
            <w:r>
              <w:rPr>
                <w:rFonts w:ascii="Arial" w:cs="Arial" w:eastAsia="Arial" w:hAnsi="Arial"/>
                <w:sz w:val="18"/>
                <w:szCs w:val="18"/>
                <w:color w:val="auto"/>
                <w:w w:val="99"/>
              </w:rPr>
              <w:t>February 28, 2017</w:t>
            </w:r>
          </w:p>
        </w:tc>
      </w:tr>
      <w:tr>
        <w:trPr>
          <w:trHeight w:val="20"/>
        </w:trPr>
        <w:tc>
          <w:tcPr>
            <w:tcW w:w="17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8"/>
                <w:szCs w:val="18"/>
                <w:color w:val="auto"/>
              </w:rPr>
              <w:t>Steven C. McPhail</w:t>
            </w:r>
          </w:p>
        </w:tc>
        <w:tc>
          <w:tcPr>
            <w:tcW w:w="1420" w:type="dxa"/>
            <w:vAlign w:val="bottom"/>
          </w:tcPr>
          <w:p>
            <w:pPr>
              <w:spacing w:after="0"/>
              <w:rPr>
                <w:sz w:val="24"/>
                <w:szCs w:val="24"/>
                <w:color w:val="auto"/>
              </w:rPr>
            </w:pPr>
          </w:p>
        </w:tc>
        <w:tc>
          <w:tcPr>
            <w:tcW w:w="2900" w:type="dxa"/>
            <w:vAlign w:val="bottom"/>
            <w:gridSpan w:val="2"/>
          </w:tcPr>
          <w:p>
            <w:pPr>
              <w:ind w:left="142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79"/>
          </w:cols>
          <w:pgMar w:left="280" w:top="1395"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w:t>
      </w:r>
    </w:p>
    <w:p>
      <w:pPr>
        <w:spacing w:after="0" w:line="252" w:lineRule="exact"/>
        <w:rPr>
          <w:sz w:val="20"/>
          <w:szCs w:val="20"/>
          <w:color w:val="auto"/>
        </w:rPr>
      </w:pPr>
    </w:p>
    <w:p>
      <w:pPr>
        <w:jc w:val="both"/>
        <w:ind w:left="680" w:right="260" w:hanging="215"/>
        <w:spacing w:after="0" w:line="264" w:lineRule="auto"/>
        <w:rPr>
          <w:sz w:val="20"/>
          <w:szCs w:val="20"/>
          <w:color w:val="auto"/>
        </w:rPr>
      </w:pPr>
      <w:r>
        <w:rPr>
          <w:rFonts w:ascii="Arial" w:cs="Arial" w:eastAsia="Arial" w:hAnsi="Arial"/>
          <w:sz w:val="18"/>
          <w:szCs w:val="18"/>
          <w:color w:val="auto"/>
        </w:rPr>
        <w:t>Net loss attributed to common stockholders before income taxes</w:t>
      </w:r>
    </w:p>
    <w:p>
      <w:pPr>
        <w:spacing w:after="0" w:line="208" w:lineRule="exact"/>
        <w:rPr>
          <w:sz w:val="20"/>
          <w:szCs w:val="20"/>
          <w:color w:val="auto"/>
        </w:rPr>
      </w:pPr>
    </w:p>
    <w:p>
      <w:pPr>
        <w:ind w:left="680" w:hanging="215"/>
        <w:spacing w:after="0" w:line="277" w:lineRule="auto"/>
        <w:rPr>
          <w:sz w:val="20"/>
          <w:szCs w:val="20"/>
          <w:color w:val="auto"/>
        </w:rPr>
      </w:pPr>
      <w:r>
        <w:rPr>
          <w:rFonts w:ascii="Arial" w:cs="Arial" w:eastAsia="Arial" w:hAnsi="Arial"/>
          <w:sz w:val="18"/>
          <w:szCs w:val="18"/>
          <w:color w:val="auto"/>
        </w:rPr>
        <w:t>Add: Combined fixed charges and preference dividends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Capitalized interest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earnings for computation of ratio</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252" w:lineRule="exact"/>
        <w:rPr>
          <w:sz w:val="20"/>
          <w:szCs w:val="20"/>
          <w:color w:val="auto"/>
        </w:rPr>
      </w:pPr>
    </w:p>
    <w:p>
      <w:pPr>
        <w:ind w:left="680"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80"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fixed charges</w:t>
      </w:r>
    </w:p>
    <w:p>
      <w:pPr>
        <w:spacing w:after="0" w:line="252" w:lineRule="exact"/>
        <w:rPr>
          <w:sz w:val="20"/>
          <w:szCs w:val="20"/>
          <w:color w:val="auto"/>
        </w:rPr>
      </w:pPr>
    </w:p>
    <w:p>
      <w:pPr>
        <w:ind w:left="260" w:right="40" w:hanging="215"/>
        <w:spacing w:after="0" w:line="277" w:lineRule="auto"/>
        <w:rPr>
          <w:sz w:val="20"/>
          <w:szCs w:val="20"/>
          <w:color w:val="auto"/>
        </w:rPr>
      </w:pPr>
      <w:r>
        <w:rPr>
          <w:rFonts w:ascii="Arial" w:cs="Arial" w:eastAsia="Arial" w:hAnsi="Arial"/>
          <w:sz w:val="18"/>
          <w:szCs w:val="18"/>
          <w:color w:val="auto"/>
        </w:rPr>
        <w:t>Combined fixed charges and preference dividends:</w:t>
      </w:r>
    </w:p>
    <w:p>
      <w:pPr>
        <w:spacing w:after="0" w:line="197" w:lineRule="exact"/>
        <w:rPr>
          <w:sz w:val="20"/>
          <w:szCs w:val="20"/>
          <w:color w:val="auto"/>
        </w:rPr>
      </w:pPr>
    </w:p>
    <w:p>
      <w:pPr>
        <w:ind w:left="680"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80"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Deemed dividend</w:t>
      </w:r>
    </w:p>
    <w:p>
      <w:pPr>
        <w:spacing w:after="0" w:line="387" w:lineRule="exact"/>
        <w:rPr>
          <w:sz w:val="20"/>
          <w:szCs w:val="20"/>
          <w:color w:val="auto"/>
        </w:rPr>
      </w:pPr>
    </w:p>
    <w:p>
      <w:pPr>
        <w:ind w:left="260" w:right="480" w:hanging="215"/>
        <w:spacing w:after="0" w:line="277" w:lineRule="auto"/>
        <w:rPr>
          <w:sz w:val="20"/>
          <w:szCs w:val="20"/>
          <w:color w:val="auto"/>
        </w:rPr>
      </w:pPr>
      <w:r>
        <w:rPr>
          <w:rFonts w:ascii="Arial" w:cs="Arial" w:eastAsia="Arial" w:hAnsi="Arial"/>
          <w:sz w:val="18"/>
          <w:szCs w:val="18"/>
          <w:color w:val="auto"/>
        </w:rPr>
        <w:t>Total combined fixed charges and preference dividends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Ratio of earnings to fixed charges (1)</w:t>
      </w:r>
    </w:p>
    <w:p>
      <w:pPr>
        <w:spacing w:after="0" w:line="264" w:lineRule="exact"/>
        <w:rPr>
          <w:sz w:val="20"/>
          <w:szCs w:val="20"/>
          <w:color w:val="auto"/>
        </w:rPr>
      </w:pPr>
    </w:p>
    <w:p>
      <w:pPr>
        <w:ind w:left="260" w:right="40" w:hanging="215"/>
        <w:spacing w:after="0" w:line="381" w:lineRule="auto"/>
        <w:rPr>
          <w:sz w:val="20"/>
          <w:szCs w:val="20"/>
          <w:color w:val="auto"/>
        </w:rPr>
      </w:pPr>
      <w:r>
        <w:rPr>
          <w:rFonts w:ascii="Arial" w:cs="Arial" w:eastAsia="Arial" w:hAnsi="Arial"/>
          <w:sz w:val="15"/>
          <w:szCs w:val="15"/>
          <w:color w:val="auto"/>
        </w:rPr>
        <w:t>Ratio of earnings to combined fixed charges and preference dividends (1)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Years 2012 through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-8255</wp:posOffset>
            </wp:positionV>
            <wp:extent cx="72466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574675</wp:posOffset>
            </wp:positionV>
            <wp:extent cx="724662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(18,888)</w:t>
            </w:r>
          </w:p>
        </w:tc>
        <w:tc>
          <w:tcPr>
            <w:tcW w:w="3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(16,389)</w:t>
            </w:r>
          </w:p>
        </w:tc>
        <w:tc>
          <w:tcPr>
            <w:tcW w:w="3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(57,705)</w:t>
            </w:r>
          </w:p>
        </w:tc>
        <w:tc>
          <w:tcPr>
            <w:tcW w:w="3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(54,790)</w:t>
            </w:r>
          </w:p>
        </w:tc>
        <w:tc>
          <w:tcPr>
            <w:tcW w:w="3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(80,177)</w:t>
            </w:r>
          </w:p>
        </w:tc>
      </w:tr>
      <w:tr>
        <w:trPr>
          <w:trHeight w:val="675"/>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8,971</w:t>
            </w:r>
          </w:p>
        </w:tc>
      </w:tr>
      <w:tr>
        <w:trPr>
          <w:trHeight w:val="459"/>
        </w:trPr>
        <w:tc>
          <w:tcPr>
            <w:tcW w:w="4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47"/>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(17,882)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(15,220)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(50,624)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(46,437)</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-650875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5,820</w:t>
            </w:r>
          </w:p>
        </w:tc>
      </w:tr>
      <w:tr>
        <w:trPr>
          <w:trHeight w:val="675"/>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3,151</w:t>
            </w:r>
          </w:p>
        </w:tc>
      </w:tr>
      <w:tr>
        <w:trPr>
          <w:trHeight w:val="27"/>
        </w:trPr>
        <w:tc>
          <w:tcPr>
            <w:tcW w:w="1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47"/>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-788035</wp:posOffset>
            </wp:positionV>
            <wp:extent cx="724662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5,820</w:t>
            </w:r>
          </w:p>
        </w:tc>
      </w:tr>
      <w:tr>
        <w:trPr>
          <w:trHeight w:val="675"/>
        </w:trPr>
        <w:tc>
          <w:tcPr>
            <w:tcW w:w="5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3,151</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76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8,971</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-1937385</wp:posOffset>
            </wp:positionV>
            <wp:extent cx="72466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-1131570</wp:posOffset>
            </wp:positionV>
            <wp:extent cx="72466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-410845</wp:posOffset>
            </wp:positionV>
            <wp:extent cx="724662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260"/>
            <w:col w:w="8220"/>
          </w:cols>
          <w:pgMar w:left="240" w:top="121" w:right="239" w:bottom="1440" w:gutter="0" w:footer="0" w:header="0"/>
        </w:sectPr>
      </w:pPr>
    </w:p>
    <w:p>
      <w:pPr>
        <w:spacing w:after="0" w:line="69" w:lineRule="exact"/>
        <w:rPr>
          <w:sz w:val="20"/>
          <w:szCs w:val="20"/>
          <w:color w:val="auto"/>
        </w:rPr>
      </w:pPr>
    </w:p>
    <w:p>
      <w:pPr>
        <w:ind w:right="34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Earnings for the years ended December 31, 2012, 2013, 2014, 2015 and 2016 were insufficient to cover fixed charges by $18.9 million, $16.4 million, $57.7 million, $54.8 million and $80.2 million, respectively.</w:t>
      </w:r>
    </w:p>
    <w:p>
      <w:pPr>
        <w:spacing w:after="0" w:line="13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21.1</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SUBSIDIARIES OF FLUIDIGM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K.K. (Japan)</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Europe, B.V. (Netherlands)</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Singapore Pte. Ltd. (Singapore)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(Shanghai) Instrument Technology Company Limited (China)</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Sciences Inc. (Delaware)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France SARL (France)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UK Limited (United Kingdom)</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GmbH (Germany)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Sciences Inc. (Delaware):</w:t>
      </w:r>
    </w:p>
    <w:p>
      <w:pPr>
        <w:spacing w:after="0" w:line="200" w:lineRule="exact"/>
        <w:rPr>
          <w:sz w:val="20"/>
          <w:szCs w:val="20"/>
          <w:color w:val="auto"/>
        </w:rPr>
      </w:pPr>
    </w:p>
    <w:p>
      <w:pPr>
        <w:spacing w:after="0" w:line="21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Fluidigm Canada Inc. (Ontario, Canada)</w:t>
      </w:r>
    </w:p>
    <w:p>
      <w:pPr>
        <w:sectPr>
          <w:pgSz w:w="11900" w:h="16838" w:orient="portrait"/>
          <w:cols w:equalWidth="0" w:num="1">
            <w:col w:w="11360"/>
          </w:cols>
          <w:pgMar w:left="300" w:top="36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(No.333-172206, 333-180363, 333-187204, 333-202325, 333-209904 and 333-215555), Form S-8 POS (No.333-209904), and Form S-3/S-8 (No. 333-194084), of Fluidigm Corporation of our report dated March 2, 2017 relating to the financial statements</w:t>
      </w:r>
      <w:r>
        <w:rPr>
          <w:rFonts w:ascii="Arial" w:cs="Arial" w:eastAsia="Arial" w:hAnsi="Arial"/>
          <w:sz w:val="18"/>
          <w:szCs w:val="18"/>
          <w:b w:val="1"/>
          <w:bCs w:val="1"/>
          <w:color w:val="auto"/>
        </w:rPr>
        <w:t>,</w:t>
      </w:r>
      <w:r>
        <w:rPr>
          <w:rFonts w:ascii="Arial" w:cs="Arial" w:eastAsia="Arial" w:hAnsi="Arial"/>
          <w:sz w:val="18"/>
          <w:szCs w:val="18"/>
          <w:color w:val="auto"/>
        </w:rPr>
        <w:t xml:space="preserve">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23.2</w:t>
      </w:r>
    </w:p>
    <w:p>
      <w:pPr>
        <w:spacing w:after="0" w:line="257"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line="342" w:lineRule="auto"/>
        <w:tabs>
          <w:tab w:leader="none" w:pos="2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Registration Statements (Form S-8 Nos. 333-172206, 333-180363, 333-187204, 333-202325, 333-209904 (as amended) and 333-215555) pertaining to the 1999 Stock Option Plan, 2009 Equity Incentive Plan, 2011 Equity Incentive Plan, 2017 Inducement Award Plan of Fluidigm Corporation, and</w:t>
      </w:r>
    </w:p>
    <w:p>
      <w:pPr>
        <w:spacing w:after="0" w:line="123" w:lineRule="exact"/>
        <w:rPr>
          <w:rFonts w:ascii="Arial" w:cs="Arial" w:eastAsia="Arial" w:hAnsi="Arial"/>
          <w:sz w:val="16"/>
          <w:szCs w:val="16"/>
          <w:color w:val="auto"/>
        </w:rPr>
      </w:pPr>
    </w:p>
    <w:p>
      <w:pPr>
        <w:ind w:left="340" w:right="120" w:hanging="332"/>
        <w:spacing w:after="0" w:line="264" w:lineRule="auto"/>
        <w:tabs>
          <w:tab w:leader="none" w:pos="2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S-8/S-3 No. 333-194084) pertaining to (a) the 2011 Equity Incentive Plan of Fluidigm Corporation, (b) stock options granted under the DVS Sciences, Inc. 2010 Equity Incentive Plan, as amended, assumed by Fluidigm Corporation, and (c) the DVS Sciences, Inc. Stock Restriction Agreements and Restricted Stock Purchase Agreements assumed by Fluidigm Corporation;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our report dated February 29, 2016, with respect to the consolidated financial statements of Fluidigm Corporation of Fluidigm Corporation included in this Annual Report (Form 10-K) of Fluidigm Corporation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March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42"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March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1060" w:right="460" w:firstLine="1"/>
        <w:spacing w:after="0" w:line="277" w:lineRule="auto"/>
        <w:tabs>
          <w:tab w:leader="none" w:pos="12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060" w:right="480" w:firstLine="1"/>
        <w:spacing w:after="0" w:line="277" w:lineRule="auto"/>
        <w:tabs>
          <w:tab w:leader="none" w:pos="13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7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Date: March 2, 2017</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900" w:right="620" w:hanging="1"/>
        <w:spacing w:after="0" w:line="277" w:lineRule="auto"/>
        <w:tabs>
          <w:tab w:leader="none" w:pos="11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2016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900" w:right="640" w:hanging="1"/>
        <w:spacing w:after="0" w:line="277" w:lineRule="auto"/>
        <w:tabs>
          <w:tab w:leader="none" w:pos="11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50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39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Date: March 2,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2"/>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6"/>
    </w:lvl>
  </w:abstractNum>
  <w:abstractNum w:abstractNumId="26">
    <w:nsid w:val="3006C83E"/>
    <w:multiLevelType w:val="hybridMultilevel"/>
    <w:lvl w:ilvl="0">
      <w:lvlJc w:val="left"/>
      <w:lvlText w:val="%1."/>
      <w:numFmt w:val="decimal"/>
      <w:start w:val="8"/>
    </w:lvl>
  </w:abstractNum>
  <w:abstractNum w:abstractNumId="27">
    <w:nsid w:val="614FD4A1"/>
    <w:multiLevelType w:val="hybridMultilevel"/>
    <w:lvl w:ilvl="0">
      <w:lvlJc w:val="left"/>
      <w:lvlText w:val="%1."/>
      <w:numFmt w:val="decimal"/>
      <w:start w:val="9"/>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4"/>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endash "/>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Roman"/>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2019-12-29T07:15:40Z</dcterms:created>
  <dcterms:modified xsi:type="dcterms:W3CDTF">2019-12-29T07:15:40Z</dcterms:modified>
</cp:coreProperties>
</file>