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170815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740" w:right="1840" w:hanging="3705"/>
        <w:spacing w:after="0" w:line="454"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283210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167640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320" w:type="dxa"/>
            <w:vAlign w:val="bottom"/>
            <w:gridSpan w:val="2"/>
          </w:tcPr>
          <w:p>
            <w:pPr>
              <w:jc w:val="center"/>
              <w:ind w:left="3819"/>
              <w:spacing w:after="0"/>
              <w:rPr>
                <w:sz w:val="20"/>
                <w:szCs w:val="20"/>
                <w:color w:val="auto"/>
              </w:rPr>
            </w:pPr>
            <w:r>
              <w:rPr>
                <w:rFonts w:ascii="Arial" w:cs="Arial" w:eastAsia="Arial" w:hAnsi="Arial"/>
                <w:sz w:val="18"/>
                <w:szCs w:val="18"/>
                <w:b w:val="1"/>
                <w:bCs w:val="1"/>
                <w:color w:val="auto"/>
                <w:w w:val="89"/>
              </w:rPr>
              <w:t>77-0513190</w:t>
            </w:r>
          </w:p>
        </w:tc>
      </w:tr>
      <w:tr>
        <w:trPr>
          <w:trHeight w:val="180"/>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20" w:type="dxa"/>
            <w:vAlign w:val="bottom"/>
            <w:gridSpan w:val="2"/>
          </w:tcPr>
          <w:p>
            <w:pPr>
              <w:jc w:val="center"/>
              <w:ind w:left="383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320" w:type="dxa"/>
            <w:vAlign w:val="bottom"/>
            <w:gridSpan w:val="2"/>
          </w:tcPr>
          <w:p>
            <w:pPr>
              <w:jc w:val="center"/>
              <w:ind w:left="3819"/>
              <w:spacing w:after="0"/>
              <w:rPr>
                <w:sz w:val="20"/>
                <w:szCs w:val="20"/>
                <w:color w:val="auto"/>
              </w:rPr>
            </w:pPr>
            <w:r>
              <w:rPr>
                <w:rFonts w:ascii="Arial" w:cs="Arial" w:eastAsia="Arial" w:hAnsi="Arial"/>
                <w:sz w:val="14"/>
                <w:szCs w:val="14"/>
                <w:b w:val="1"/>
                <w:bCs w:val="1"/>
                <w:color w:val="auto"/>
                <w:w w:val="95"/>
              </w:rPr>
              <w:t>Identification Number)</w:t>
            </w:r>
          </w:p>
        </w:tc>
      </w:tr>
      <w:tr>
        <w:trPr>
          <w:trHeight w:val="264"/>
        </w:trPr>
        <w:tc>
          <w:tcPr>
            <w:tcW w:w="1900" w:type="dxa"/>
            <w:vAlign w:val="bottom"/>
          </w:tcPr>
          <w:p>
            <w:pPr>
              <w:spacing w:after="0"/>
              <w:rPr>
                <w:sz w:val="22"/>
                <w:szCs w:val="22"/>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9"/>
              </w:rPr>
              <w:t>7000 Shoreline Court, Suite 100</w:t>
            </w:r>
          </w:p>
        </w:tc>
      </w:tr>
      <w:tr>
        <w:trPr>
          <w:trHeight w:val="212"/>
        </w:trPr>
        <w:tc>
          <w:tcPr>
            <w:tcW w:w="1900" w:type="dxa"/>
            <w:vAlign w:val="bottom"/>
          </w:tcPr>
          <w:p>
            <w:pPr>
              <w:spacing w:after="0"/>
              <w:rPr>
                <w:sz w:val="18"/>
                <w:szCs w:val="18"/>
                <w:color w:val="auto"/>
              </w:rPr>
            </w:pPr>
          </w:p>
        </w:tc>
        <w:tc>
          <w:tcPr>
            <w:tcW w:w="53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0"/>
              </w:rPr>
              <w:t>South San Francisco, California 94080</w:t>
            </w:r>
          </w:p>
        </w:tc>
      </w:tr>
      <w:tr>
        <w:trPr>
          <w:trHeight w:val="186"/>
        </w:trPr>
        <w:tc>
          <w:tcPr>
            <w:tcW w:w="1900" w:type="dxa"/>
            <w:vAlign w:val="bottom"/>
          </w:tcPr>
          <w:p>
            <w:pPr>
              <w:spacing w:after="0"/>
              <w:rPr>
                <w:sz w:val="16"/>
                <w:szCs w:val="16"/>
                <w:color w:val="auto"/>
              </w:rPr>
            </w:pPr>
          </w:p>
        </w:tc>
        <w:tc>
          <w:tcPr>
            <w:tcW w:w="53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2"/>
              </w:rPr>
              <w:t>(Address of principal executive offices) (Zip Code)</w:t>
            </w:r>
          </w:p>
        </w:tc>
      </w:tr>
      <w:tr>
        <w:trPr>
          <w:trHeight w:val="354"/>
        </w:trPr>
        <w:tc>
          <w:tcPr>
            <w:tcW w:w="19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0"/>
              </w:rPr>
              <w:t>(650) 266-6000</w:t>
            </w:r>
          </w:p>
        </w:tc>
        <w:tc>
          <w:tcPr>
            <w:tcW w:w="1120" w:type="dxa"/>
            <w:vAlign w:val="bottom"/>
          </w:tcPr>
          <w:p>
            <w:pPr>
              <w:spacing w:after="0"/>
              <w:rPr>
                <w:sz w:val="24"/>
                <w:szCs w:val="24"/>
                <w:color w:val="auto"/>
              </w:rPr>
            </w:pPr>
          </w:p>
        </w:tc>
      </w:tr>
      <w:tr>
        <w:trPr>
          <w:trHeight w:val="186"/>
        </w:trPr>
        <w:tc>
          <w:tcPr>
            <w:tcW w:w="1900" w:type="dxa"/>
            <w:vAlign w:val="bottom"/>
          </w:tcPr>
          <w:p>
            <w:pPr>
              <w:spacing w:after="0"/>
              <w:rPr>
                <w:sz w:val="16"/>
                <w:szCs w:val="16"/>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55"/>
        </w:trPr>
        <w:tc>
          <w:tcPr>
            <w:tcW w:w="1900" w:type="dxa"/>
            <w:vAlign w:val="bottom"/>
          </w:tcPr>
          <w:p>
            <w:pPr>
              <w:spacing w:after="0"/>
              <w:rPr>
                <w:sz w:val="22"/>
                <w:szCs w:val="22"/>
                <w:color w:val="auto"/>
              </w:rPr>
            </w:pPr>
          </w:p>
        </w:tc>
        <w:tc>
          <w:tcPr>
            <w:tcW w:w="4200" w:type="dxa"/>
            <w:vAlign w:val="bottom"/>
            <w:tcBorders>
              <w:bottom w:val="single" w:sz="8" w:color="auto"/>
            </w:tcBorders>
          </w:tcPr>
          <w:p>
            <w:pPr>
              <w:spacing w:after="0"/>
              <w:rPr>
                <w:sz w:val="22"/>
                <w:szCs w:val="22"/>
                <w:color w:val="auto"/>
              </w:rPr>
            </w:pPr>
          </w:p>
        </w:tc>
        <w:tc>
          <w:tcPr>
            <w:tcW w:w="1120" w:type="dxa"/>
            <w:vAlign w:val="bottom"/>
          </w:tcPr>
          <w:p>
            <w:pPr>
              <w:spacing w:after="0"/>
              <w:rPr>
                <w:sz w:val="22"/>
                <w:szCs w:val="22"/>
                <w:color w:val="auto"/>
              </w:rPr>
            </w:pPr>
          </w:p>
        </w:tc>
      </w:tr>
    </w:tbl>
    <w:p>
      <w:pPr>
        <w:spacing w:after="0" w:line="310"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1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840"/>
              <w:spacing w:after="0"/>
              <w:rPr>
                <w:sz w:val="20"/>
                <w:szCs w:val="20"/>
                <w:color w:val="auto"/>
              </w:rPr>
            </w:pPr>
            <w:r>
              <w:rPr>
                <w:rFonts w:ascii="Arial" w:cs="Arial" w:eastAsia="Arial" w:hAnsi="Arial"/>
                <w:sz w:val="18"/>
                <w:szCs w:val="18"/>
                <w:color w:val="auto"/>
                <w:w w:val="95"/>
              </w:rPr>
              <w:t>(Do not check if a smaller reporting company)</w:t>
            </w:r>
          </w:p>
        </w:tc>
        <w:tc>
          <w:tcPr>
            <w:tcW w:w="260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0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27, 2017, there were 38,647,687 shares of the Registrant’s common stock, $0.001 par value per share, outstanding.</w:t>
      </w:r>
    </w:p>
    <w:p>
      <w:pPr>
        <w:sectPr>
          <w:pgSz w:w="11900" w:h="16838" w:orient="portrait"/>
          <w:cols w:equalWidth="0" w:num="1">
            <w:col w:w="11380"/>
          </w:cols>
          <w:pgMar w:left="240" w:top="233" w:right="279" w:bottom="1440" w:gutter="0" w:footer="0" w:header="0"/>
        </w:sect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Page</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40" w:type="dxa"/>
            <w:vAlign w:val="bottom"/>
            <w:gridSpan w:val="10"/>
          </w:tcPr>
          <w:p>
            <w:pPr>
              <w:jc w:val="center"/>
              <w:ind w:right="31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0" w:type="dxa"/>
            <w:vAlign w:val="bottom"/>
          </w:tcPr>
          <w:p>
            <w:pPr>
              <w:spacing w:after="0"/>
              <w:rPr>
                <w:sz w:val="24"/>
                <w:szCs w:val="24"/>
                <w:color w:val="auto"/>
              </w:rPr>
            </w:pPr>
          </w:p>
        </w:tc>
        <w:tc>
          <w:tcPr>
            <w:tcW w:w="2260" w:type="dxa"/>
            <w:vAlign w:val="bottom"/>
            <w:tcBorders>
              <w:top w:val="single" w:sz="8" w:color="0000FF"/>
            </w:tcBorders>
            <w:gridSpan w:val="5"/>
          </w:tcPr>
          <w:p>
            <w:pPr>
              <w:spacing w:after="0"/>
              <w:rPr>
                <w:sz w:val="24"/>
                <w:szCs w:val="24"/>
                <w:color w:val="auto"/>
              </w:rPr>
            </w:pPr>
          </w:p>
        </w:tc>
        <w:tc>
          <w:tcPr>
            <w:tcW w:w="3180" w:type="dxa"/>
            <w:vAlign w:val="bottom"/>
            <w:gridSpan w:val="5"/>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6300" w:type="dxa"/>
            <w:vAlign w:val="bottom"/>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September 30, 2017 and December 31, 2016</w:t>
              </w:r>
            </w:hyperlink>
          </w:p>
        </w:tc>
        <w:tc>
          <w:tcPr>
            <w:tcW w:w="2280" w:type="dxa"/>
            <w:vAlign w:val="bottom"/>
            <w:gridSpan w:val="4"/>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00" w:type="dxa"/>
            <w:vAlign w:val="bottom"/>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2017 and 2016</w:t>
              </w:r>
            </w:hyperlink>
          </w:p>
        </w:tc>
        <w:tc>
          <w:tcPr>
            <w:tcW w:w="80" w:type="dxa"/>
            <w:vAlign w:val="bottom"/>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80" w:type="dxa"/>
            <w:vAlign w:val="bottom"/>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and nine months ended September 30, 2017</w:t>
              </w:r>
            </w:hyperlink>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5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2016</w:t>
              </w:r>
            </w:hyperlink>
          </w:p>
        </w:tc>
        <w:tc>
          <w:tcPr>
            <w:tcW w:w="80" w:type="dxa"/>
            <w:vAlign w:val="bottom"/>
          </w:tcPr>
          <w:p>
            <w:pPr>
              <w:spacing w:after="0"/>
              <w:rPr>
                <w:sz w:val="17"/>
                <w:szCs w:val="17"/>
                <w:color w:val="auto"/>
              </w:rPr>
            </w:pPr>
          </w:p>
        </w:tc>
        <w:tc>
          <w:tcPr>
            <w:tcW w:w="1680" w:type="dxa"/>
            <w:vAlign w:val="bottom"/>
            <w:gridSpan w:val="4"/>
          </w:tcPr>
          <w:p>
            <w:pPr>
              <w:jc w:val="right"/>
              <w:ind w:right="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7840" w:type="dxa"/>
            <w:vAlign w:val="bottom"/>
            <w:gridSpan w:val="1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2017 and 2016</w:t>
              </w:r>
            </w:hyperlink>
          </w:p>
        </w:tc>
        <w:tc>
          <w:tcPr>
            <w:tcW w:w="74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4000" w:type="dxa"/>
            <w:vAlign w:val="bottom"/>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840" w:type="dxa"/>
            <w:vAlign w:val="bottom"/>
            <w:gridSpan w:val="6"/>
          </w:tcPr>
          <w:p>
            <w:pPr>
              <w:spacing w:after="0"/>
              <w:rPr>
                <w:sz w:val="24"/>
                <w:szCs w:val="24"/>
                <w:color w:val="auto"/>
              </w:rPr>
            </w:pPr>
          </w:p>
        </w:tc>
        <w:tc>
          <w:tcPr>
            <w:tcW w:w="74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18</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Quantitative and Qualitative Disclosures About Market Risk</w:t>
              </w:r>
            </w:hyperlink>
          </w:p>
        </w:tc>
        <w:tc>
          <w:tcPr>
            <w:tcW w:w="2100" w:type="dxa"/>
            <w:vAlign w:val="bottom"/>
            <w:gridSpan w:val="4"/>
          </w:tcPr>
          <w:p>
            <w:pPr>
              <w:spacing w:after="0"/>
              <w:rPr>
                <w:sz w:val="24"/>
                <w:szCs w:val="24"/>
                <w:color w:val="auto"/>
              </w:rPr>
            </w:pPr>
          </w:p>
        </w:tc>
        <w:tc>
          <w:tcPr>
            <w:tcW w:w="2120" w:type="dxa"/>
            <w:vAlign w:val="bottom"/>
            <w:gridSpan w:val="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27</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Controls and Procedures</w:t>
              </w:r>
            </w:hyperlink>
          </w:p>
        </w:tc>
        <w:tc>
          <w:tcPr>
            <w:tcW w:w="422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10"/>
          </w:tcPr>
          <w:p>
            <w:pPr>
              <w:jc w:val="center"/>
              <w:ind w:right="3160"/>
              <w:spacing w:after="0"/>
              <w:rPr>
                <w:rFonts w:ascii="Arial" w:cs="Arial" w:eastAsia="Arial" w:hAnsi="Arial"/>
                <w:sz w:val="18"/>
                <w:szCs w:val="18"/>
                <w:color w:val="0000FF"/>
                <w:w w:val="96"/>
              </w:rPr>
            </w:pPr>
            <w:hyperlink w:anchor="page29">
              <w:r>
                <w:rPr>
                  <w:rFonts w:ascii="Arial" w:cs="Arial" w:eastAsia="Arial" w:hAnsi="Arial"/>
                  <w:sz w:val="18"/>
                  <w:szCs w:val="18"/>
                  <w:color w:val="0000FF"/>
                  <w:w w:val="96"/>
                </w:rPr>
                <w:t>OTHER INFORMATION</w:t>
              </w:r>
            </w:hyperlink>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29">
              <w:r>
                <w:rPr>
                  <w:rFonts w:ascii="Arial" w:cs="Arial" w:eastAsia="Arial" w:hAnsi="Arial"/>
                  <w:sz w:val="18"/>
                  <w:szCs w:val="18"/>
                  <w:color w:val="0000FF"/>
                  <w:w w:val="85"/>
                </w:rPr>
                <w:t>Legal Proceedings</w:t>
              </w:r>
            </w:hyperlink>
          </w:p>
        </w:tc>
        <w:tc>
          <w:tcPr>
            <w:tcW w:w="2020" w:type="dxa"/>
            <w:vAlign w:val="bottom"/>
            <w:gridSpan w:val="4"/>
          </w:tcPr>
          <w:p>
            <w:pPr>
              <w:spacing w:after="0"/>
              <w:rPr>
                <w:sz w:val="24"/>
                <w:szCs w:val="24"/>
                <w:color w:val="auto"/>
              </w:rPr>
            </w:pPr>
          </w:p>
        </w:tc>
        <w:tc>
          <w:tcPr>
            <w:tcW w:w="1880" w:type="dxa"/>
            <w:vAlign w:val="bottom"/>
            <w:tcBorders>
              <w:top w:val="single" w:sz="8" w:color="0000FF"/>
            </w:tcBorders>
            <w:gridSpan w:val="3"/>
          </w:tcPr>
          <w:p>
            <w:pPr>
              <w:spacing w:after="0"/>
              <w:rPr>
                <w:sz w:val="24"/>
                <w:szCs w:val="24"/>
                <w:color w:val="auto"/>
              </w:rPr>
            </w:pPr>
          </w:p>
        </w:tc>
        <w:tc>
          <w:tcPr>
            <w:tcW w:w="3360" w:type="dxa"/>
            <w:vAlign w:val="bottom"/>
            <w:gridSpan w:val="6"/>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60" w:type="dxa"/>
            <w:vAlign w:val="bottom"/>
            <w:tcBorders>
              <w:left w:val="single" w:sz="8" w:color="0000FF"/>
            </w:tcBorders>
            <w:gridSpan w:val="1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7260" w:type="dxa"/>
            <w:vAlign w:val="bottom"/>
            <w:gridSpan w:val="1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60" w:type="dxa"/>
            <w:vAlign w:val="bottom"/>
            <w:gridSpan w:val="1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Other Information</w:t>
              </w:r>
            </w:hyperlink>
          </w:p>
        </w:tc>
        <w:tc>
          <w:tcPr>
            <w:tcW w:w="7260" w:type="dxa"/>
            <w:vAlign w:val="bottom"/>
            <w:gridSpan w:val="1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7260" w:type="dxa"/>
            <w:vAlign w:val="bottom"/>
            <w:gridSpan w:val="1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88"/>
              </w:rPr>
            </w:pPr>
            <w:hyperlink w:anchor="page56">
              <w:r>
                <w:rPr>
                  <w:rFonts w:ascii="Arial" w:cs="Arial" w:eastAsia="Arial" w:hAnsi="Arial"/>
                  <w:sz w:val="18"/>
                  <w:szCs w:val="18"/>
                  <w:color w:val="0000FF"/>
                  <w:w w:val="88"/>
                </w:rPr>
                <w:t>Exhibits</w:t>
              </w:r>
            </w:hyperlink>
          </w:p>
        </w:tc>
        <w:tc>
          <w:tcPr>
            <w:tcW w:w="720" w:type="dxa"/>
            <w:vAlign w:val="bottom"/>
            <w:gridSpan w:val="2"/>
          </w:tcPr>
          <w:p>
            <w:pPr>
              <w:spacing w:after="0"/>
              <w:rPr>
                <w:sz w:val="24"/>
                <w:szCs w:val="24"/>
                <w:color w:val="auto"/>
              </w:rPr>
            </w:pPr>
          </w:p>
        </w:tc>
        <w:tc>
          <w:tcPr>
            <w:tcW w:w="7260" w:type="dxa"/>
            <w:vAlign w:val="bottom"/>
            <w:gridSpan w:val="1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980" w:type="dxa"/>
            <w:vAlign w:val="bottom"/>
            <w:gridSpan w:val="1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SIGNATURES</w:t>
              </w:r>
            </w:hyperlink>
          </w:p>
        </w:tc>
        <w:tc>
          <w:tcPr>
            <w:tcW w:w="8380" w:type="dxa"/>
            <w:vAlign w:val="bottom"/>
            <w:gridSpan w:val="16"/>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8380" w:type="dxa"/>
            <w:vAlign w:val="bottom"/>
            <w:gridSpan w:val="1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EXHIBIT LIST</w:t>
              </w:r>
            </w:hyperlink>
          </w:p>
        </w:tc>
        <w:tc>
          <w:tcPr>
            <w:tcW w:w="8380" w:type="dxa"/>
            <w:vAlign w:val="bottom"/>
            <w:gridSpan w:val="16"/>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r>
      <w:tr>
        <w:trPr>
          <w:trHeight w:val="20"/>
        </w:trPr>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00"/>
          </w:cols>
          <w:pgMar w:left="240" w:top="12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(Note 2)</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35,045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24,385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Accounts receivable (net of allowances of $391 at September 30, 2017 and $502 at December 31, 2016)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14,610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17,746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20,114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96,166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96,671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6,987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9,291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104,108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291,996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306,395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8,332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12,374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 current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29,500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194,951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liability, net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15,916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21,140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252,926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253,162</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(see Note 7)</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0"/>
              </w:rPr>
              <w:t>Preferred stock, $0.001 par value, 10,000 shares authorized, no shares issued and outstanding at September 30,</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2017 and December 31, 2016</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$0.001 par value, 200,000 shares authorized at September 30, 2017 and December 31, 2016;</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38,622 and 29,208 shares issued and outstanding as of September 30, 2017 and December 31, 2016,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529,500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493,441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(489,738)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(439,477)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53,233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291,996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306,395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20,576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17,992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61,383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68,095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License revenue</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79,362</w:t>
            </w:r>
          </w:p>
        </w:tc>
        <w:tc>
          <w:tcPr>
            <w:tcW w:w="0" w:type="dxa"/>
            <w:vAlign w:val="bottom"/>
          </w:tcPr>
          <w:p>
            <w:pPr>
              <w:spacing w:after="0"/>
              <w:rPr>
                <w:sz w:val="1"/>
                <w:szCs w:val="1"/>
                <w:color w:val="auto"/>
              </w:rPr>
            </w:pP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31,097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Cost of service revenue</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20,102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21,123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63,653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70,444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40,349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134,856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(60,382)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(58,289)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loss per share, basic and diluted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28,959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(58,289)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Net change in unrealized gain (loss) on investments</w:t>
            </w: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92</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(50,049)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(58,056)</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(50,078)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(58,289)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4,972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 of developed technology</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8,400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non-cash items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(4,136)</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(972)</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(28,408)</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(38,564)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sales and maturities of investments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24,375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71,922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investment in Verinata</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(4,371)</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31,317</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proceeds from issuance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28,816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29,117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60,944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32,306</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81"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64" w:lineRule="exact"/>
        <w:rPr>
          <w:sz w:val="20"/>
          <w:szCs w:val="20"/>
          <w:color w:val="auto"/>
        </w:rPr>
      </w:pPr>
    </w:p>
    <w:p>
      <w:pPr>
        <w:ind w:right="778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2016 has been derived from audited consolidated financial statements at that date but does not include all disclosures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statement of our financial information. The results of operations for the three and nine months ended September 30, 2017 are not necessarily indicative of the results to be expected for the year ending December 31, 2017 or for any other interim period or for any other future year. All intercompany accounts and transactions have been eliminated upon consolidation.</w:t>
      </w:r>
    </w:p>
    <w:p>
      <w:pPr>
        <w:spacing w:after="0" w:line="18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preparation of these condensed consolidated financial statements requires us to make estimates and judgments that affect the reported amounts of assets, liabilities, revenue, expenses, and related disclosures. On an ongoing basis, we evaluate our estimates, including critical accounting policies or estimates related to revenue recognition, income tax provisions, stock-based compensation, inventory valuation, allowances for doubtful accounts, and useful lives of long-lived assets. We base our estimates on historical experience and on various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78" w:lineRule="exact"/>
        <w:rPr>
          <w:sz w:val="20"/>
          <w:szCs w:val="20"/>
          <w:color w:val="auto"/>
        </w:rPr>
      </w:pPr>
    </w:p>
    <w:p>
      <w:pPr>
        <w:jc w:val="both"/>
        <w:ind w:right="50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accompanying notes in Item 8 of Part II, "Financial Statements and Supplementary Data," for the year ended December 31, 2016 included in our Annual Report on Form 10-K.</w:t>
      </w:r>
    </w:p>
    <w:p>
      <w:pPr>
        <w:spacing w:after="0" w:line="18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Certain prior period amounts in the condensed consolidated statements of cash flows have been reclassified to conform to the current period presentation. These reclassifications did not affect the prior period total assets, total liabilities, stockholders' equity, total revenue, total costs and expenses, loss from operations or net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common stock are considered to be potentially dilutive common shares but have been excluded from the calculation of diluted net loss per share as their effect is anti-dilutive for all periods presented.</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125" w:right="3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potentially dilutive common shares were excluded from the computation of diluted net loss per share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because they would have been anti-dilutive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304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460" w:type="dxa"/>
            <w:vAlign w:val="bottom"/>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60" w:type="dxa"/>
            <w:vAlign w:val="bottom"/>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restricted stock units and performance awards</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3,742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4,947</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3,598</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3,598</w:t>
            </w:r>
          </w:p>
        </w:tc>
      </w:tr>
      <w:tr>
        <w:trPr>
          <w:trHeight w:val="27"/>
        </w:trPr>
        <w:tc>
          <w:tcPr>
            <w:tcW w:w="5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7,340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8,545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7,340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8,545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three and nine months ended September 30, 2017 are summarized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15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Net Unrealized Gain</w:t>
            </w:r>
          </w:p>
        </w:tc>
        <w:tc>
          <w:tcPr>
            <w:tcW w:w="120" w:type="dxa"/>
            <w:vAlign w:val="bottom"/>
          </w:tcPr>
          <w:p>
            <w:pPr>
              <w:spacing w:after="0"/>
              <w:rPr>
                <w:sz w:val="14"/>
                <w:szCs w:val="14"/>
                <w:color w:val="auto"/>
              </w:rPr>
            </w:pPr>
          </w:p>
        </w:tc>
        <w:tc>
          <w:tcPr>
            <w:tcW w:w="13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2"/>
              </w:rPr>
              <w:t>Accumulated 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(Loss) on Securities</w:t>
            </w:r>
          </w:p>
        </w:tc>
        <w:tc>
          <w:tcPr>
            <w:tcW w:w="14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Comprehensive Loss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De minimus amounts of unrealized gains and losses have been reclassified into the condensed consolidated statement of operations for the three and nine months ended September 30, 2017. The tax effect of each component of other comprehensive income was immaterial for the three and nine months ended September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at cost</w:t>
      </w:r>
    </w:p>
    <w:p>
      <w:pPr>
        <w:spacing w:after="0" w:line="229"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In February 2013, Illumina, Inc. acquired Verinata Health, Inc. (Verinata), a privately-held company, for $350 million in cash and up to an additional $100 million in milestone payments through December 2015. In March 2013, we received cash proceeds of $3.1 million in exchange for our ownership interest in Verinata resulting in a gain of $1.8 million. During the third quarter of 2014, we received cash proceeds of $0.3 million from the escrow account related to the acquisition. We recorded these amounts as "Gain from sale of investment in Verinata" in the consolidated statements of operations for the year ended December 31, 2014. The final milestones related to the sale of Verinata to Illumina were met in December 2015 and, accordingly, we recorded our share of these milestone payment obligations in the amount of $2.3 million in Gain from sale of investment in Verinata in the consolidated statement of operations for the year ended December 31, 2015. In January 2016, we received the payment of $2.3 million and it was recorded in net cash provided by investing activities in the condensed consolidated statement of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including Goodwill</w:t>
      </w:r>
    </w:p>
    <w:p>
      <w:pPr>
        <w:spacing w:after="0" w:line="22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22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July 2015, the FASB issued ASU 2015-11 Inventory (Topic 330): Simplifying the Measurement of Inventory, which changed the measurement principle for inventory from the lower of cost or market to the lower of cost or net realizable value. ASU 2015-11 defines net realizable value as estimated selling prices in the ordinary course of business, less reasonably predictable costs of completion, disposal, and transportation. We adopted this standard in the first quarter of 2017. The adoption of this ASU did not have a material impact on our consolidated financial statements.</w:t>
      </w:r>
    </w:p>
    <w:p>
      <w:pPr>
        <w:spacing w:after="0" w:line="171"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This ASU simplified several aspects of the accounting for share-based payments, including changing the threshold to qualify for equity classification up to the employees’ maximum statutory tax rates, allowing an entity-wide accounting policy election to either estimate the number of awards that are expected to vest or account for forfeitures as they occur, and clarifying the classification on the statement of cash flows of employee taxes paid when an employer withholds shares for tax-withholding purposes. We adopted this standard in the first quarter of 2017 by recording the cumulative impact of applying this guidance to retained earnings. We also elected to account for forfeitures as they occur, as permitted by ASU 2016-09. The adoption of this ASU did not have a material impact on our consolidated financial statements. See Note 9 for the impact on deferred tax assets.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In May 2014, the Financial Accounting Standards Board (FASB) issued Accounting Standard Update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ASU 2016-12, issued in May 2016, provides narrow scope improvements and practical expedients related to ASU 2014-09. The improvements address completed contracts and contract modifications at transition, non-cash consideration, the presentation of sales taxes and other taxes collected from customers, and assessment of collectability when determining whether a transaction represents a valid contract. In July, 2015, the FASB amended ASU 2014-09 to defer the effective date by one year with early adoption permitted as of the original effective date. ASU 2014-09 and ASU 2016-12 will be effective for our fiscal year beginning January 1, 2018, with early adoption permitted.</w:t>
      </w:r>
    </w:p>
    <w:p>
      <w:pPr>
        <w:spacing w:after="0" w:line="179"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We currently plan to adopt ASU 2014-09 in the first quarter of 2018, using the modified retrospective method. We have made significant progress toward completing our assessment of the impact of adopting ASU 2014-09 and are finalizing our implementation plan. While we have not completed our assessment of the impact of the new revenue recognition standard, we expect that this new standard will not have a material impact on our consolidated financial statements. We expect that the new revenue recognition standard’s broader definition of variable consideration will require us to estimate and record certain payments from customers. ASU 2014-09 requires that the transaction price received from customers be allocated to each separate and distinct performance obligation. We are evaluating whether our service plans contain separate and distinct performance obligations. If we determine that our service plans do not contain separate and distinct performance obligations, the fees we receive upfront for our service plans will be recognized as revenue ratably over the term of the service plan, which is our current practice. Under the modified retrospective method, periods prior to the adoption of ASU 2014-09 are not restated and the cumulative effect of initially applying the new standard is reflected in the opening balance of retained earnings as of January 1, 2018. Incremental disclosures are required for significant differences between the reported results under the new standard and those that would have been reported under the legacy standard. We will continue to monitor the effect of additional modifications, clarifications or interpretations issued by the FASB on our current conclusions.</w:t>
      </w:r>
    </w:p>
    <w:p>
      <w:pPr>
        <w:spacing w:after="0" w:line="18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February 2016, the FASB issued ASU 2016-02 Leases (Topic 842). This ASU requires lessees to recognize a right-of-use asset and a lease liability on the balance sheet for all leases with the exception of short-term leases. For lessees, leases will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continue to be classified as either operating or finance leases in the income statement. Lessor accounting under this ASU is similar to the current model but updated to align with certain changes to the lessee model. Lessors will continue to classify leases as operating, direct financing or sales-type leases. ASU 2016-02 will be effective for our fiscal year beginning January 1, 2019 and early adoption is permitted. We are currently evaluating the accounting, transition, and disclosure requirements of the standard. We have not yet determined whether we will elect early adoption of the standard and cannot currently estimate the financial statement impact of adoption.</w:t>
      </w:r>
    </w:p>
    <w:p>
      <w:pPr>
        <w:spacing w:after="0" w:line="188"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In November 2016, the FASB issued ASU 2016-18 Statement of Cash Flows (Topic 230): Restricted Cash, a consensus of the FASB’s Emerging Issues Task Force, amending the presentation of restricted cash within the statement of cash flows. The new guidance requires that restricted cash be included within cash and cash equivalents on the statement of cash flows. ASU 2016-18 will be effective for our fiscal year beginning January 1, 2018, with early adoption permitted. We currently expect the adoption of this ASU will not have a material impact on our consolidated financial statements.</w:t>
      </w:r>
    </w:p>
    <w:p>
      <w:pPr>
        <w:spacing w:after="0" w:line="171"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will be effective for annual and interim goodwill impairment testing performed for our fiscal year beginning January 1, 2020, with early adoption permitted. We are currently evaluating the adoption of this ASU and cannot estimate the financial statement impact of adoption.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Notes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February 4, 2014, we closed an underwritten public offering of $201.3 million aggregate principal amount of our 2.75% Senior Convertible Notes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due 2034 (Notes) pursuant to an underwriting agreement, dated January 29, 2014. The Notes accrue interest at a rate of 2.75% per year, payable semi-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annually in arrears on February 1 and August 1 of each year. The Notes will mature on February 1, 2034, unless earlier converted, redeemed, or repurchased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terms of the Notes. The initial conversion rate of the Notes is 17.8750 shares of our common stock, par value $0.001 per share,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Notes (which is equivalent to an initial conversion price of approximately $55.94 per share). The conversion rate will be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 upon the occurrence of certain specified events. Holders may surrender their Notes for conversion at any time prior to the stated maturity date. On</w:t>
      </w:r>
    </w:p>
    <w:p>
      <w:pPr>
        <w:spacing w:after="0" w:line="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or after February 6, 2018 and prior to February 6, 2021, we may redeem any or all of the Notes in cash if the closing price of our common stock exceeds 130% of the conversion price for a specified number of days, and on or after February 6, 2021, we may redeem any or all of the Notes in cash without any such condition. The redemption price of the Notes will equal 100% of the principal amount of the Notes plus accrued and unpaid interest. Holders may require us to repurchase all or a portion of their Notes on each of February 6, 2021, February 6, 2024, and February 6, 2029 at a repurchase price in cash equal to 100% of the principal amount of the Notes plus accrued and unpaid interest. If we undergo a fundamental change, as defined in the terms of the Notes, holders may require us to repurchase the Notes in whole or in part for cash at a repurchase price equal to 100% of the principal amount of the Notes plus accrued and unpaid interest.</w:t>
      </w:r>
    </w:p>
    <w:p>
      <w:pPr>
        <w:spacing w:after="0" w:line="193"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In February 2014, we received $195.2 million, net of underwriting discounts, from the issuance of the Notes and incurred approximately $1.1 million in offering-related expenses. The underwriting discount of $6.0 million and the debt issuance costs of $1.1 million were recorded as offsets to the proceeds.</w:t>
      </w:r>
    </w:p>
    <w:p>
      <w:pPr>
        <w:spacing w:after="0" w:line="124"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In February 2014, we used $113.2 million of the net proceeds to fund the cash portion of the consideration payable by us in connection with our acquisition of DVS Sciences, Inc. (now Fluidigm Sciences Inc.). Interest expense related to the Notes was approximately $1.5 million for both the three months ended September 30, 2017 and 2016, respectively. Interest expense related to the Notes was $4.4 million approximately for both the nine months ended September 30, 2017 and 2016, respectively. Approximately $2.8 million of interest under the Notes became due and was paid during each of the nine months ended September 30, 2017 and 2016, respectively.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values of the components of the Notes are as follows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Principal amount of Notes</w:t>
            </w:r>
          </w:p>
        </w:tc>
        <w:tc>
          <w:tcPr>
            <w:tcW w:w="3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201,250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201,250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3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carrying value of convertible notes</w:t>
            </w:r>
          </w:p>
        </w:tc>
        <w:tc>
          <w:tcPr>
            <w:tcW w:w="3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195,166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194,951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Intangible assets include developed technology related to the DVS acquisition and other intangible assets included in Other non-current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1"/>
              </w:rPr>
              <w:t>September 30, 2017</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560" w:type="dxa"/>
            <w:vAlign w:val="bottom"/>
          </w:tcPr>
          <w:p>
            <w:pPr>
              <w:spacing w:after="0"/>
              <w:rPr>
                <w:sz w:val="13"/>
                <w:szCs w:val="13"/>
                <w:color w:val="auto"/>
              </w:rPr>
            </w:pPr>
          </w:p>
        </w:tc>
        <w:tc>
          <w:tcPr>
            <w:tcW w:w="8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5,854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7.9 years</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123,274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77,254</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3"/>
              </w:rPr>
              <w:t>December 31, 2016</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560" w:type="dxa"/>
            <w:vAlign w:val="bottom"/>
          </w:tcPr>
          <w:p>
            <w:pPr>
              <w:spacing w:after="0"/>
              <w:rPr>
                <w:sz w:val="13"/>
                <w:szCs w:val="13"/>
                <w:color w:val="auto"/>
              </w:rPr>
            </w:pPr>
          </w:p>
        </w:tc>
        <w:tc>
          <w:tcPr>
            <w:tcW w:w="8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11,224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6,691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7.9 years</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123,224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86,491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connection with the acquisition of DVS in February 2014, we acquired developed technology with a gross fair value of $112.0 million. These acquired intangible assets are being amortized to cost of product revenue over their useful life of ten years. Related amortization for the three and nine months ended September 30, 2017 was $2.8 million and $8.4 million, respectively. Related amortization for the three and nine months ended September 30, 2016 was $2.8 million and $8.4 million, respectively.</w:t>
      </w:r>
    </w:p>
    <w:p>
      <w:pPr>
        <w:spacing w:after="0" w:line="18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Based on the carrying value of intangible assets as of September 30, 2017, the annual amortization expense for intangible assets is expected to be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Amortization Expense</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(remainder of the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12,334</w:t>
            </w:r>
          </w:p>
        </w:tc>
      </w:tr>
      <w:tr>
        <w:trPr>
          <w:trHeight w:val="27"/>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12,243</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12,243</w:t>
            </w:r>
          </w:p>
        </w:tc>
      </w:tr>
      <w:tr>
        <w:trPr>
          <w:trHeight w:val="27"/>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12,087</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25,247</w:t>
            </w:r>
          </w:p>
        </w:tc>
      </w:tr>
      <w:tr>
        <w:trPr>
          <w:trHeight w:val="27"/>
        </w:trPr>
        <w:tc>
          <w:tcPr>
            <w:tcW w:w="9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77,254</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958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Details Inventories</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Borders>
              <w:bottom w:val="single" w:sz="8" w:color="CCEEFF"/>
            </w:tcBorders>
          </w:tcPr>
          <w:p>
            <w:pPr>
              <w:spacing w:after="0"/>
              <w:rPr>
                <w:sz w:val="16"/>
                <w:szCs w:val="16"/>
                <w:color w:val="auto"/>
              </w:rPr>
            </w:pPr>
          </w:p>
        </w:tc>
        <w:tc>
          <w:tcPr>
            <w:tcW w:w="4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5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45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17,746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20,114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520" w:type="dxa"/>
            <w:vAlign w:val="bottom"/>
            <w:vMerge w:val="restart"/>
          </w:tcPr>
          <w:p>
            <w:pPr>
              <w:jc w:val="right"/>
              <w:ind w:right="223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5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0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Laboratory and manufacturing equipment</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23,670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Office furniture and fixtures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2,084</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39,998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(24,084)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16,525</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accrue for estimated warranty obligations at the time of product shipment. Management periodically reviews the estimated fair value of its warranty liability and records adjustments based on the terms of warranties provided to customers, historical and anticipated warranty claim experience. Activity for our warranty accrual for the three and nine months ended September 30, 2017 and 2016, which is included in other accrued liabilities, is summarized below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Accrual for current period warranties</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488</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costs incurred</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886</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our cash and available-for-sale securities by significant category within the fair value hierarchy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Cash and Cash</w:t>
            </w:r>
          </w:p>
        </w:tc>
        <w:tc>
          <w:tcPr>
            <w:tcW w:w="160" w:type="dxa"/>
            <w:vAlign w:val="bottom"/>
          </w:tcPr>
          <w:p>
            <w:pPr>
              <w:spacing w:after="0"/>
              <w:rPr>
                <w:sz w:val="13"/>
                <w:szCs w:val="13"/>
                <w:color w:val="auto"/>
              </w:rPr>
            </w:pPr>
          </w:p>
        </w:tc>
        <w:tc>
          <w:tcPr>
            <w:tcW w:w="98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Equivalents</w:t>
            </w:r>
          </w:p>
        </w:tc>
        <w:tc>
          <w:tcPr>
            <w:tcW w:w="160" w:type="dxa"/>
            <w:vAlign w:val="bottom"/>
          </w:tcPr>
          <w:p>
            <w:pPr>
              <w:spacing w:after="0"/>
              <w:rPr>
                <w:sz w:val="16"/>
                <w:szCs w:val="16"/>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14,474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14,474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14,474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14,297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Level II:</w:t>
            </w: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62,372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62,374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60,944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7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98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13,984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13,984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13,984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Level II: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24,385</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59,433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59,430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35,045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24,385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There were no transfers between Level I and Level II measurements during the nine months ended September 30, 2017 and 2016, and there were no changes in the valuation techniques used.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contractual maturity periods of $1.4 million of our marketable debt securities are within one year from September 30, 2017.</w:t>
      </w:r>
    </w:p>
    <w:p>
      <w:pPr>
        <w:spacing w:after="0" w:line="225"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None of our available-for-sale securities have been in a continuous loss position for more than 12 months. We concluded that the declines in market value of our available-for-sale securities investment portfolio were temporary in nature and did not consider any of our investments to be other-than-temporarily impaired.</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estimated fair value of the Convertible Notes is based on a market approach (See Note 3). The estimated fair value was approximately $147.2 million and $139.7 million (par value $201.3 million) as of September 30, 2017 and December 31, 2016, respectively, and represents a Level II valuation. When determining the estimated fair value of our long-term debt, we used a commonly accepted valuation methodology and market-based risk measurements that are indirectly observable, such as credit risk.</w:t>
      </w:r>
    </w:p>
    <w:p>
      <w:pPr>
        <w:spacing w:after="0" w:line="183" w:lineRule="exact"/>
        <w:rPr>
          <w:sz w:val="20"/>
          <w:szCs w:val="20"/>
          <w:color w:val="auto"/>
        </w:rPr>
      </w:pPr>
    </w:p>
    <w:p>
      <w:pPr>
        <w:ind w:right="8680" w:firstLine="8"/>
        <w:spacing w:after="0" w:line="533" w:lineRule="auto"/>
        <w:tabs>
          <w:tab w:leader="none" w:pos="1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ind w:right="40"/>
        <w:spacing w:after="0" w:line="273" w:lineRule="auto"/>
        <w:rPr>
          <w:sz w:val="20"/>
          <w:szCs w:val="20"/>
          <w:color w:val="auto"/>
        </w:rPr>
      </w:pPr>
      <w:r>
        <w:rPr>
          <w:rFonts w:ascii="Arial" w:cs="Arial" w:eastAsia="Arial" w:hAnsi="Arial"/>
          <w:sz w:val="17"/>
          <w:szCs w:val="17"/>
          <w:color w:val="auto"/>
        </w:rPr>
        <w:t>We have entered into various long-term non-cancelable operating lease agreements for equipment and facilities expiring at various times through 2026. We leased office space under non-cancelable leases in the United States, Canada, Singapore, Japan, China, France and United Kingdom, with various expiration dates through March 2026. Certain facility leases also contain rent escalation clauses. Our lease payments are expensed on a straight-line basis over the life of the leases. Rental expense under operating leases, net of amortization of lease incentives and sublease income for the three and nine months ended September 30, 2017 was $1.2 million and $3.8 million, respectively. Rental expense, net of amortization of lease incentive and sublease income for the three and nine months ended September 30, 2016 was $1.5 million and $4.9 million, respectively.</w:t>
      </w:r>
    </w:p>
    <w:p>
      <w:pPr>
        <w:spacing w:after="0" w:line="178"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Future minimum lease payments and minimum sublease income under non-cancelable operating leases as of September 30, 2017 are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Minimum Lease</w:t>
            </w:r>
          </w:p>
        </w:tc>
        <w:tc>
          <w:tcPr>
            <w:tcW w:w="160" w:type="dxa"/>
            <w:vAlign w:val="bottom"/>
          </w:tcPr>
          <w:p>
            <w:pPr>
              <w:spacing w:after="0"/>
              <w:rPr>
                <w:sz w:val="14"/>
                <w:szCs w:val="14"/>
                <w:color w:val="auto"/>
              </w:rPr>
            </w:pPr>
          </w:p>
        </w:tc>
        <w:tc>
          <w:tcPr>
            <w:tcW w:w="144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Minimum Sublease</w:t>
            </w:r>
          </w:p>
        </w:tc>
        <w:tc>
          <w:tcPr>
            <w:tcW w:w="0" w:type="dxa"/>
            <w:vAlign w:val="bottom"/>
          </w:tcPr>
          <w:p>
            <w:pPr>
              <w:spacing w:after="0"/>
              <w:rPr>
                <w:sz w:val="1"/>
                <w:szCs w:val="1"/>
                <w:color w:val="auto"/>
              </w:rPr>
            </w:pPr>
          </w:p>
        </w:tc>
      </w:tr>
      <w:tr>
        <w:trPr>
          <w:trHeight w:val="192"/>
        </w:trPr>
        <w:tc>
          <w:tcPr>
            <w:tcW w:w="8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6"/>
                <w:szCs w:val="16"/>
                <w:color w:val="auto"/>
              </w:rPr>
            </w:pPr>
          </w:p>
        </w:tc>
        <w:tc>
          <w:tcPr>
            <w:tcW w:w="1440" w:type="dxa"/>
            <w:vAlign w:val="bottom"/>
          </w:tcPr>
          <w:p>
            <w:pPr>
              <w:jc w:val="right"/>
              <w:ind w:right="474"/>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50"/>
        </w:trPr>
        <w:tc>
          <w:tcPr>
            <w:tcW w:w="8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(remainder of the year)</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2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incurred legal expenses between October 2015 and the third quarter of 2017 to defend claims by Thermo Fisher Scientific, Inc., (Thermo) against one of our employees. In December, 2015, Thermo Fisher Scientific, Inc., (Thermo) filed a complaint in the Circuit Court for the County of Kalamazoo, Michigan against one of its former employees who had recently been hired by us alleging, among other claims, misappropriation of proprietary information and breach of contractual and fiduciary obligations to Thermo while such individual was still an employee of Thermo. In November, 2016, Thermo amended its complaint to add us as a party to the litigation, making various commercial and employment-related claims and seeking damages and injunctive relief. In July 2017, we entered into a settlement agreement with Thermo. Pursuant to the terms of the settlement agreement, we agreed to pay Thermo a one-time payment of $3.0 million in exchange for a release and dismissal of all claims with prejudice upon payment of the settlement. In August 2017, we paid the settlement of $3.0 million and received an insurance recovery payment of $1.0 million related to this matter.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we may revise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We recognized stock-based compensation expense of $2.3 million and $7.1 million during the three and nine months ended September 30, 2017, respectively. We recognized stock-based compensation expense of $3.6 million and $11.0 million during the three and nine months ended September 30, 2016, respectively. As of September 30, 2017, we had $4.2 million and $10.4 million of unrecognized stock-based compensation expense related to stock options and restricted stock units, respectively, which are expected to be recognized over a weighted average period of 3.1 years and 2.4 years, respectively.</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Equity Incentive Plans (Excluding Stock Option Exchange Program)</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three and nine months ended September 30, 2017, we granted certain employees options to purchase 117,430 and 936,743 shares of common stock, respectively. The options granted during the three months ended September 30, 2017 had exercise prices ranging from $3.09 to $5.44 per share and a total grant date fair value of $0.2 million. The options granted during the nine months ended September 30, 2017 had exercise prices ranging from $3.09 to $6.78 per share and a total grant date fair value of $2.8 million.</w:t>
      </w:r>
    </w:p>
    <w:p>
      <w:pPr>
        <w:spacing w:after="0" w:line="18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During the three and nine months ended September 30, 2017, we granted certain employees 198,949 and 817,739 restricted stock units, respectively. The restricted stock unit awards granted during the three months ended September 30, 2017 had fair market values ranging from $3.09 to $5.44 per unit and a total grant date fair value of $0.8 million. The restricted stock unit awards granted during the nine months ended September 30, 2017 had fair market values ranging from $3.09 and $6.78 per unit and a total grant date fair value of $4.7 million.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expenses relating to these options and restricted stock units will be recognized over their respective four-year vesting periods.</w:t>
      </w:r>
    </w:p>
    <w:p>
      <w:pPr>
        <w:spacing w:after="0" w:line="2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2016, we granted 184,050 and 87,620 performance-based stock options and performance-based restricted stock units (each, a “performance award”), respectively, to executive officers and employees, which were accounted for as equity awards. The number of performance awards that ultimately vest depends on the achievement of certain performance criteria set by the Compensation Committee of the Company’s Board of Directors. The performance-based stock options have an exercise price per share of $7.10. We recognize stock-based compensation expense over the vesting period of the performance awards when achievement of the performance criteria becomes probable. We did not recognize any expense related to these performance awards in 2017 and 2016.</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Option Exchange Program</w:t>
      </w:r>
    </w:p>
    <w:p>
      <w:pPr>
        <w:spacing w:after="0" w:line="2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On August 23, 2017, we launched a one-time stock option exchange program (Program) pursuant to which eligible employees were able to exchange certain outstanding stock options (Eligible Options), whether vested or unvested, with an exercise price greater than $4.37 per share and greater than the closing price of a share of our common stock on the NASDAQ Global Select Market on the expiration date of the exchange offer (Offer), for restricted stock units or stock options ("New Awards") covering a lesser number of shares than were subject to the Eligible Options exchanged immediately before being cancelled in the Offer. Non-employee members of our Board of Directors were not eligible to participate in the Program. The Program expired on September 20, 2017, with a closing price of $5.13 per share.</w:t>
      </w:r>
    </w:p>
    <w:p>
      <w:pPr>
        <w:spacing w:after="0" w:line="193"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115 employees elected to surrender Eligible Options to purchase a total of 1,204,198 shares of our common stock, representing approximately 50.02% of the total shares of common stock underlying the Eligible Options. All surrendered options were canceled effective as of the expiration date, and immediately thereafter, in exchange for such surrendered options, we issued (i) new options to purchase an aggregate of 399,117 shares of our common stock with an exercise price of $5.13; and (ii) restricted stock units representing 54,944 shares of our common stock, each, pursuant to the terms of the Offer and our 2011 Equity Incentive Plan. The new awards granted under the Program generally vest over three years.</w:t>
      </w:r>
    </w:p>
    <w:p>
      <w:pPr>
        <w:spacing w:after="0" w:line="173"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The Program did not result in a material incremental stock-based compensation expense because the fair value of the new awards was approximately equal to the fair value of the surrendered options immediately prior to the exchange date. The original fair value of the surrendered options plus the incremental stock-based compensation expense will be recognized over the vesting periods of the New Awards.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2017 Employee Stock Purchase Plan</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August 1, 2017, our stockholders approved our 2017 Employee Stock Purchase Plan (ESPP) at the annual meeting of stockholders. Our ESPP offers U.S. and some non-U.S. employees the right to purchase shares of our common stock. Our ESPP has a six-month offering period, with a new period commencing on the first trading day on or after May 31 and November 30 of each year. Employees are eligible to participate through payroll deductions of up to 10% of their compensation and may not purchase more than $25,000 of stock for any calendar year. The purchase price at which shares are sold under the ESPP is 85% of the lower of the fair market value of a share of our common stock on the first day of the offering period or the last day of the offering period. Our first ESPP offering period began on October 1, 2017 with a shorter offering period ending on November 30,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benefit for income taxes for the periods presented differs from the 34% U.S. Federal statutory rate primarily due to maintaining a valuation allowance for deferred tax assets, which primarily consist of net operating loss carryforwards.</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recorded a tax benefit of $0.7 million and $3.3 million for the three and nine months ended September 30, 2017, respectively, which was primarily attributable to the amortization of our acquisition-related deferred tax liability and losses from Canadian operations, partially offset by a tax provision and discrete tax items from our other foreign operations. We recorded a tax benefit of $0.3 million and $2.1 million for the three and nine months ended September 30, 2016, respectively, which was primarily attributable to the amortization of our acquisition-related deferred tax liability, partially offset by a tax provision and discrete tax items from our other foreign operations.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Upon adoption of ASU 2016-09 (see Note 2), we recorded to the opening balance of retained earnings $9.3 million in deferred tax assets for previously unrecognized excess tax benefits that existed as of January 1, 2017, and a corresponding increase of $9.3 million in valuation allowances against these deferred tax assets as substantially all of our U.S. deferred tax assets, net of deferred tax liabilities, were subject to a full valuation allowance. The net impact to retained earnings as a result of these adjustments was zero.</w:t>
      </w:r>
    </w:p>
    <w:p>
      <w:pPr>
        <w:spacing w:after="0" w:line="187"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Recording deferred tax assets is appropriate when realization of these assets is more likely than not. Assessing the realizability of deferred tax assets is dependent upon several factors including historical financial results. The deferred tax assets have been substantially offset by a valuation allowance because we have incurred net losses since our inception. We continue to evaluate the realizability of the deferred tax assets and related valuation allowance.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Information about Geographic Areas</w:t>
      </w:r>
    </w:p>
    <w:p>
      <w:pPr>
        <w:spacing w:after="0" w:line="22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operate in one reporting segment that develops manufactures and commercializes tools for life sciences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total revenue by geographic area of our customers for each period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34,659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39,531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7,711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23,095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22,980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13,616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2,729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3,235</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74,193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79,362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 individual customer represented more than 10% of our total revenues for the three and nine months ended September 30, 2017 and 2016.</w:t>
      </w:r>
    </w:p>
    <w:p>
      <w:pPr>
        <w:spacing w:after="0" w:line="23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Revenue from sales to customers in China represented 11% of our total revenue, or $2.8 million for the three months ended September 30, 2017, and 11% of our total revenue, or $8.1 million, for the nine months ended September 30, 2017. Revenue from sales to customers in China represented 10% of our total revenue, or $2.3 million for the three months ended September 30, 2016, and 11% of our total revenue, or $8.4 million, for the nine months ended September 30, 2016. Except for China, no other foreign country or jurisdiction had sales in excess of 10% of our total revenue during the three and nine months ended September 30, 2017 and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Tax Benefit Preservation Plan</w:t>
      </w:r>
    </w:p>
    <w:p>
      <w:pPr>
        <w:spacing w:after="0" w:line="22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On August 1, 2017, the Tax Benefit Preservation Plan (Tax Plan) dated as of November 21, 2016 expired and all of the preferred share purchase rights distributed to the holders of our common stock pursuant to the Tax Plan expired.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At-The-Market Offering</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On August 3, 2017, we entered into a Sales Agreement with Cowen and Company, LLC (Cowen) to sell shares of our common stock having aggregate sales proceeds of up to $30 million, from time to time, through an “at-the-market” equity offering program under which Cowen would act as sales agent. Under the Sales Agreement, we set the parameters for the sale of shares, including the number of shares to be issued, the time period during which sales are requested to be made, limitation on the number of shares that may be sold in any one trading day and any minimum price below which sales may not be made.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ind w:right="100" w:firstLine="405"/>
        <w:spacing w:after="0" w:line="259" w:lineRule="auto"/>
        <w:rPr>
          <w:sz w:val="20"/>
          <w:szCs w:val="20"/>
          <w:color w:val="auto"/>
        </w:rPr>
      </w:pPr>
      <w:r>
        <w:rPr>
          <w:rFonts w:ascii="Arial" w:cs="Arial" w:eastAsia="Arial" w:hAnsi="Arial"/>
          <w:sz w:val="18"/>
          <w:szCs w:val="18"/>
          <w:color w:val="auto"/>
        </w:rPr>
        <w:t>On August 10, 2017, we sold 9,090,909 shares of our common stock, $0.001 par value per share, through Cowen acting as our agent, for aggregate gross proceeds of $30.0 million. Our aggregate net proceeds from such sales were approximately $28.8 million, after deducting related expenses, including commissions to Cowen of approximately $0.7 million and issuance costs of approximately $0.5 million. These sales exhausted the shares that were available for sale under the Sales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93"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58"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66"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i w:val="1"/>
          <w:iCs w:val="1"/>
          <w:color w:val="auto"/>
        </w:rPr>
        <w:t>“Fluidigm,” the Fluidigm logo, “Access Array,” “Advanta,” “Biomark,” “C1,” “Callisto,” “Cell-ID,” “CyTOF,” “D3,” “Delta Gene,” “Digital Array,” “Dynamic Array,” “EP1,” “FC1,” “Flex Six,” “Helios,” “High-Precision 96.96 Genotyping,” "Hyperion," “Juno,” “Maxpar,” “MSL,” “Nanoflex,” “Open App,” “Polaris,” “qdPCR 37K,” “Script Builder,” “Script Hub,” “Singular,” “SNP Trace” and “SNP Type” are trademarks or registered trademarks of Fluidigm Corporation. Other service marks, trademarks and trade names referred to in this Form 10-Q are the property of their respective owners.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68"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5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were a pioneer in the application of microfluidics to enable high-throughput and highly-multiplexed polymerase chain reactions, or PCR, for genetic analysis, as well as a field known as single-cell genomics, in which the genetic composition of individual cells is assayed. In February 2014, we purchased DVS Sciences, Inc., whose mass cytometry system enables the highly-multiplexed analysis of cellular surface and intracellular proteins in both blood and tissue.</w:t>
      </w:r>
    </w:p>
    <w:p>
      <w:pPr>
        <w:spacing w:after="0" w:line="18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187"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Canada and South San Francisco, California. Our facility in Singapore manufactures our genomics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mass cytometry instruments for commercial sale, as well as for internal research and development purposes, are manufactured at our facility in Canada. We also manufacture assays and reagents at our facilities in the United States.</w:t>
      </w:r>
    </w:p>
    <w:p>
      <w:pPr>
        <w:spacing w:after="0" w:line="178"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Our total revenue for the nine months ended September 30, 2017 was $74.2 million, compared to $79.4 million for the nine months ended September 30, 2016. Our total revenue for the twelve months ended December 31, was $104.4 million in 2016, $114.7 million in 2015, and $116.5 million in 2014. We have incurred significant net losses since our inception in 1999 and, as of September 30, 2017, our accumulated deficit was $489.7 million.</w:t>
      </w:r>
    </w:p>
    <w:p>
      <w:pPr>
        <w:spacing w:after="0" w:line="14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At the end of 2016, we began reallocating our resources based on revenue contribution and growth expectations across our target markets, including a reorganization of our sales team and commercial leadership. As part of this shift and 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include targeted workforce reductions, optimizing our facilities, and reducing excess space. In addition, we may need to decrease or defer capital expenditures and development activities to further optimize our operations. Such measures may impair our ability to invest in developing, marketing and selling new and existing products. The efficiency and cost-savings initiatives are expected to reduce operating expenses and enable us to efficiently align our resources in areas providing the greatest benefit, but if our efficiency and cost reduction efforts are unsuccessful, our cash position could be negatively impacted and we may, among other things, be required to seek other sources of financing.</w:t>
      </w:r>
    </w:p>
    <w:p>
      <w:pPr>
        <w:spacing w:after="0" w:line="182"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On August 10, 2017, we sold 9,090,909 shares of our common stock through an “at-the-market” equity offering program, for aggregate net proceeds of approximately $28.8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22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Except as otherwise disclosed, there have been no material changes in our critical accounting policies and estimates in the preparation of our condensed consolidated financial statements during the three and nine months ended September 30, 2017 compared to those disclosed in our Annual Report on Form 10-K for the year ended December 31, 2016, as filed with the SEC on March 3,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 “Summary of Significant Accounting Policies” in the notes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and nine months ended September 30, 2017 and 2016, and as a percentage of total revenue for the respective periods (in thousands):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tcBorders>
              <w:bottom w:val="single" w:sz="8" w:color="auto"/>
            </w:tcBorders>
          </w:tcPr>
          <w:p>
            <w:pPr>
              <w:spacing w:after="0"/>
              <w:rPr>
                <w:sz w:val="16"/>
                <w:szCs w:val="16"/>
                <w:color w:val="auto"/>
              </w:rPr>
            </w:pPr>
          </w:p>
        </w:tc>
      </w:tr>
      <w:tr>
        <w:trPr>
          <w:trHeight w:val="263"/>
        </w:trPr>
        <w:tc>
          <w:tcPr>
            <w:tcW w:w="2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spacing w:after="0"/>
              <w:rPr>
                <w:sz w:val="22"/>
                <w:szCs w:val="22"/>
                <w:color w:val="auto"/>
              </w:rPr>
            </w:pP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24,747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22,191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74,193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79,362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 revenue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11,414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31,097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r>
      <w:tr>
        <w:trPr>
          <w:trHeight w:val="243"/>
        </w:trPr>
        <w:tc>
          <w:tcPr>
            <w:tcW w:w="2240" w:type="dxa"/>
            <w:vAlign w:val="bottom"/>
          </w:tcPr>
          <w:p>
            <w:pPr>
              <w:ind w:left="180"/>
              <w:spacing w:after="0"/>
              <w:rPr>
                <w:sz w:val="20"/>
                <w:szCs w:val="20"/>
                <w:color w:val="auto"/>
              </w:rPr>
            </w:pPr>
            <w:r>
              <w:rPr>
                <w:rFonts w:ascii="Arial" w:cs="Arial" w:eastAsia="Arial" w:hAnsi="Arial"/>
                <w:sz w:val="18"/>
                <w:szCs w:val="18"/>
                <w:color w:val="auto"/>
              </w:rPr>
              <w:t>Cost of service revenue</w:t>
            </w:r>
          </w:p>
        </w:tc>
        <w:tc>
          <w:tcPr>
            <w:tcW w:w="3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27"/>
        </w:trPr>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7,683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9,252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23,668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r>
      <w:tr>
        <w:trPr>
          <w:trHeight w:val="229"/>
        </w:trPr>
        <w:tc>
          <w:tcPr>
            <w:tcW w:w="2240" w:type="dxa"/>
            <w:vAlign w:val="bottom"/>
          </w:tcPr>
          <w:p>
            <w:pPr>
              <w:ind w:left="180"/>
              <w:spacing w:after="0"/>
              <w:rPr>
                <w:sz w:val="20"/>
                <w:szCs w:val="20"/>
                <w:color w:val="auto"/>
              </w:rPr>
            </w:pPr>
            <w:r>
              <w:rPr>
                <w:rFonts w:ascii="Arial" w:cs="Arial" w:eastAsia="Arial" w:hAnsi="Arial"/>
                <w:sz w:val="18"/>
                <w:szCs w:val="18"/>
                <w:color w:val="auto"/>
              </w:rPr>
              <w:t>Selling, general and</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administrative</w:t>
            </w:r>
          </w:p>
        </w:tc>
        <w:tc>
          <w:tcPr>
            <w:tcW w:w="3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20,102</w:t>
            </w:r>
          </w:p>
        </w:tc>
        <w:tc>
          <w:tcPr>
            <w:tcW w:w="1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21,123</w:t>
            </w:r>
          </w:p>
        </w:tc>
        <w:tc>
          <w:tcPr>
            <w:tcW w:w="1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63,653</w:t>
            </w:r>
          </w:p>
        </w:tc>
        <w:tc>
          <w:tcPr>
            <w:tcW w:w="1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70,444</w:t>
            </w:r>
          </w:p>
        </w:tc>
        <w:tc>
          <w:tcPr>
            <w:tcW w:w="1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89</w:t>
            </w:r>
          </w:p>
        </w:tc>
      </w:tr>
      <w:tr>
        <w:trPr>
          <w:trHeight w:val="27"/>
        </w:trPr>
        <w:tc>
          <w:tcPr>
            <w:tcW w:w="2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0"/>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40,349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40,674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123,818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134,856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170</w:t>
            </w:r>
          </w:p>
        </w:tc>
      </w:tr>
      <w:tr>
        <w:trPr>
          <w:trHeight w:val="237"/>
        </w:trPr>
        <w:tc>
          <w:tcPr>
            <w:tcW w:w="224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(15,602)</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(18,483)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(49,625)</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(55,494)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(70)</w:t>
            </w:r>
          </w:p>
        </w:tc>
      </w:tr>
      <w:tr>
        <w:trPr>
          <w:trHeight w:val="27"/>
        </w:trPr>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43"/>
        </w:trPr>
        <w:tc>
          <w:tcPr>
            <w:tcW w:w="2240" w:type="dxa"/>
            <w:vAlign w:val="bottom"/>
          </w:tcPr>
          <w:p>
            <w:pPr>
              <w:ind w:left="180"/>
              <w:spacing w:after="0"/>
              <w:rPr>
                <w:sz w:val="20"/>
                <w:szCs w:val="20"/>
                <w:color w:val="auto"/>
              </w:rPr>
            </w:pPr>
            <w:r>
              <w:rPr>
                <w:rFonts w:ascii="Arial" w:cs="Arial" w:eastAsia="Arial" w:hAnsi="Arial"/>
                <w:sz w:val="18"/>
                <w:szCs w:val="18"/>
                <w:color w:val="auto"/>
                <w:w w:val="89"/>
              </w:rPr>
              <w:t>Other income (expense), net</w:t>
            </w:r>
          </w:p>
        </w:tc>
        <w:tc>
          <w:tcPr>
            <w:tcW w:w="3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2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(53,421)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(60,382)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w:t>
            </w:r>
          </w:p>
        </w:tc>
      </w:tr>
      <w:tr>
        <w:trPr>
          <w:trHeight w:val="243"/>
        </w:trPr>
        <w:tc>
          <w:tcPr>
            <w:tcW w:w="2240" w:type="dxa"/>
            <w:vAlign w:val="bottom"/>
          </w:tcPr>
          <w:p>
            <w:pPr>
              <w:ind w:left="180"/>
              <w:spacing w:after="0"/>
              <w:rPr>
                <w:sz w:val="20"/>
                <w:szCs w:val="20"/>
                <w:color w:val="auto"/>
              </w:rPr>
            </w:pPr>
            <w:r>
              <w:rPr>
                <w:rFonts w:ascii="Arial" w:cs="Arial" w:eastAsia="Arial" w:hAnsi="Arial"/>
                <w:sz w:val="18"/>
                <w:szCs w:val="18"/>
                <w:color w:val="auto"/>
                <w:w w:val="98"/>
              </w:rPr>
              <w:t>Benefit from income taxes</w:t>
            </w:r>
          </w:p>
        </w:tc>
        <w:tc>
          <w:tcPr>
            <w:tcW w:w="3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w:t>
            </w:r>
          </w:p>
        </w:tc>
      </w:tr>
      <w:tr>
        <w:trPr>
          <w:trHeight w:val="27"/>
        </w:trPr>
        <w:tc>
          <w:tcPr>
            <w:tcW w:w="2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(15,944)</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2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generate revenue primarily from sales of our products and services. Our product revenue consists of sales of our high-throughput genomics, single-cell genomics and mass cytometry instruments and consumables, including IFCs, assays, and other reagents. Our service revenue consists of post-warranty service contracts, preventive maintenance plans, instrument parts, installation, and training. We also receive revenue from our license agreements with third parties. The following table presents our revenue by source for the three and nine months ended September 30, 2017 and 2016 (in thousands):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4"/>
              </w:rPr>
              <w:t>Three Months Ended September 30,</w:t>
            </w:r>
          </w:p>
        </w:tc>
        <w:tc>
          <w:tcPr>
            <w:tcW w:w="120" w:type="dxa"/>
            <w:vAlign w:val="bottom"/>
          </w:tcPr>
          <w:p>
            <w:pPr>
              <w:spacing w:after="0"/>
              <w:rPr>
                <w:sz w:val="16"/>
                <w:szCs w:val="16"/>
                <w:color w:val="auto"/>
              </w:rPr>
            </w:pPr>
          </w:p>
        </w:tc>
        <w:tc>
          <w:tcPr>
            <w:tcW w:w="13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6"/>
              </w:rPr>
              <w:t>Year-Over-Year</w:t>
            </w: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34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Year-Over-Year</w:t>
            </w:r>
          </w:p>
        </w:tc>
        <w:tc>
          <w:tcPr>
            <w:tcW w:w="0" w:type="dxa"/>
            <w:vAlign w:val="bottom"/>
          </w:tcPr>
          <w:p>
            <w:pPr>
              <w:spacing w:after="0"/>
              <w:rPr>
                <w:sz w:val="1"/>
                <w:szCs w:val="1"/>
                <w:color w:val="auto"/>
              </w:rPr>
            </w:pPr>
          </w:p>
        </w:tc>
      </w:tr>
      <w:tr>
        <w:trPr>
          <w:trHeight w:val="72"/>
        </w:trPr>
        <w:tc>
          <w:tcPr>
            <w:tcW w:w="3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10,518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9,172</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4"/>
              </w:rPr>
              <w:t>15%</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31,183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36,181</w:t>
            </w:r>
          </w:p>
        </w:tc>
        <w:tc>
          <w:tcPr>
            <w:tcW w:w="3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8,820</w:t>
            </w: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31,914</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20,576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17,992</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9"/>
              </w:rPr>
              <w:t>14</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61,383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68,095</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42"/>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11,085</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License revenue</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3"/>
              </w:rPr>
              <w:t>(19)</w:t>
            </w: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24,747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22,191</w:t>
            </w: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74,193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79,362</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presents our total revenue by geographic area of our customers and as a percentage of total revenue for the three and nine months ended September 30, 2017 and 2016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Three Months Ended September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Year-Over-</w:t>
            </w: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rPr>
              <w:t>Nine Months Ended September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Year-Over-</w:t>
            </w:r>
          </w:p>
        </w:tc>
        <w:tc>
          <w:tcPr>
            <w:tcW w:w="0" w:type="dxa"/>
            <w:vAlign w:val="bottom"/>
          </w:tcPr>
          <w:p>
            <w:pPr>
              <w:spacing w:after="0"/>
              <w:rPr>
                <w:sz w:val="1"/>
                <w:szCs w:val="1"/>
                <w:color w:val="auto"/>
              </w:rPr>
            </w:pPr>
          </w:p>
        </w:tc>
      </w:tr>
      <w:tr>
        <w:trPr>
          <w:trHeight w:val="72"/>
        </w:trPr>
        <w:tc>
          <w:tcPr>
            <w:tcW w:w="1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 Change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 Change</w:t>
            </w:r>
          </w:p>
        </w:tc>
        <w:tc>
          <w:tcPr>
            <w:tcW w:w="0" w:type="dxa"/>
            <w:vAlign w:val="bottom"/>
          </w:tcPr>
          <w:p>
            <w:pPr>
              <w:spacing w:after="0"/>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11,154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12,518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34,659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39,531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7,711</w:t>
            </w:r>
          </w:p>
        </w:tc>
        <w:tc>
          <w:tcPr>
            <w:tcW w:w="1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5,194</w:t>
            </w:r>
          </w:p>
        </w:tc>
        <w:tc>
          <w:tcPr>
            <w:tcW w:w="1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1100" w:type="dxa"/>
            <w:vAlign w:val="bottom"/>
            <w:gridSpan w:val="2"/>
          </w:tcPr>
          <w:p>
            <w:pPr>
              <w:jc w:val="right"/>
              <w:ind w:right="168"/>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23,095</w:t>
            </w:r>
          </w:p>
        </w:tc>
        <w:tc>
          <w:tcPr>
            <w:tcW w:w="12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22,980</w:t>
            </w:r>
          </w:p>
        </w:tc>
        <w:tc>
          <w:tcPr>
            <w:tcW w:w="1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13,710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13,616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1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16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2,729</w:t>
            </w:r>
          </w:p>
        </w:tc>
        <w:tc>
          <w:tcPr>
            <w:tcW w:w="12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10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24,747</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22,191</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74,193</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79,362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sell our instruments to leading academic research institutions, clinical research laboratories, and biopharmaceutical, biotechnology and Ag-Bio companies. Total revenue from our five largest customers comprised 17% and 14% of our total revenue for the three and nine months ended September 30, 2017, respectively. Total revenue from our five largest customers comprised 20% and 16% of our total revenue for the three and nine months ended September 30, 2016, respectively.</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2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Total revenue increased by $2.6 million, or 12%, to $24.7 million for the three months ended September 30, 2017 compared to $22.2 million for the three months ended September 30, 2016, due to higher product revenue primarily from our mass cytometry products. Total revenue increased in all geographic areas except for the United States for the three months ended September 30, 2017 compared to the three months ended September 30, 2016. Revenues in Europe and Asia-Pacific increased by $2.5 million and $1.2 million, or 48% and 34%, respectively, for the three months ended September 30, 2017 compared to the three months ended September 30, 2016. The increases in Europe and Asia-Pacific were primarily driven by higher mass cytometry and high-throughput genomics product sales, partially offset by a decrease in sales of our single-cell genomics products. Revenue in the Other area increased slightly by $0.2 million, or 20%, for the three months ended September 30, 2017 compared to the three months ended September 30, 2016, primarily due to increases in mass cytometry product sales. Revenue in the United States decreased by $1.4 million, or 11%, for the three months ended September 30, 2017 compared to the three months ended September 30, 2016. The decrease was mainly attributable to lower genomics product sales, partially offset by an increase in sales of mass cytometry products.</w:t>
      </w:r>
    </w:p>
    <w:p>
      <w:pPr>
        <w:spacing w:after="0" w:line="178"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Total revenue decreased by $5.2 million, or 7%, to $74.2 million for the nine months ended September 30, 2017 compared to $79.4 million for the nine months ended September 30, 2016. The decrease was primarily due to a decrease of $6.7 million in product revenue, partially offset by a $1.5 million increase in service revenue. Revenue in the United States decreased by $4.9 million, or 12%, for the nine months ended September 30, 2017 compared to the nine months ended September 30, 2016. Revenue in the Other area decreased by $0.5 million, or 16%, for the nine months ended September 30, 2017 compared to the nine months ended September 30, 2016. The decreases in the United States and the Other area were largely attributable to lower genomics instrument sales, partially offset by increased sales of our mass cytometry products. Revenues in Europe and Asia-Pacific remained relatively flat for the nine months ended September 30, 2017 compared to the nine months ended September 30, 2016, primarily due to increased sales of our mass cytometry products, offset by lower sales of our genomics products.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Product revenue increased by $2.6 million, or 14%, to $20.6 million for the three months ended September 30, 2017 compared to the three months ended September 30, 2016. Instrument revenue increased by $1.3 million, or 15%, to $10.5 million for the three months ended September 30, 2017 compared to the three months ended September 30, 2016. The increase was primarily due to higher unit sales of our mass cytometry instruments and, partially offset by lower unit sales of our genomics instruments and, to a lesser extent, lower average selling prices of our genomics instruments. Consumables revenue increased by $1.2 million, or 14%, to $10.1 million, for the three months ended September 30, 2017 compared to the three months ended September 30, 2016. The increase was primarily attributable to increased unit sales of mass cytometry reagents and high-throughput genomics IFCs, partially offset by decreased unit sales of single-cell genomics IFCs and lower average selling prices of most IFCs.</w:t>
      </w:r>
    </w:p>
    <w:p>
      <w:pPr>
        <w:spacing w:after="0" w:line="17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Product revenue decreased by $6.7 million, or 10%, to $61.4 million for the nine months ended September 30, 2017 compared to the nine months ended September 30, 2016. Instrument revenue decreased by $5.0 million, or 14%, to $31.2 million for the nine months ended September 30, 2017 compared to the nine months ended September 30, 2016. The decrease was mainly due to lower unit sales of our genomics instruments, particularly our single-cell genomics instruments and, to a lesser extent, lower average selling prices of our Helios, BioMark and C1 systems. The decrease was partially offset by sales of our new imaging mass cytometry system. Consumables revenue decreased by $1.7 million, or 5%, to $30.2 million for the nine months ended September 30, 2017 compared to the nine months ended September 30, 2016. The decrease was mainly attributable to decreased unit sales of genomics consumables, particularly IFCs, and to a lesser extent, lower average selling prices of most IFCs, partially offset by increased unit sales and higher average selling prices of our mass cytometry reagents.</w:t>
      </w:r>
    </w:p>
    <w:p>
      <w:pPr>
        <w:spacing w:after="0" w:line="179"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expect the average selling prices of our products to fluctuate over time based on market conditions, product mix, and currency fluctuations. We cannot provide assurance concerning future revenue growth, if any.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Service revenue was generally flat at $4.1 million for the three months ended September 30, 2017 compared to $4.2 million for the three months ended September 30, 2016. Service revenue increased by $1.5 million, or 14%, to $12.6 million for the nine months ended September 30, 2017 compared to $11.1 million for the nine months ended September 30, 2016. The increase was mainly driven by an increase in instruments under post-warranty service contracts due to growth in our instrument installed base, particularly mass cytometry instruments. Revenue from post-warranty service contracts generally lags our instruments revenue by one year. Other fee-for-service offerings, including training, installation, labor and preventive maintenance, were relatively flat for the nine months ended September 30, 2017 compared to the same period of 2016.</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All license revenue is generated in the United States. License revenue was essentially flat for the three and nine months ended September 30, 2017 compared to the same periods of 2016.</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Costs of Product and Service 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costs of product and service revenue and product and service margins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3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11,414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33,060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31,097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3,673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2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packaging, and delivery costs. In addition, cost of product revenue includes amortization of developed technology and intangibles, royalty costs for licensed technologies included in our products, warranty, provisions for slow-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moving and obsolete inventory, and stock-based compensation expense. Cost of service revenue includes direct labor hours, overhead, and instrument parts.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related to license revenue are included in research and development expense.</w:t>
      </w:r>
    </w:p>
    <w:p>
      <w:pPr>
        <w:spacing w:after="0" w:line="211"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Cost of product revenue increased by $2.3 million, or 26%, to $11.4 million for the three months ended September 30, 2017 compared to the three months ended September 30, 2016. Overall cost of product revenue as a percentage of related revenue was 55% and 50% for the three months ended September 30, 2017 and 2016, respectively. Product margin decreased by five percentage points compared to the same period in 2016, primarily due to increased genomics unit product costs from lower production volumes, partially offset by fixed amortization of developed technology over higher revenues.</w:t>
      </w:r>
    </w:p>
    <w:p>
      <w:pPr>
        <w:spacing w:after="0" w:line="15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Cost of product revenue increased by $2.0 million, or 6%, to $33.1 million for the nine months ended September 30, 2017 compared to the nine months ended September 30, 2016. Overall cost of product revenue as a percentage of related revenue was 54% and 46% for the nine months ended September 30, 2017 and 2016, respectively. Product margin decreased by eight percentage points compared to the same period in 2016, primarily due to higher genomics unit product costs from lower production volumes and, to a lesser extent, higher excess and obsolete inventory expense and lower average selling prices for genomics instruments and consumables.</w:t>
      </w:r>
    </w:p>
    <w:p>
      <w:pPr>
        <w:spacing w:after="0" w:line="188"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Cost of service revenue decreased by $0.1 million, or 6%, to $1.2 million for the three months ended September 30, 2017 compared to the three months ended September 30, 2016. Overall cost of service revenue as a percentage of related revenue was 28% and 30% for the three months ended September 30, 2017 and 2016, respectively. Cost of service revenue decreased by $0.2 million, or 6%, to $3.4 million for the nine months ended September 30, 2017 compared to the nine months ended September 30, 2016. Overall cost of service revenue as a percentage of related revenue was 27% and 33% for the nine months ended September 30, 2017 and 2016, respectively. The service margins increased two and six percentage points, respectively, during the three and nine months ended September 30, 2017 compared to the same periods in 2016, primarily driven by lower labor costs due to greater efficiency.</w:t>
      </w:r>
    </w:p>
    <w:p>
      <w:pPr>
        <w:spacing w:after="0" w:line="16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Our cost of product revenue and related product margin may fluctuate depending on the capacity utilization of our manufacturing facilities in response to market conditions and the demand for our products.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the three and nine months ended September 30, 2017 and 2016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Year-Over-Year</w:t>
            </w: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w w:val="93"/>
              </w:rPr>
              <w:t>Nine Months Ended September 30,</w:t>
            </w:r>
          </w:p>
        </w:tc>
        <w:tc>
          <w:tcPr>
            <w:tcW w:w="12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Year-Over-Year</w:t>
            </w:r>
          </w:p>
        </w:tc>
        <w:tc>
          <w:tcPr>
            <w:tcW w:w="0" w:type="dxa"/>
            <w:vAlign w:val="bottom"/>
          </w:tcPr>
          <w:p>
            <w:pPr>
              <w:spacing w:after="0"/>
              <w:rPr>
                <w:sz w:val="1"/>
                <w:szCs w:val="1"/>
                <w:color w:val="auto"/>
              </w:rPr>
            </w:pPr>
          </w:p>
        </w:tc>
      </w:tr>
      <w:tr>
        <w:trPr>
          <w:trHeight w:val="72"/>
        </w:trPr>
        <w:tc>
          <w:tcPr>
            <w:tcW w:w="3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9,252</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23,668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29,642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20,102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21,123</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63,653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70,444</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27,785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30,375</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87,321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100,086</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8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Research and development expense decreased by $1.6 million, or 17%, to $7.7 million for the three months ended September 30, 2017 compared to the three months ended September 30, 2016. Research and development expense decreased by $6.0 million, or 20%, to $23.7 million for the nine months ended September 30, 2017 compared to the nine months ended September 30, 2016. Decreases for both the three and nine month periods ended September 30, 2017 were primarily attributable to the implementation of our cost-savings initiatives in the first quarter of 2017, including headcount and compensation savings of $0.9 million and $2.7 million for the three and nine month periods ended September 30, 2017, respectively. In addition, we had a decrease in product material and supplies costs of $0.6 million and $2.7 million for the three and nine month periods ended September 30, 2017, respectively, mainly due to higher-cost projects in the prior year period.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research and development expense to decrease in 2017 compared to 2016 as we implement efficiency and cost savings initiatives in 2017.</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7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Selling, general and administrative expense decreased $1.0 million, or 5%, to $20.1 million for the three months ended September 30, 2017 compared to the three months ended September 30, 2016. This decrease was primarily due to the implementation of our cost-savings initiatives in the first quarter of 2017, including infrastructure and facilities savings of $0.9 million.</w:t>
      </w:r>
    </w:p>
    <w:p>
      <w:pPr>
        <w:spacing w:after="0" w:line="18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Selling, general and administrative expense decreased $6.8 million, or 10% to $63.7 million for the nine months ended September 30, 2017 compared to the nine months ended September 30, 2016. This decrease was primarily due to the implementation of our cost-savings initiatives in the first quarter of 2017, including infrastructure and facilities savings of $2.5 million. In addition, we had lower legal expenses of $1.5 million, a decrease in outside services of $1.3 million, a decrease in travel expenses of $1.0 million and a decrease in recruiting costs of $0.9 million. These decreases were partially offset by an increase in depreciation expenses of $1.1 million.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selling, general and administrative expense to decrease in 2017 compared to 2016 as we implement efficiency and cost savings initiatives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the three and nine months ended September 30, 2017 and 2016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Year-Over-Year</w:t>
            </w: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w w:val="92"/>
              </w:rPr>
              <w:t>Nine Months Ended September 30,</w:t>
            </w:r>
          </w:p>
        </w:tc>
        <w:tc>
          <w:tcPr>
            <w:tcW w:w="12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Year-Over-Year</w:t>
            </w:r>
          </w:p>
        </w:tc>
        <w:tc>
          <w:tcPr>
            <w:tcW w:w="0" w:type="dxa"/>
            <w:vAlign w:val="bottom"/>
          </w:tcPr>
          <w:p>
            <w:pPr>
              <w:spacing w:after="0"/>
              <w:rPr>
                <w:sz w:val="1"/>
                <w:szCs w:val="1"/>
                <w:color w:val="auto"/>
              </w:rPr>
            </w:pPr>
          </w:p>
        </w:tc>
      </w:tr>
      <w:tr>
        <w:trPr>
          <w:trHeight w:val="72"/>
        </w:trPr>
        <w:tc>
          <w:tcPr>
            <w:tcW w:w="3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(335)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527</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(208)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1,077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1,615</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3,796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4,888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On February 4, 2014, we closed an underwritten public offering of $201.3 million aggregate principal amount of our 2.75% Senior Convertible Notes due 2034, or the Notes. The Notes accrue interest at a rate of 2.75% per year, payable semi-annually in arrears on February 1 and August 1 of each year. The Notes will mature on February 1, 2034, unless earlier converted, redeemed, or repurchased in accordance with the terms of the Notes.</w:t>
      </w:r>
    </w:p>
    <w:p>
      <w:pPr>
        <w:spacing w:after="0" w:line="14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Interest expense was $1.5 million for both the three months ended September 30, 2017 and 2016. Interest expense was $4.4 million for both the nine months ended September 30, 2017 and 2016.</w:t>
      </w:r>
    </w:p>
    <w:p>
      <w:pPr>
        <w:spacing w:after="0" w:line="1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Other income increased by $0.5 million and $1.1 million for the three month and nine month periods ended September 30, 2017, respectively, compared to the three month and nine month periods ended September 30, 2016, mainly due to the net favorable effects of foreign exchange rate changes during the three and nine month periods ended September 30, 2017 compared to the same periods in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25"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We recorded a tax benefit of $0.7 million and $0.3 million for the three months ended September 30, 2017 and 2016, respectively. The tax benefit for the three months ended September 30, 2017 and 2016 was primarily attributable to the amortization of our acquisition-related deferred tax liability and losses from Canadian operations, partially offset by a tax provision and discrete tax items from our other foreign operations. We recorded a tax benefit of $3.3 million and $2.1 million for the nine months ended September 30, 2017 and 2016, respectively. The tax benefit for the nine months ended September 30,</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2017 and 2016 was primarily attributable to the amortization of our acquisition-related deferred tax liability, partially offset by a tax provision and discrete tax items from our other foreign operations. The increase in benefit from income taxes for the three and nine months ended September 30, 2017 compared to the three and nine months ended September 30, 2016 was mainly driven by increased losses from our Canadian operations.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As of September 30, 2017, our principal sources of liquidity consisted of $60.9 million of cash and cash equivalents and $1.4 million of short-term investments. As of September 30, 2017, our working capital excluding deferred revenue was $74.2 million.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21,537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31,317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28,816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25,899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3,189</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derive cash flows from operations primarily from cash collected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In the first quarter of 2017, we implemented efficiency and cost-savings initiatives and we expect these initiatives to reduce our operating expenses in 2017 compared to 2016.</w:t>
      </w:r>
    </w:p>
    <w:p>
      <w:pPr>
        <w:spacing w:after="0" w:line="15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Net cash used in operating activities for the nine months ended September 30, 2017 was $24.8 million, and consisted of a net loss of $50.1 million, adjusted for non-cash adjustments of $20.8 million and net change in assets and liabilities of $4.5 million. Non-cash items included amortization of developed technology of $8.4 million, stock-based compensation expense of $7.1 million, depreciation and amortization of $5.8 million, and a gain from other non-cash items of $0.5 million. The net change in assets and liabilities included a decrease in inventory of $2.1 million, a decrease in other assets of $1.6 million, an increase in accounts payable of $1.1 million, an increase in deferred revenue of $0.9 million, and a decrease in accounts receivable of $0.8 million, partially offset by a decrease in other liabilities of $1.9 million.</w:t>
      </w:r>
    </w:p>
    <w:p>
      <w:pPr>
        <w:spacing w:after="0" w:line="193"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Net cash used in operating activities for the nine months ended September 30, 2016, was $28.4 million, and consisted of a net loss of $58.3 million, adjusted for non-cash adjustments of $25.0 million, and a net change in assets and liabilities of $4.9 million. Non-cash items included stock-based compensation expense of $11.0 million, amortization of developed technology of $8.4 million, depreciation and amortization of $5.0 million, and a loss from other non-cash items of $0.6 million. The net change in assets and liabilities included a decrease in accounts receivable of $12.1 million, an increase in deferred revenues of $0.5 million, a decrease in other assets of $0.2 million, partially offset by an increase of inventory of $4.1 million, a decrease in other liabilities of $2.3 million and a decrease of accounts payable of $1.5 million.</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primary investing activities consist of purchases, sales, and maturities of our short-term investments and to a much lesser extent, capital expenditures for manufacturing, laboratory, computer equipment and software to support our infrastructure and work force. We expect to continue to incur costs for capital expenditures for demonstration units and loaner equipment to support our sales and service efforts, and computer equipment and software to support our business operations. However, as a result of our efficiency and cost-savings initiatives, we may decrease or defer certain capital expenditures and development activities while further optimizing our organization.</w:t>
      </w:r>
    </w:p>
    <w:p>
      <w:pPr>
        <w:spacing w:after="0" w:line="18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Net cash provided by investing activities was $21.5 million during the nine months ended September 30, 2017. Net cash provided by investing activities primarily consisted of $24.4 million of proceeds from sales and maturities of investments, partially offset by purchases of investments of $1.5 million and capital expenditures of $1.4 million.</w:t>
      </w:r>
    </w:p>
    <w:p>
      <w:pPr>
        <w:spacing w:after="0" w:line="18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Net cash provided by investing activities was $31.3 million during the nine months ended September 30, 2016. Net cash provided by investing activities primarily consisted of $71.9 million of proceeds from sales and maturities of investments and proceeds from the sale of the Verinata investment of $2.3 million, partially offset by purchases of investments of $38.6 million and capital expenditures of $4.4 million.</w:t>
      </w:r>
    </w:p>
    <w:p>
      <w:pPr>
        <w:spacing w:after="0" w:line="18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February 2013, Illumina, Inc. acquired Verinata Health, Inc. (Verinata) for $350 million in cash and up to an additional $100 million in milestone payments through December 2015. The final milestones related to the sale of Verinata to Illumina were met in December 2015 and, accordingly, we recorded our share of these milestone payment obligations in the amount of $2.3 million from the sale of investment in Verinata in the accompanying consolidated statement of operations for the year ended December 31, 2015. We received the $2.3 million payment in January 2016.</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Net cash provided by financing activities was $28.8 million for the nine months ended September 30, 2017, and consisted of net proceeds of $28.8 million from our "at-the market" equity offering in August 2017, and proceeds from exercise of stock options, offset by payments for taxes related to net share settlement for vested restricted stock units.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significant financing activities for the nine months ended September 30, 2016.</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At September 30, 2017, our working capital was $74.2 million, which includes cash, cash equivalents, and short-term investments of $62.4 million, and excludes deferred revenue of $9.9 million.</w:t>
      </w:r>
    </w:p>
    <w:p>
      <w:pPr>
        <w:spacing w:after="0" w:line="17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August 3, 2017, we entered into a Sales Agreement with Cowen and Company, LLC (Cowen) to sell shares of our common stock having aggregate sales proceeds of up to $30 million, from time to time, through an “at-the-market” equity offering program under which Cowen was to act as sales agent. On August 10, 2017, we sold 9,090,909 shares of our common stock, $0.001 par value per share, through Cowen acting as our agent, for aggregate gross proceeds of $30.0 million. Our aggregate net proceeds from such sales were approximately $28.8 million, after deducting related expenses, including commissions to Cowen of approximately $0.7 million and issuance costs of approximately $0.5 million. We plan to use the net proceeds from this offering for general corporate purposes and working capital. These sales exhausted the shares that were available for sale under the Sales Agreement.</w:t>
      </w:r>
    </w:p>
    <w:p>
      <w:pPr>
        <w:spacing w:after="0" w:line="16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effectiveness of our efficiency and cost reduction initiatives.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w:t>
      </w:r>
    </w:p>
    <w:p>
      <w:pPr>
        <w:spacing w:after="0" w:line="178"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include targeted workforce reductions, optimizing our facilities, and reducing excess space. In addition, we may need to decrease or defer capital expenditures and development activities to further optimize our operations; such measures may impair our ability to invest in developing, marketing and selling new and existing products. The efficiency and cost-savings initiatives are expected to reduce operating expenses and enable us to more efficiently align our resources in areas providing the greatest benefit. If our efficiency and cost reduction efforts are unsuccessful, our cash position could be negatively impacted and we may, among other things, be required to seek other sources of financing.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As of September 30, 2017, we did not have any off-balance sheet arrangements as defined in Item 303(a)(4) of the Securities and Exchange Commission's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operating lease obligations include a lease for our current headquarters and leases for manufacturing, laboratory, warehousing and office space for our foreign subsidiaries. Please see Note 7 to the financial statements for our lease obligations.</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Other than as disclosed above, there have been no material changes during the nine months ended September 30, 2017 to our contractual obligations disclosed in our “Management’s Discussion and Analysis of Financial Condition and Results of Operations” included in our Annual Report on Form 10-K for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nine months ended September 30, 2017 our foreign currency gain was $0.3 million. For the nine months ended September 30, 2016 our foreign currency loss was $0.8 million.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had cash and cash equivalents of $60.9 million at September 30, 2017. These amounts were held primarily in cash on deposit with banks, treasury bills and money market funds which are short-term. We had $1.4 million in investments at September 30, 2017, held primarily in U.S. government and agency securities with contractual maturity dates that are within one year from September 30, 2017. Cash and cash equivalents and investments are held for working capital purposes. Due to the short-term nature of these investments, we believe that we do not have any material exposure to changes in the fair value of our investment portfolio due to changes in interest rates. Declines in interest rates, however, will reduce future investment income. If overall interest rates had decreased by 10% during the periods presented, our interest income would not have been materially affected.</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September 30,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2017, our Chief Executive Officer and Chief Financial Officer concluded that, as of such date, our disclosure controls and procedures were effective at the reasonable assurance level.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2017 that have materially affected, or are reasonably likely to materially affect, our internal control over financial reporting.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225"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On December 21, 2015, Thermo Fisher Scientific, Inc. (“Thermo”) filed a complaint in the Circuit Court for the County of Kalamazoo of Michigan against one of its former employees who had recently been hired by us alleging, among other claims, misappropriation of proprietary information and breach of contractual and fiduciary obligations to Thermo while still an employee of Thermo. On November 23, 2016, Thermo amended its complaint to add us as a party to the litigation, making various commercial and employment-related claims and seeking damages and injunctive relief. In July 2017, we entered into a settlement agreement with Thermo. Pursuant to the terms of the settlement agreement, we agreed to pay Thermo a one-time payment of $3.0 million in exchange for a release and dismissal of all claims with prejudice upon payment of the settlement. In August 2017, we paid the settlement of $3.0 million and received an insurance recovery payment of $1.0 million related to this matter.</w:t>
      </w:r>
    </w:p>
    <w:p>
      <w:pPr>
        <w:spacing w:after="0" w:line="17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Additionally, 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5"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14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total revenue was $104.4 million in 2016, $114.7 million in 2015, and $116.5 million in 2014. The decrease in overall revenue over this period was due in significant part to decreasing sales of single-cell genomics instruments, driven by a combination of factors including changes in customer demand, increased competition, and performance issues in certain IFCs used in our C1 systems.</w:t>
      </w:r>
    </w:p>
    <w:p>
      <w:pPr>
        <w:spacing w:after="0" w:line="181"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For example, in 2011, 2012, 2014 and 2015, we experienced higher sales in the fourth quarter than in the first quarter of the next fiscal year. Although this was not the case in the fourth quarter of 2013 compared to the first quarter of 2014, this seasonal historical trend continued in 2014 and 2015 with a decrease in revenue in the first quarters of 2015 and 2016, respectively. Sales, however, remained relatively flat in the first quarter of 2017 compared to the fourth quarter of 2016. Additionally, for the quarters ended March 31, 2015 and September 30, 2015, we experienced year-over-year revenue growth rates that were substantially lower than revenue growth rates experienced in other periods since our initial public offering, and we experienced a year-over-year decline in revenue for the nine months ended September 30, 2017, September 30, 2016, and September 30, 2015, and for the years ended December 31, 2016 and 2015.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78"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return to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36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have a limited operating history and have incurred significant losses in each fiscal year since our inception, including net losses of $15.9 million and $50.1 million during the three and nine months ended September 30, 2017, respectively, and net losses of $76.0 million and $53.3 million for the years ended December 31, 2016 and 2015, respectively. As of September 30, 2017, we had an accumulated deficit of $489.7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revenue growth.</w:t>
      </w:r>
    </w:p>
    <w:p>
      <w:pPr>
        <w:spacing w:after="0" w:line="28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have included targeted workforce reductions, optimizing our facilities, and reducing excess space. Further actions such as these may be required on an ongoing basis to optimize our organization. For example, we may need to decrease or defer capital expenditures and development activities or implement further operating expense reduction measures. Such measures may impair our ability to invest in developing, marketing and selling new and existing products. Furthermore, if our efficiency and cost reduction efforts are unsuccessful, our cash position could be negatively impacted and we may, among other things, be required to seek additional sources of financing.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26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If we require additional funds in the future, we may not be able to obtain such funds on acceptable terms, or at all. If we raise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may also have to reduce marketing, customer support, research and development or other resources devoted to our products.</w:t>
      </w:r>
    </w:p>
    <w:p>
      <w:pPr>
        <w:spacing w:after="0" w:line="288"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We have significant outstanding convertible debt, and may be required to repay, refinance or restructure such debt before 2021. In February 2014, we closed an underwritten public offering of $201.3 million aggregate principal amount of our 2.75% Senior Convertible Notes due 2034 (Notes). The Notes accrue interest at a rate of 2.75% per year, payable semi-annually in arrears on February 1 and August 1 of each year. The Notes will mature on February 1, 2034, unless earlier converted, redeemed,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or repurchased in accordance with the terms of the Notes. Holders may require us to repurchase all or a portion of their Notes on each of February 6, 2021, February 6, 2024, and February 6, 2029 at a repurchase price in cash equal to 100% of the principal amount of the Notes plus accrued and unpaid interest. If we undergo a fundamental change, as defined in the terms of the Notes, holders may require us to repurchase the Notes in whole or in part for cash at a repurchase price equal to 100% of the principal amount of the Notes plus accrued and unpaid interest. If we refinance the debt owed under the Notes, we may issue additional convertible notes or other debt with a later maturity date, and which could include additional company obligations and represent more dilution to existing stockholders and note holders.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life science markets are highly competitive and subject to rapid technological change, and we may not be able to successfully compete.</w:t>
      </w:r>
    </w:p>
    <w:p>
      <w:pPr>
        <w:spacing w:after="0" w:line="241" w:lineRule="exact"/>
        <w:rPr>
          <w:sz w:val="20"/>
          <w:szCs w:val="20"/>
          <w:color w:val="auto"/>
        </w:rPr>
      </w:pPr>
    </w:p>
    <w:p>
      <w:pPr>
        <w:ind w:right="60" w:firstLine="405"/>
        <w:spacing w:after="0" w:line="285"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(now part of Thermo Fisher Scientific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(acquisition by Bio-Rad Laboratories, Inc. pending), Roche Diagnostics Corporation, Sony Corporation, Thermo Fisher Scientific Inc., and WaferGen Bio-systems, Inc. have products that compete in certain segments of the market in which we sell our products. In addition, we have in recent quarters experienced increased competition in the single-cell genomics market, including new product releases from 10X Genomics, Inc. and WaferGen Bio-systems, Inc., as well as the acquisition of Cellular Research by Becton Dickinson and Company and an announced exclusive partnership between Illumina, Inc. and Bio-Rad Laboratories, Inc. In addition due to the release of our Hyperion imaging mass cytometry system, we now are exposed to competition from companies offering imaging-based systems, specialized reagents and/or services including Carl Zeiss Inc., Leica Biosystems, Nikon Corporation, Olympus America Inc., Roche Diagnostics Corporation, PerkinElmer, Inc. Agilent Technologies, Inc. and Neogenomics (Multiomyx).</w:t>
      </w:r>
    </w:p>
    <w:p>
      <w:pPr>
        <w:spacing w:after="0" w:line="17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66"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Our commercial organization has undergone significant changes in 2016 and 2017, and we are in the early stages of establishing sales of our products for many key applications. If we are not able to successfully market and sell our products, or to achieve the revenue 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6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potential growth of our revenue or increase our losses.</w:t>
      </w:r>
    </w:p>
    <w:p>
      <w:pPr>
        <w:spacing w:after="0" w:line="252"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58"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58"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6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6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4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certain of our systems are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125"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biopharmaceutical, biotechnology, and Ag-Bio companies, and CROs, a reduction in which could limit our ability to sell our products and adversely affect our business.</w:t>
      </w:r>
    </w:p>
    <w:p>
      <w:pPr>
        <w:spacing w:after="0" w:line="18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expect that our revenue in the foreseeable future will be derived primarily from sales of our systems, IFCs, assays, and reagents to academic institutions, clinical research laboratories that use our technology to develop tests, and biopharmaceutical, biotechnology, Ag-Bio companies and CROs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IFCs, assays, and reagents. These reductions and delays may result from factors that are not within our control, such as:</w:t>
      </w:r>
    </w:p>
    <w:p>
      <w:pPr>
        <w:spacing w:after="0" w:line="183" w:lineRule="exact"/>
        <w:rPr>
          <w:sz w:val="20"/>
          <w:szCs w:val="20"/>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66"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42"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We manufacture our genomics analytical and preparatory instruments and IFCs for commercial sale at our facility in Singapore, our mass cytometry instruments for commercial sale at our facility in Canada, and our assays and reagents for commercial sale at our headquarters in the United States.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2"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During the nine months ended September 30, 2017 and 2016, and the years ended December 31, 2016 and 2015, approximately 53%, 50%, 50% and 52%, respectively, of our product and service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171" w:lineRule="exact"/>
        <w:rPr>
          <w:sz w:val="20"/>
          <w:szCs w:val="20"/>
          <w:color w:val="auto"/>
        </w:rPr>
      </w:pPr>
    </w:p>
    <w:p>
      <w:pPr>
        <w:ind w:left="820" w:right="260" w:hanging="326"/>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RoHS and WEEE directives, which regulate the use of certain hazardous substances in, and require the collection, reuse, and recycling of waste from, products we manufacture;</w:t>
      </w:r>
    </w:p>
    <w:p>
      <w:pPr>
        <w:spacing w:after="0" w:line="181"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0"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During June 2016, the referendum by British voters to exit the European Union ("Brexit") adversely impacted global markets and resulted in a sharp decline of the British pound sterling against the US dollar. In February 2017, the British Parliament voted in favor of allowing the British government to begin the formal process of Brexit, and the United Kingdom submitted its required notice under the applicable treaties that it intended to leave the European Union in March 2017, which initiated a negotiation process between the United Kingdom and the European Union that could last up to two years. In the short-term, volatility in the British pound sterling could continue as the United Kingdom negotiates its anticipated exit from the European Union. In the longer term, any impact from Brexit on our United Kingdom operations will depend, in part, on the outcome of tariff, trade, regulatory, and other negotiations.</w:t>
      </w:r>
    </w:p>
    <w:p>
      <w:pPr>
        <w:spacing w:after="0" w:line="189" w:lineRule="exact"/>
        <w:rPr>
          <w:sz w:val="20"/>
          <w:szCs w:val="20"/>
          <w:color w:val="auto"/>
        </w:rPr>
      </w:pPr>
    </w:p>
    <w:p>
      <w:pPr>
        <w:ind w:right="160" w:firstLine="432"/>
        <w:spacing w:after="0" w:line="270" w:lineRule="auto"/>
        <w:rPr>
          <w:sz w:val="20"/>
          <w:szCs w:val="20"/>
          <w:color w:val="auto"/>
        </w:rPr>
      </w:pPr>
      <w:r>
        <w:rPr>
          <w:rFonts w:ascii="Arial" w:cs="Arial" w:eastAsia="Arial" w:hAnsi="Arial"/>
          <w:sz w:val="17"/>
          <w:szCs w:val="17"/>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are denominated in currencies other than the functional currency of the entities in which they are recorded. For example, we experienced foreign currency gain of $0.3 million during the nine months ended September 30, 2017, and losses of $1.5 million and $1.6 million during the years ended December 31, 2016 and 2015, respectively. Fluctuations in currency exchange rates could have an adverse impact on our financial results in the future.</w:t>
      </w:r>
    </w:p>
    <w:p>
      <w:pPr>
        <w:spacing w:after="0" w:line="14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ind w:left="760" w:right="320" w:hanging="320"/>
        <w:spacing w:after="0" w:line="26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C1, Callisto, Juno, and Polaris systems are available from a limited number of sources.</w:t>
      </w:r>
    </w:p>
    <w:p>
      <w:pPr>
        <w:spacing w:after="0" w:line="248" w:lineRule="exact"/>
        <w:rPr>
          <w:rFonts w:ascii="Arial" w:cs="Arial" w:eastAsia="Arial" w:hAnsi="Arial"/>
          <w:sz w:val="16"/>
          <w:szCs w:val="16"/>
          <w:color w:val="auto"/>
        </w:rPr>
      </w:pPr>
    </w:p>
    <w:p>
      <w:pPr>
        <w:ind w:left="760" w:right="170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Hyperion/Helios/CyTOF 2 systems and certain metal isotopes used with the Hyperion/Helios/CyTOF 2 systems are purchased from sole source suppliers.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movement stage included in the Hyperion imaging mass cytometer system is purchased from a sole source supplier.</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nickel sampler cone used with the Hyperion/Helios/CyTOF 2 systems is purchased from single source suppliers and is available from a limited number of sources.</w:t>
      </w:r>
    </w:p>
    <w:p>
      <w:pPr>
        <w:spacing w:after="0" w:line="170" w:lineRule="exact"/>
        <w:rPr>
          <w:rFonts w:ascii="Arial" w:cs="Arial" w:eastAsia="Arial" w:hAnsi="Arial"/>
          <w:sz w:val="18"/>
          <w:szCs w:val="18"/>
          <w:color w:val="auto"/>
        </w:rPr>
      </w:pPr>
    </w:p>
    <w:p>
      <w:pPr>
        <w:ind w:left="760" w:right="52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rFonts w:ascii="Arial" w:cs="Arial" w:eastAsia="Arial" w:hAnsi="Arial"/>
          <w:sz w:val="18"/>
          <w:szCs w:val="18"/>
          <w:color w:val="auto"/>
        </w:rPr>
      </w:pPr>
    </w:p>
    <w:p>
      <w:pPr>
        <w:ind w:left="760" w:right="28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170" w:lineRule="exact"/>
        <w:rPr>
          <w:rFonts w:ascii="Arial" w:cs="Arial" w:eastAsia="Arial" w:hAnsi="Arial"/>
          <w:sz w:val="18"/>
          <w:szCs w:val="18"/>
          <w:color w:val="auto"/>
        </w:rPr>
      </w:pPr>
    </w:p>
    <w:p>
      <w:pPr>
        <w:ind w:left="760" w:right="18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from alternate sources at acceptable prices in a timely manner, could impair our ability to meet the demand of our customers and cause them to cancel orders or switch to competitive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right="220" w:firstLine="405"/>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research laboratories that use our technology to develop tests, and biopharmaceutical, biotechnology, and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61"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252" w:lineRule="exact"/>
        <w:rPr>
          <w:sz w:val="20"/>
          <w:szCs w:val="20"/>
          <w:color w:val="auto"/>
        </w:rPr>
      </w:pPr>
    </w:p>
    <w:p>
      <w:pPr>
        <w:jc w:val="both"/>
        <w:ind w:right="420" w:firstLine="432"/>
        <w:spacing w:after="0" w:line="302" w:lineRule="auto"/>
        <w:rPr>
          <w:sz w:val="20"/>
          <w:szCs w:val="20"/>
          <w:color w:val="auto"/>
        </w:rPr>
      </w:pPr>
      <w:r>
        <w:rPr>
          <w:rFonts w:ascii="Arial" w:cs="Arial" w:eastAsia="Arial" w:hAnsi="Arial"/>
          <w:sz w:val="16"/>
          <w:szCs w:val="16"/>
          <w:color w:val="auto"/>
        </w:rPr>
        <w:t>As of September 30, 2017, we had approximately $181.4 million of goodwill and net intangible assets, including approximately $104.1 million of goodwill and approximately $77.3 million of net intangible assets. These assets represent a significant portion of the assets recorded on our consolidated balance sheet and relate primarily to our acquisition of DVS Sciences, Inc., or DVS, in February 2014. In addition, if in the future we acquire additional businesses, technologies, or other intangible assets, a substantial portion of the value of such assets may be recorded as goodwill or intangible assets.</w:t>
      </w:r>
    </w:p>
    <w:p>
      <w:pPr>
        <w:spacing w:after="0" w:line="154"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We have recently experienced substantial declines in our stock price, and continued weakness or further declines in our stock price increase the likelihood that we may be required to recognize impairment charges. Any impairment charges could have a material adverse effect on our operating results and net asset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value in the quarter in which we recognize the impairment charge. We cannot provide assurances that we will not in the future be required to recognize impairment charges.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operations are dependent upon our new senior management team and the ability of our other new employees to learn their new roles.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w:t>
      </w:r>
    </w:p>
    <w:p>
      <w:pPr>
        <w:spacing w:after="0" w:line="222"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Our performance is substantially dependent on the performance of our senior management, which has substantially changed over the last year, including, for example, a change in our chief executive officer in October 2016. In addition to our chief executive officer, several other members of our senior management team have started at Fluidigm since mid-2016. As new employees gain experience in their roles, we could experience inefficiencies or a lack of business continuity due to loss of historical knowledge and a lack of familiarity of new employees with business processes, operating requirements, policies and procedures, and we may experience additional costs as new employees learn their roles and gain necessary experience. It is important to our success that these key employees quickly adapt to and excel in their new roles. If they are unable to do so, our business and financial results could be materially adversely affected. In addition, 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73"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Additionally, to expand our research and product development efforts, we need to retain and recruit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personnel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74"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14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Beginning in the first quarter of 2017, we implemented efficiency and cost-savings initiatives intended to stabilize our business operations and return to growth. We identified areas for cost efficiencies including targeted workforce reductions and optimizing our facilities, and reducing excess space. Other initiatives may also include decreasing or deferring capital expenditures and development activities. The implementation of these efficiency and cost-savings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stabilize our business and return to growth may not be successful.</w:t>
      </w:r>
    </w:p>
    <w:p>
      <w:pPr>
        <w:spacing w:after="0" w:line="163"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142"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products, our Biomark, EP1, and Helios/CyTOF 2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7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If we seek to be regulated as a medical device manufacturer by the U.S. Food and Drug Administration, or FDA, and foreign regulatory authorities, and seek approval and/or clearance for our products, the regulatory approval process would take significant time and expense and could fail to result in FDA clearance or approval for the intended uses we believe are commercially attractive. If our products were successfully approved and/or cleared, we would be subject to ongoing and extensive regulatory requirements, which would increase our costs and divert resources away from other projects. If we obtained FDA clearance or approval and we failed to comply with these requirements, our business and financial condition could be adversely impacted.</w:t>
      </w:r>
    </w:p>
    <w:p>
      <w:pPr>
        <w:spacing w:after="0" w:line="19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Our products are currently labeled, promoted and sold to academic institutions, life sciences laboratories, biopharmaceutical, biotechnology, Ag-Bio companies and CRO's for research use only, or RUO, and are not designed for, or intended to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(PMA) from the FDA, unless an exception applies.</w:t>
      </w:r>
    </w:p>
    <w:p>
      <w:pPr>
        <w:spacing w:after="0" w:line="18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may in the future register with the FDA as a medical device manufacturer and list some of our products with the FDA pursuant to an FDA Class I listing for general purpose laboratory equipment. We are currently assessing whether and when to make an initial registration. While this regulatory classification is exempt from certain FDA requirements, such as the need to submit a premarket notification commonly known as a 510(k), and some of the requirements of the FDA’s Quality System Regulations, or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7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7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125"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8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In addition, we could decide to seek similar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would need to comply with the Medical Device Directive 93/42 EEC and/or the In Vitro Diagnostics Directive 98/79/EC, which are required to market medical devices in the European Union.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78"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8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independently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8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18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for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72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20"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requirements may become subject to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6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181" w:lineRule="exact"/>
        <w:rPr>
          <w:sz w:val="20"/>
          <w:szCs w:val="20"/>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225" w:lineRule="exact"/>
        <w:rPr>
          <w:sz w:val="20"/>
          <w:szCs w:val="20"/>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recent efficiency and cost-savings initiatives;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720" w:right="400" w:hanging="320"/>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66"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restructured our European intercompany transactions, which increased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upon final adjudication of any disputes could have a material impact on our results of operations and financial position.</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125"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to our acquisition of DVS,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188"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In addition, we have experienced significant changes in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sales organization in recent quarters due to reorganizations and changes in leadership. We may not be able to attract and retain personnel or be able to build an efficient and effective sales and marketing force, which would negatively impact sales of our products and reduce our revenue and profitability.</w:t>
      </w:r>
    </w:p>
    <w:p>
      <w:pPr>
        <w:spacing w:after="0" w:line="12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we seek to implement a company-wide implementation of an enterprise resource planning, or ERP, system, such implementation could adversely affect our business and results of operations or the effectiveness of internal control over financial reporting.</w:t>
      </w:r>
    </w:p>
    <w:p>
      <w:pPr>
        <w:spacing w:after="0" w:line="16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25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referred to as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88"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relating to Revenue from Contracts with Customers which supersedes nearly all existing U.S. GAAP revenue recognition guidance. The new guidance will be effective for our fiscal year 2018. The new revenue guidance may be applied retrospectively to each prior period presented or retrospectively with the cumulative effect recognized as of the date of adoption. While we have not completed our assessment of the new revenue guidance, we currently expect that this new guidance will not have a material impact on our consolidated financial statements. As we complete the evaluation of this new guidance, new information may arise that could change our current understanding of the impact to revenue and expense recognized. Additionally, we will continue to monitor industry activities and any additional guidance provided by regulators, standards setters, or the accounting profession and adjust our assessment and implementation plans accordingly.</w:t>
      </w:r>
    </w:p>
    <w:p>
      <w:pPr>
        <w:spacing w:after="0" w:line="175"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166"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212121"/>
        </w:rPr>
        <w:t>382 of the Internal Revenue Code of 1986, as amended, referred to as the “Code,” imposes an annual limitation on the amount of taxable</w:t>
      </w:r>
      <w:r>
        <w:rPr>
          <w:rFonts w:ascii="Arial" w:cs="Arial" w:eastAsia="Arial" w:hAnsi="Arial"/>
          <w:sz w:val="18"/>
          <w:szCs w:val="18"/>
          <w:color w:val="auto"/>
        </w:rPr>
        <w:t xml:space="preserve"> </w:t>
      </w:r>
      <w:r>
        <w:rPr>
          <w:rFonts w:ascii="Arial" w:cs="Arial" w:eastAsia="Arial" w:hAnsi="Arial"/>
          <w:sz w:val="18"/>
          <w:szCs w:val="18"/>
          <w:color w:val="212121"/>
        </w:rPr>
        <w:t>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referred to as our NOL's, following an ownership change</w:t>
      </w:r>
      <w:r>
        <w:rPr>
          <w:rFonts w:ascii="Arial" w:cs="Arial" w:eastAsia="Arial" w:hAnsi="Arial"/>
          <w:sz w:val="18"/>
          <w:szCs w:val="18"/>
          <w:color w:val="000000"/>
        </w:rPr>
        <w:t>.</w:t>
      </w:r>
    </w:p>
    <w:p>
      <w:pPr>
        <w:spacing w:after="0" w:line="188"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color w:val="212121"/>
        </w:rPr>
        <w:t>we experience an ownership change, our ability to use our NOLs, any loss or deduction attributable to a “net unrealized built-in loss” and other tax</w:t>
      </w:r>
      <w:r>
        <w:rPr>
          <w:rFonts w:ascii="Arial" w:cs="Arial" w:eastAsia="Arial" w:hAnsi="Arial"/>
          <w:sz w:val="18"/>
          <w:szCs w:val="18"/>
          <w:color w:val="auto"/>
        </w:rPr>
        <w:t xml:space="preserve"> </w:t>
      </w:r>
      <w:r>
        <w:rPr>
          <w:rFonts w:ascii="Arial" w:cs="Arial" w:eastAsia="Arial" w:hAnsi="Arial"/>
          <w:sz w:val="18"/>
          <w:szCs w:val="18"/>
          <w:color w:val="212121"/>
        </w:rPr>
        <w:t>attributes, which we refer to as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8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212121"/>
        </w:rPr>
        <w:t>believe that these tax benefits are a valuable asset for us. On November 21, 2016, our board of directors approved a tax benefit preservation plan, or</w:t>
      </w:r>
      <w:r>
        <w:rPr>
          <w:rFonts w:ascii="Arial" w:cs="Arial" w:eastAsia="Arial" w:hAnsi="Arial"/>
          <w:sz w:val="17"/>
          <w:szCs w:val="17"/>
          <w:color w:val="auto"/>
        </w:rPr>
        <w:t xml:space="preserve"> </w:t>
      </w:r>
      <w:r>
        <w:rPr>
          <w:rFonts w:ascii="Arial" w:cs="Arial" w:eastAsia="Arial" w:hAnsi="Arial"/>
          <w:sz w:val="17"/>
          <w:szCs w:val="17"/>
          <w:color w:val="212121"/>
        </w:rPr>
        <w:t xml:space="preserve">Tax Benefit Preservation Plan, in an effort to protect our tax benefits during the effective period of the tax benefit preservation plan. Our board of directors elected to let the Tax Benefit Preservation Plan expire in August 2017 based on its determination, in consultation with our management and tax advisors, that our NOLs were not at material risk of limitation based on an ownership change pursuant to Section 382. Our board of directors will continue to monitor our NOLs, however, and could elect to adopt a similar plan if it believes a potential risk exists that our NOLs could be limited. </w:t>
      </w:r>
      <w:r>
        <w:rPr>
          <w:rFonts w:ascii="Arial" w:cs="Arial" w:eastAsia="Arial" w:hAnsi="Arial"/>
          <w:sz w:val="17"/>
          <w:szCs w:val="17"/>
          <w:color w:val="000000"/>
        </w:rPr>
        <w:t>Any future</w:t>
      </w:r>
      <w:r>
        <w:rPr>
          <w:rFonts w:ascii="Arial" w:cs="Arial" w:eastAsia="Arial" w:hAnsi="Arial"/>
          <w:sz w:val="17"/>
          <w:szCs w:val="17"/>
          <w:color w:val="212121"/>
        </w:rPr>
        <w:t xml:space="preserve"> tax benefit preservation plan could make it more difficult for a third party to acquire, or could discourage a third party from acquiring, us or a large block of our common stock. </w:t>
      </w:r>
      <w:r>
        <w:rPr>
          <w:rFonts w:ascii="Arial" w:cs="Arial" w:eastAsia="Arial" w:hAnsi="Arial"/>
          <w:sz w:val="17"/>
          <w:szCs w:val="17"/>
          <w:color w:val="000000"/>
        </w:rPr>
        <w:t>The</w:t>
      </w:r>
      <w:r>
        <w:rPr>
          <w:rFonts w:ascii="Arial" w:cs="Arial" w:eastAsia="Arial" w:hAnsi="Arial"/>
          <w:sz w:val="17"/>
          <w:szCs w:val="17"/>
          <w:color w:val="212121"/>
        </w:rPr>
        <w:t xml:space="preserve"> </w:t>
      </w:r>
      <w:r>
        <w:rPr>
          <w:rFonts w:ascii="Arial" w:cs="Arial" w:eastAsia="Arial" w:hAnsi="Arial"/>
          <w:sz w:val="17"/>
          <w:szCs w:val="17"/>
          <w:color w:val="000000"/>
        </w:rPr>
        <w:t>value of our tax benefits reflects the currently prescribed Federal corporate income tax rate. A reduction in the corporate income tax rate would cause a reduction to our deferred tax assets and the related valuation allowance.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8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75"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Fisher Scientific Inc.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17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97"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6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1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may be subject to information technology failures, including data protection breaches and cyber-attacks, that could disrupt our operations, damage our reputation and adversely affect our business, operations, and financial results.</w:t>
      </w:r>
    </w:p>
    <w:p>
      <w:pPr>
        <w:spacing w:after="0" w:line="166"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We rely on our information technology systems for the effective operation of our business and for the secure maintenance and storage of confidential data relating to our business and third party businesses. Although we have implemented security controls to protect our information technology systems, experienced programmers or hackers may be able to penetrate our security controls, and develop and deploy viruses, worms, and other malicious software programs that compromise our confidential information or that of third parties and cause a disruption or failure of our information technology systems. Any such compromise of our information technology systems could result in the unauthorized publication of our confidential business or proprietary information, result in the unauthorized release of customer, supplier or employee data, result in a violation of privacy or other laws, expose us to a risk of litigation, or damage our reputation.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78"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Third parties with which we conduct business have access to certain portions of our sensitive data. In the event that these third parties do not properly safeguard our data that they hold, security breaches could result and negatively impact our business, operations, and financial results.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241"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September 30, 2017, we had 38,622,226 shares of common stock outstanding, and stockholders holding at least 5% of our stock, individually or with affiliated persons or entities, collectively beneficially owned or controlled approximately 58.2% of such shares and one stockholder beneficially owned 29.7% of our outstanding common stock.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58.2% held by our top three stockholders) means that a relatively small number of stockholders have significant control over the outcomes of stockholder voting.</w:t>
      </w:r>
    </w:p>
    <w:p>
      <w:pPr>
        <w:spacing w:after="0" w:line="16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conditions in the life science, Ag-Bio, and CRO sectors;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6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760" w:hanging="320"/>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760" w:right="4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70"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never paid cash dividends on our capital stock, and we do not anticipate paying any cash dividends in the foreseeable future.</w:t>
      </w:r>
    </w:p>
    <w:p>
      <w:pPr>
        <w:spacing w:after="0" w:line="241"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We have paid no cash dividends on any of our classes of capital stock to date and currently intend to retain our future earnings to fund the development and growth of our business. In addition, we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outstanding 2.75% senior convertible notes due 2034 are effectively subordinated to our secured debt and any liabilities of our subsidiaries.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225"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effectively junior in right of payment to any of our secured indebtedness to the extent of the value of the assets securing such indebtedness; and</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16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2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16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this report, past regulatory actions (such as certain emergency orders issued by the SEC in 2008 prohibiting short sales of stock of certain financial services companies) have had a significant impact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66"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Holders of the notes have the right to require us to repurchase all or a portion of their notes on certain dates or upon the occurrence of a fundamental change at a repurchase price equal to 100% of the principal amount of the notes to be repurchased, plus accrued and unpaid interest, if any. We may not have enough available cash or be able to obtain financing at the time we are required to make repurchases of notes surrendered therefor.</w:t>
      </w:r>
    </w:p>
    <w:p>
      <w:pPr>
        <w:spacing w:after="0" w:line="1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166"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 governing the notes, and these limited covenants may not protect a noteholder's investment.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notes does not:</w:t>
      </w:r>
    </w:p>
    <w:p>
      <w:pPr>
        <w:spacing w:after="0" w:line="225" w:lineRule="exact"/>
        <w:rPr>
          <w:sz w:val="20"/>
          <w:szCs w:val="20"/>
          <w:color w:val="auto"/>
        </w:rPr>
      </w:pPr>
    </w:p>
    <w:p>
      <w:pPr>
        <w:ind w:left="760" w:right="400" w:hanging="320"/>
        <w:spacing w:after="0" w:line="308"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23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 governing the notes may not protect a noteholder's investment in the notes.</w:t>
      </w:r>
    </w:p>
    <w:p>
      <w:pPr>
        <w:spacing w:after="0" w:line="184" w:lineRule="exact"/>
        <w:rPr>
          <w:sz w:val="20"/>
          <w:szCs w:val="20"/>
          <w:color w:val="auto"/>
        </w:rPr>
      </w:pPr>
    </w:p>
    <w:p>
      <w:pPr>
        <w:ind w:right="28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14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$180.00 per share or less than $39.96 per share (in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16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2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16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193"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do not intend to apply to list our outstanding convertible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2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16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166"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940" w:type="dxa"/>
            <w:vAlign w:val="bottom"/>
            <w:vMerge w:val="restart"/>
          </w:tcPr>
          <w:p>
            <w:pPr>
              <w:ind w:left="2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5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5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0"/>
              </w:rPr>
              <w:t>Sales Agreement, dated as of August 3, 2017, between Fluidigm Corporation and</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Cowen and Company, LLC.</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Eighth Amended and Restated Certificate of Incorporation of Fluidigm</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Corporation filed on February 15, 2011.</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w w:val="98"/>
              </w:rPr>
              <w:t>Certificate of Designation of Rights, Preferences and Privileges of Series A</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Participating Preferred Stock.</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240" w:type="dxa"/>
            <w:vAlign w:val="bottom"/>
          </w:tcPr>
          <w:p>
            <w:pPr>
              <w:ind w:left="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Certificate of Elimination.</w:t>
            </w:r>
          </w:p>
        </w:tc>
        <w:tc>
          <w:tcPr>
            <w:tcW w:w="0" w:type="dxa"/>
            <w:vAlign w:val="bottom"/>
          </w:tcPr>
          <w:p>
            <w:pPr>
              <w:spacing w:after="0"/>
              <w:rPr>
                <w:sz w:val="1"/>
                <w:szCs w:val="1"/>
                <w:color w:val="auto"/>
              </w:rPr>
            </w:pPr>
          </w:p>
        </w:tc>
      </w:tr>
      <w:tr>
        <w:trPr>
          <w:trHeight w:val="392"/>
        </w:trPr>
        <w:tc>
          <w:tcPr>
            <w:tcW w:w="124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Specimen Common Stock Certificate of Fluidigm Corporation.</w:t>
            </w:r>
          </w:p>
        </w:tc>
        <w:tc>
          <w:tcPr>
            <w:tcW w:w="0" w:type="dxa"/>
            <w:vAlign w:val="bottom"/>
          </w:tcPr>
          <w:p>
            <w:pPr>
              <w:spacing w:after="0"/>
              <w:rPr>
                <w:sz w:val="1"/>
                <w:szCs w:val="1"/>
                <w:color w:val="auto"/>
              </w:rPr>
            </w:pPr>
          </w:p>
        </w:tc>
      </w:tr>
      <w:tr>
        <w:trPr>
          <w:trHeight w:val="490"/>
        </w:trPr>
        <w:tc>
          <w:tcPr>
            <w:tcW w:w="1240" w:type="dxa"/>
            <w:vAlign w:val="bottom"/>
          </w:tcPr>
          <w:p>
            <w:pPr>
              <w:ind w:left="40"/>
              <w:spacing w:after="0"/>
              <w:rPr>
                <w:sz w:val="20"/>
                <w:szCs w:val="20"/>
                <w:color w:val="auto"/>
              </w:rPr>
            </w:pPr>
            <w:r>
              <w:rPr>
                <w:rFonts w:ascii="Arial" w:cs="Arial" w:eastAsia="Arial" w:hAnsi="Arial"/>
                <w:sz w:val="18"/>
                <w:szCs w:val="18"/>
                <w:color w:val="auto"/>
              </w:rPr>
              <w:t>10.1</w:t>
            </w:r>
            <w:r>
              <w:rPr>
                <w:rFonts w:ascii="Arial" w:cs="Arial" w:eastAsia="Arial" w:hAnsi="Arial"/>
                <w:sz w:val="25"/>
                <w:szCs w:val="25"/>
                <w:color w:val="auto"/>
                <w:vertAlign w:val="superscript"/>
              </w:rPr>
              <w:t>*</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Fluidigm Corporation 2017 Employee Stock Purchase Plan.</w:t>
            </w:r>
          </w:p>
        </w:tc>
        <w:tc>
          <w:tcPr>
            <w:tcW w:w="0" w:type="dxa"/>
            <w:vAlign w:val="bottom"/>
          </w:tcPr>
          <w:p>
            <w:pPr>
              <w:spacing w:after="0"/>
              <w:rPr>
                <w:sz w:val="1"/>
                <w:szCs w:val="1"/>
                <w:color w:val="auto"/>
              </w:rPr>
            </w:pPr>
          </w:p>
        </w:tc>
      </w:tr>
      <w:tr>
        <w:trPr>
          <w:trHeight w:val="279"/>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w w:val="98"/>
              </w:rPr>
              <w:t>Amendments to the Fluidigm Corporation 2011 Equity Incentive Plan, 2009</w:t>
            </w:r>
          </w:p>
        </w:tc>
        <w:tc>
          <w:tcPr>
            <w:tcW w:w="0" w:type="dxa"/>
            <w:vAlign w:val="bottom"/>
          </w:tcPr>
          <w:p>
            <w:pPr>
              <w:spacing w:after="0"/>
              <w:rPr>
                <w:sz w:val="1"/>
                <w:szCs w:val="1"/>
                <w:color w:val="auto"/>
              </w:rPr>
            </w:pPr>
          </w:p>
        </w:tc>
      </w:tr>
      <w:tr>
        <w:trPr>
          <w:trHeight w:val="216"/>
        </w:trPr>
        <w:tc>
          <w:tcPr>
            <w:tcW w:w="1240" w:type="dxa"/>
            <w:vAlign w:val="bottom"/>
          </w:tcPr>
          <w:p>
            <w:pPr>
              <w:ind w:left="40"/>
              <w:spacing w:after="0" w:line="216" w:lineRule="exact"/>
              <w:rPr>
                <w:sz w:val="20"/>
                <w:szCs w:val="20"/>
                <w:color w:val="auto"/>
              </w:rPr>
            </w:pPr>
            <w:r>
              <w:rPr>
                <w:rFonts w:ascii="Arial" w:cs="Arial" w:eastAsia="Arial" w:hAnsi="Arial"/>
                <w:sz w:val="18"/>
                <w:szCs w:val="18"/>
                <w:color w:val="auto"/>
              </w:rPr>
              <w:t>10.2</w:t>
            </w:r>
            <w:r>
              <w:rPr>
                <w:rFonts w:ascii="Arial" w:cs="Arial" w:eastAsia="Arial" w:hAnsi="Arial"/>
                <w:sz w:val="25"/>
                <w:szCs w:val="25"/>
                <w:color w:val="auto"/>
                <w:vertAlign w:val="superscript"/>
              </w:rPr>
              <w:t>*</w:t>
            </w:r>
          </w:p>
        </w:tc>
        <w:tc>
          <w:tcPr>
            <w:tcW w:w="10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w w:val="93"/>
              </w:rPr>
              <w:t>Equity Incentive Plan, and 1999 Stock Option Plan and the DVS Sciences, Inc.</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2010 Equity Incentive Plan.</w:t>
            </w:r>
          </w:p>
        </w:tc>
        <w:tc>
          <w:tcPr>
            <w:tcW w:w="0" w:type="dxa"/>
            <w:vAlign w:val="bottom"/>
          </w:tcPr>
          <w:p>
            <w:pPr>
              <w:spacing w:after="0"/>
              <w:rPr>
                <w:sz w:val="1"/>
                <w:szCs w:val="1"/>
                <w:color w:val="auto"/>
              </w:rPr>
            </w:pPr>
          </w:p>
        </w:tc>
      </w:tr>
      <w:tr>
        <w:trPr>
          <w:trHeight w:val="377"/>
        </w:trPr>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w w:val="94"/>
              </w:rPr>
              <w:t>Eighth Amendment to Lease Agreement between ARE-San Francisco No. 17,</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LLC and Fluidigm Corporation, dated August 2, 2017.</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24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Fluidigm Corporation Change of Control and Severance Plan</w:t>
            </w:r>
          </w:p>
        </w:tc>
        <w:tc>
          <w:tcPr>
            <w:tcW w:w="0" w:type="dxa"/>
            <w:vAlign w:val="bottom"/>
          </w:tcPr>
          <w:p>
            <w:pPr>
              <w:spacing w:after="0"/>
              <w:rPr>
                <w:sz w:val="1"/>
                <w:szCs w:val="1"/>
                <w:color w:val="auto"/>
              </w:rPr>
            </w:pPr>
          </w:p>
        </w:tc>
      </w:tr>
      <w:tr>
        <w:trPr>
          <w:trHeight w:val="392"/>
        </w:trPr>
        <w:tc>
          <w:tcPr>
            <w:tcW w:w="1240" w:type="dxa"/>
            <w:vAlign w:val="bottom"/>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Endorsement Split-Dollar Life Insurance Agreement</w:t>
            </w:r>
          </w:p>
        </w:tc>
        <w:tc>
          <w:tcPr>
            <w:tcW w:w="0" w:type="dxa"/>
            <w:vAlign w:val="bottom"/>
          </w:tcPr>
          <w:p>
            <w:pPr>
              <w:spacing w:after="0"/>
              <w:rPr>
                <w:sz w:val="1"/>
                <w:szCs w:val="1"/>
                <w:color w:val="auto"/>
              </w:rPr>
            </w:pPr>
          </w:p>
        </w:tc>
      </w:tr>
      <w:tr>
        <w:trPr>
          <w:trHeight w:val="377"/>
        </w:trPr>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Section 302 of the Sarbanes-Oxley Act of 2002 of Chief Executive Officer</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Section 302 of the Sarbanes-Oxley Act of 2002 of Chief Financial Officer</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Section 906 of the Sarbanes-Oxley Act of 2002 of Chief Executive Officer</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Section 906 of the Sarbanes-Oxley Act of 2002 of Chief Financial Officer</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94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94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9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94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9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92"/>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9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 Indicates a management contract or compensatory plan.</w:t>
      </w:r>
    </w:p>
    <w:p>
      <w:pPr>
        <w:spacing w:after="0" w:line="31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Incorporated by</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Reference From</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Exhibit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47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608"/>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60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11/22/2016</w:t>
            </w:r>
          </w:p>
        </w:tc>
        <w:tc>
          <w:tcPr>
            <w:tcW w:w="0" w:type="dxa"/>
            <w:vAlign w:val="bottom"/>
          </w:tcPr>
          <w:p>
            <w:pPr>
              <w:spacing w:after="0"/>
              <w:rPr>
                <w:sz w:val="1"/>
                <w:szCs w:val="1"/>
                <w:color w:val="auto"/>
              </w:rPr>
            </w:pPr>
          </w:p>
        </w:tc>
      </w:tr>
      <w:tr>
        <w:trPr>
          <w:trHeight w:val="50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392"/>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S-8</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39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60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71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50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8/23/2017</w:t>
            </w:r>
          </w:p>
        </w:tc>
        <w:tc>
          <w:tcPr>
            <w:tcW w:w="0" w:type="dxa"/>
            <w:vAlign w:val="bottom"/>
          </w:tcPr>
          <w:p>
            <w:pPr>
              <w:spacing w:after="0"/>
              <w:rPr>
                <w:sz w:val="1"/>
                <w:szCs w:val="1"/>
                <w:color w:val="auto"/>
              </w:rPr>
            </w:pPr>
          </w:p>
        </w:tc>
      </w:tr>
      <w:tr>
        <w:trPr>
          <w:trHeight w:val="392"/>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Furnished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herewith</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Furnished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herewith</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7280" w:space="120"/>
            <w:col w:w="40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ind w:left="620" w:hanging="585"/>
        <w:spacing w:after="0" w:line="324" w:lineRule="auto"/>
        <w:tabs>
          <w:tab w:leader="none" w:pos="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125" w:right="3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November 7, 2017</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November 7, 2017</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720"/>
          </w:cols>
          <w:pgMar w:left="240" w:top="125" w:right="9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960" w:type="dxa"/>
            <w:vAlign w:val="bottom"/>
            <w:gridSpan w:val="3"/>
          </w:tcPr>
          <w:p>
            <w:pPr>
              <w:ind w:left="280"/>
              <w:spacing w:after="0"/>
              <w:rPr>
                <w:sz w:val="20"/>
                <w:szCs w:val="20"/>
                <w:color w:val="auto"/>
              </w:rPr>
            </w:pPr>
            <w:r>
              <w:rPr>
                <w:rFonts w:ascii="Arial" w:cs="Arial" w:eastAsia="Arial" w:hAnsi="Arial"/>
                <w:sz w:val="18"/>
                <w:szCs w:val="18"/>
                <w:b w:val="1"/>
                <w:bCs w:val="1"/>
                <w:color w:val="auto"/>
              </w:rPr>
              <w:t>EXHIBIT LIST</w:t>
            </w:r>
          </w:p>
        </w:tc>
        <w:tc>
          <w:tcPr>
            <w:tcW w:w="0" w:type="dxa"/>
            <w:vAlign w:val="bottom"/>
          </w:tcPr>
          <w:p>
            <w:pPr>
              <w:spacing w:after="0"/>
              <w:rPr>
                <w:sz w:val="1"/>
                <w:szCs w:val="1"/>
                <w:color w:val="auto"/>
              </w:rPr>
            </w:pPr>
          </w:p>
        </w:tc>
      </w:tr>
      <w:tr>
        <w:trPr>
          <w:trHeight w:val="585"/>
        </w:trPr>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3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0" w:type="dxa"/>
            <w:vAlign w:val="bottom"/>
          </w:tcPr>
          <w:p>
            <w:pPr>
              <w:spacing w:after="0"/>
              <w:rPr>
                <w:sz w:val="1"/>
                <w:szCs w:val="1"/>
                <w:color w:val="auto"/>
              </w:rPr>
            </w:pPr>
          </w:p>
        </w:tc>
      </w:tr>
      <w:tr>
        <w:trPr>
          <w:trHeight w:val="149"/>
        </w:trPr>
        <w:tc>
          <w:tcPr>
            <w:tcW w:w="1240" w:type="dxa"/>
            <w:vAlign w:val="bottom"/>
            <w:gridSpan w:val="2"/>
            <w:vMerge w:val="continue"/>
          </w:tcPr>
          <w:p>
            <w:pPr>
              <w:spacing w:after="0"/>
              <w:rPr>
                <w:sz w:val="12"/>
                <w:szCs w:val="12"/>
                <w:color w:val="auto"/>
              </w:rPr>
            </w:pPr>
          </w:p>
        </w:tc>
        <w:tc>
          <w:tcPr>
            <w:tcW w:w="3580" w:type="dxa"/>
            <w:vAlign w:val="bottom"/>
            <w:vMerge w:val="restart"/>
          </w:tcPr>
          <w:p>
            <w:pPr>
              <w:ind w:left="2600"/>
              <w:spacing w:after="0"/>
              <w:rPr>
                <w:sz w:val="20"/>
                <w:szCs w:val="20"/>
                <w:color w:val="auto"/>
              </w:rPr>
            </w:pPr>
            <w:r>
              <w:rPr>
                <w:rFonts w:ascii="Arial" w:cs="Arial" w:eastAsia="Arial" w:hAnsi="Arial"/>
                <w:sz w:val="14"/>
                <w:szCs w:val="14"/>
                <w:b w:val="1"/>
                <w:bCs w:val="1"/>
                <w:color w:val="auto"/>
              </w:rPr>
              <w:t>Description</w:t>
            </w: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0" w:type="dxa"/>
            <w:vAlign w:val="bottom"/>
          </w:tcPr>
          <w:p>
            <w:pPr>
              <w:spacing w:after="0"/>
              <w:rPr>
                <w:sz w:val="1"/>
                <w:szCs w:val="1"/>
                <w:color w:val="auto"/>
              </w:rPr>
            </w:pPr>
          </w:p>
        </w:tc>
      </w:tr>
      <w:tr>
        <w:trPr>
          <w:trHeight w:val="192"/>
        </w:trPr>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358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jc w:val="center"/>
              <w:ind w:right="308"/>
              <w:spacing w:after="0"/>
              <w:rPr>
                <w:sz w:val="20"/>
                <w:szCs w:val="20"/>
                <w:color w:val="auto"/>
              </w:rPr>
            </w:pPr>
            <w:r>
              <w:rPr>
                <w:rFonts w:ascii="Arial" w:cs="Arial" w:eastAsia="Arial" w:hAnsi="Arial"/>
                <w:sz w:val="14"/>
                <w:szCs w:val="14"/>
                <w:b w:val="1"/>
                <w:bCs w:val="1"/>
                <w:color w:val="auto"/>
                <w:w w:val="95"/>
              </w:rPr>
              <w:t>Incorporated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7"/>
              </w:rPr>
              <w:t>From</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20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8"/>
              </w:rPr>
              <w:t>Exhibit</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00" w:type="dxa"/>
            <w:vAlign w:val="bottom"/>
          </w:tcPr>
          <w:p>
            <w:pPr>
              <w:jc w:val="center"/>
              <w:ind w:right="308"/>
              <w:spacing w:after="0"/>
              <w:rPr>
                <w:sz w:val="20"/>
                <w:szCs w:val="20"/>
                <w:color w:val="auto"/>
              </w:rPr>
            </w:pPr>
            <w:r>
              <w:rPr>
                <w:rFonts w:ascii="Arial" w:cs="Arial" w:eastAsia="Arial" w:hAnsi="Arial"/>
                <w:sz w:val="14"/>
                <w:szCs w:val="14"/>
                <w:b w:val="1"/>
                <w:bCs w:val="1"/>
                <w:color w:val="auto"/>
                <w:w w:val="94"/>
              </w:rPr>
              <w:t>Number</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1595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8780" w:space="340"/>
            <w:col w:w="2260"/>
          </w:cols>
          <w:pgMar w:left="240" w:top="125" w:right="279" w:bottom="1440" w:gutter="0" w:footer="0" w:header="0"/>
        </w:sectPr>
      </w:pPr>
    </w:p>
    <w:tbl>
      <w:tblPr>
        <w:tblLayout w:type="fixed"/>
        <w:tblInd w:w="40" w:type="dxa"/>
        <w:tblCellMar>
          <w:top w:w="0" w:type="dxa"/>
          <w:left w:w="0" w:type="dxa"/>
          <w:bottom w:w="0" w:type="dxa"/>
          <w:right w:w="0" w:type="dxa"/>
        </w:tblCellMar>
      </w:tblPr>
      <w:tr>
        <w:trPr>
          <w:trHeight w:val="207"/>
        </w:trPr>
        <w:tc>
          <w:tcPr>
            <w:tcW w:w="1220" w:type="dxa"/>
            <w:vAlign w:val="bottom"/>
            <w:vMerge w:val="restart"/>
          </w:tcPr>
          <w:p>
            <w:pPr>
              <w:spacing w:after="0"/>
              <w:rPr>
                <w:sz w:val="20"/>
                <w:szCs w:val="20"/>
                <w:color w:val="auto"/>
              </w:rPr>
            </w:pPr>
            <w:r>
              <w:rPr>
                <w:rFonts w:ascii="Arial" w:cs="Arial" w:eastAsia="Arial" w:hAnsi="Arial"/>
                <w:sz w:val="18"/>
                <w:szCs w:val="18"/>
                <w:color w:val="auto"/>
              </w:rPr>
              <w:t>1.1</w:t>
            </w:r>
          </w:p>
        </w:tc>
        <w:tc>
          <w:tcPr>
            <w:tcW w:w="5860" w:type="dxa"/>
            <w:vAlign w:val="bottom"/>
            <w:tcBorders>
              <w:bottom w:val="single" w:sz="8" w:color="0000FF"/>
            </w:tcBorders>
            <w:gridSpan w:val="19"/>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Sales Agreement, dated as of August 3, 2017, between Fluidigm Corporation and</w:t>
              </w:r>
            </w:hyperlink>
          </w:p>
        </w:tc>
        <w:tc>
          <w:tcPr>
            <w:tcW w:w="0" w:type="dxa"/>
            <w:vAlign w:val="bottom"/>
          </w:tcPr>
          <w:p>
            <w:pPr>
              <w:spacing w:after="0"/>
              <w:rPr>
                <w:sz w:val="1"/>
                <w:szCs w:val="1"/>
                <w:color w:val="auto"/>
              </w:rPr>
            </w:pPr>
          </w:p>
        </w:tc>
      </w:tr>
      <w:tr>
        <w:trPr>
          <w:trHeight w:val="129"/>
        </w:trPr>
        <w:tc>
          <w:tcPr>
            <w:tcW w:w="1220" w:type="dxa"/>
            <w:vAlign w:val="bottom"/>
            <w:vMerge w:val="continue"/>
          </w:tcPr>
          <w:p>
            <w:pPr>
              <w:spacing w:after="0"/>
              <w:rPr>
                <w:sz w:val="11"/>
                <w:szCs w:val="11"/>
                <w:color w:val="auto"/>
              </w:rPr>
            </w:pPr>
          </w:p>
        </w:tc>
        <w:tc>
          <w:tcPr>
            <w:tcW w:w="2040" w:type="dxa"/>
            <w:vAlign w:val="bottom"/>
            <w:gridSpan w:val="3"/>
            <w:vMerge w:val="restart"/>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Cowen and Company, LLC.</w:t>
              </w:r>
            </w:hyperlink>
          </w:p>
        </w:tc>
        <w:tc>
          <w:tcPr>
            <w:tcW w:w="3820" w:type="dxa"/>
            <w:vAlign w:val="bottom"/>
            <w:gridSpan w:val="1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220" w:type="dxa"/>
            <w:vAlign w:val="bottom"/>
          </w:tcPr>
          <w:p>
            <w:pPr>
              <w:spacing w:after="0"/>
              <w:rPr>
                <w:sz w:val="5"/>
                <w:szCs w:val="5"/>
                <w:color w:val="auto"/>
              </w:rPr>
            </w:pPr>
          </w:p>
        </w:tc>
        <w:tc>
          <w:tcPr>
            <w:tcW w:w="2040" w:type="dxa"/>
            <w:vAlign w:val="bottom"/>
            <w:tcBorders>
              <w:bottom w:val="single" w:sz="8" w:color="0000FF"/>
            </w:tcBorders>
            <w:gridSpan w:val="3"/>
            <w:vMerge w:val="continue"/>
          </w:tcPr>
          <w:p>
            <w:pPr>
              <w:spacing w:after="0"/>
              <w:rPr>
                <w:sz w:val="5"/>
                <w:szCs w:val="5"/>
                <w:color w:val="auto"/>
              </w:rPr>
            </w:pPr>
          </w:p>
        </w:tc>
        <w:tc>
          <w:tcPr>
            <w:tcW w:w="382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20" w:type="dxa"/>
            <w:vAlign w:val="bottom"/>
            <w:vMerge w:val="restart"/>
          </w:tcPr>
          <w:p>
            <w:pPr>
              <w:spacing w:after="0"/>
              <w:rPr>
                <w:sz w:val="20"/>
                <w:szCs w:val="20"/>
                <w:color w:val="auto"/>
              </w:rPr>
            </w:pPr>
            <w:r>
              <w:rPr>
                <w:rFonts w:ascii="Arial" w:cs="Arial" w:eastAsia="Arial" w:hAnsi="Arial"/>
                <w:sz w:val="18"/>
                <w:szCs w:val="18"/>
                <w:color w:val="auto"/>
              </w:rPr>
              <w:t>3.1</w:t>
            </w:r>
          </w:p>
        </w:tc>
        <w:tc>
          <w:tcPr>
            <w:tcW w:w="5860" w:type="dxa"/>
            <w:vAlign w:val="bottom"/>
            <w:gridSpan w:val="19"/>
          </w:tcPr>
          <w:p>
            <w:pPr>
              <w:spacing w:after="0"/>
              <w:rPr>
                <w:rFonts w:ascii="Arial" w:cs="Arial" w:eastAsia="Arial" w:hAnsi="Arial"/>
                <w:sz w:val="18"/>
                <w:szCs w:val="18"/>
                <w:color w:val="0000FF"/>
              </w:rPr>
            </w:pPr>
            <w:hyperlink r:id="rId16">
              <w:r>
                <w:rPr>
                  <w:rFonts w:ascii="Arial" w:cs="Arial" w:eastAsia="Arial" w:hAnsi="Arial"/>
                  <w:sz w:val="18"/>
                  <w:szCs w:val="18"/>
                  <w:color w:val="0000FF"/>
                </w:rPr>
                <w:t>Eighth Amended and Restated Certificate of Incorporation of Fluidigm</w:t>
              </w:r>
            </w:hyperlink>
          </w:p>
        </w:tc>
        <w:tc>
          <w:tcPr>
            <w:tcW w:w="0" w:type="dxa"/>
            <w:vAlign w:val="bottom"/>
          </w:tcPr>
          <w:p>
            <w:pPr>
              <w:spacing w:after="0"/>
              <w:rPr>
                <w:sz w:val="1"/>
                <w:szCs w:val="1"/>
                <w:color w:val="auto"/>
              </w:rPr>
            </w:pPr>
          </w:p>
        </w:tc>
      </w:tr>
      <w:tr>
        <w:trPr>
          <w:trHeight w:val="129"/>
        </w:trPr>
        <w:tc>
          <w:tcPr>
            <w:tcW w:w="1220" w:type="dxa"/>
            <w:vAlign w:val="bottom"/>
            <w:vMerge w:val="continue"/>
          </w:tcPr>
          <w:p>
            <w:pPr>
              <w:spacing w:after="0"/>
              <w:rPr>
                <w:sz w:val="11"/>
                <w:szCs w:val="11"/>
                <w:color w:val="auto"/>
              </w:rPr>
            </w:pPr>
          </w:p>
        </w:tc>
        <w:tc>
          <w:tcPr>
            <w:tcW w:w="5120" w:type="dxa"/>
            <w:vAlign w:val="bottom"/>
            <w:tcBorders>
              <w:top w:val="single" w:sz="8" w:color="0000FF"/>
            </w:tcBorders>
            <w:gridSpan w:val="11"/>
            <w:vMerge w:val="restart"/>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Corporation filed on February 15, 2011.</w:t>
              </w:r>
            </w:hyperlink>
          </w:p>
        </w:tc>
        <w:tc>
          <w:tcPr>
            <w:tcW w:w="740" w:type="dxa"/>
            <w:vAlign w:val="bottom"/>
            <w:gridSpan w:val="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5120" w:type="dxa"/>
            <w:vAlign w:val="bottom"/>
            <w:gridSpan w:val="11"/>
            <w:vMerge w:val="continue"/>
          </w:tcPr>
          <w:p>
            <w:pPr>
              <w:spacing w:after="0"/>
              <w:rPr>
                <w:sz w:val="5"/>
                <w:szCs w:val="5"/>
                <w:color w:val="auto"/>
              </w:rPr>
            </w:pPr>
          </w:p>
        </w:tc>
        <w:tc>
          <w:tcPr>
            <w:tcW w:w="7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vMerge w:val="restart"/>
          </w:tcPr>
          <w:p>
            <w:pPr>
              <w:spacing w:after="0"/>
              <w:rPr>
                <w:sz w:val="20"/>
                <w:szCs w:val="20"/>
                <w:color w:val="auto"/>
              </w:rPr>
            </w:pPr>
            <w:r>
              <w:rPr>
                <w:rFonts w:ascii="Arial" w:cs="Arial" w:eastAsia="Arial" w:hAnsi="Arial"/>
                <w:sz w:val="18"/>
                <w:szCs w:val="18"/>
                <w:color w:val="auto"/>
              </w:rPr>
              <w:t>3.2</w:t>
            </w:r>
          </w:p>
        </w:tc>
        <w:tc>
          <w:tcPr>
            <w:tcW w:w="5440" w:type="dxa"/>
            <w:vAlign w:val="bottom"/>
            <w:tcBorders>
              <w:bottom w:val="single" w:sz="8" w:color="0000FF"/>
            </w:tcBorders>
            <w:gridSpan w:val="15"/>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Certificate of Designation of Rights, Preferences and Privileges of Series A</w:t>
              </w:r>
            </w:hyperlink>
          </w:p>
        </w:tc>
        <w:tc>
          <w:tcPr>
            <w:tcW w:w="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20" w:type="dxa"/>
            <w:vAlign w:val="bottom"/>
            <w:vMerge w:val="continue"/>
          </w:tcPr>
          <w:p>
            <w:pPr>
              <w:spacing w:after="0"/>
              <w:rPr>
                <w:sz w:val="11"/>
                <w:szCs w:val="11"/>
                <w:color w:val="auto"/>
              </w:rPr>
            </w:pPr>
          </w:p>
        </w:tc>
        <w:tc>
          <w:tcPr>
            <w:tcW w:w="2140" w:type="dxa"/>
            <w:vAlign w:val="bottom"/>
            <w:gridSpan w:val="4"/>
            <w:vMerge w:val="restart"/>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Participating Preferred Stock.</w:t>
              </w:r>
            </w:hyperlink>
          </w:p>
        </w:tc>
        <w:tc>
          <w:tcPr>
            <w:tcW w:w="3720" w:type="dxa"/>
            <w:vAlign w:val="bottom"/>
            <w:gridSpan w:val="1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220" w:type="dxa"/>
            <w:vAlign w:val="bottom"/>
          </w:tcPr>
          <w:p>
            <w:pPr>
              <w:spacing w:after="0"/>
              <w:rPr>
                <w:sz w:val="5"/>
                <w:szCs w:val="5"/>
                <w:color w:val="auto"/>
              </w:rPr>
            </w:pPr>
          </w:p>
        </w:tc>
        <w:tc>
          <w:tcPr>
            <w:tcW w:w="2140" w:type="dxa"/>
            <w:vAlign w:val="bottom"/>
            <w:tcBorders>
              <w:bottom w:val="single" w:sz="8" w:color="0000FF"/>
            </w:tcBorders>
            <w:gridSpan w:val="4"/>
            <w:vMerge w:val="continue"/>
          </w:tcPr>
          <w:p>
            <w:pPr>
              <w:spacing w:after="0"/>
              <w:rPr>
                <w:sz w:val="5"/>
                <w:szCs w:val="5"/>
                <w:color w:val="auto"/>
              </w:rPr>
            </w:pPr>
          </w:p>
        </w:tc>
        <w:tc>
          <w:tcPr>
            <w:tcW w:w="372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3.3</w:t>
            </w:r>
          </w:p>
        </w:tc>
        <w:tc>
          <w:tcPr>
            <w:tcW w:w="1900" w:type="dxa"/>
            <w:vAlign w:val="bottom"/>
            <w:tcBorders>
              <w:bottom w:val="single" w:sz="8" w:color="0000FF"/>
            </w:tcBorders>
          </w:tcPr>
          <w:p>
            <w:pPr>
              <w:spacing w:after="0"/>
              <w:rPr>
                <w:rFonts w:ascii="Arial" w:cs="Arial" w:eastAsia="Arial" w:hAnsi="Arial"/>
                <w:sz w:val="18"/>
                <w:szCs w:val="18"/>
                <w:color w:val="0000FF"/>
                <w:w w:val="94"/>
              </w:rPr>
            </w:pPr>
            <w:hyperlink r:id="rId18">
              <w:r>
                <w:rPr>
                  <w:rFonts w:ascii="Arial" w:cs="Arial" w:eastAsia="Arial" w:hAnsi="Arial"/>
                  <w:sz w:val="18"/>
                  <w:szCs w:val="18"/>
                  <w:color w:val="0000FF"/>
                  <w:w w:val="94"/>
                </w:rPr>
                <w:t>Certificate of Elimination.</w:t>
              </w:r>
            </w:hyperlink>
          </w:p>
        </w:tc>
        <w:tc>
          <w:tcPr>
            <w:tcW w:w="39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4.1</w:t>
            </w:r>
          </w:p>
        </w:tc>
        <w:tc>
          <w:tcPr>
            <w:tcW w:w="5860" w:type="dxa"/>
            <w:vAlign w:val="bottom"/>
            <w:gridSpan w:val="19"/>
          </w:tcPr>
          <w:p>
            <w:pPr>
              <w:spacing w:after="0"/>
              <w:rPr>
                <w:rFonts w:ascii="Arial" w:cs="Arial" w:eastAsia="Arial" w:hAnsi="Arial"/>
                <w:sz w:val="18"/>
                <w:szCs w:val="18"/>
                <w:color w:val="0000FF"/>
              </w:rPr>
            </w:pPr>
            <w:hyperlink r:id="rId19">
              <w:r>
                <w:rPr>
                  <w:rFonts w:ascii="Arial" w:cs="Arial" w:eastAsia="Arial" w:hAnsi="Arial"/>
                  <w:sz w:val="18"/>
                  <w:szCs w:val="18"/>
                  <w:color w:val="0000FF"/>
                </w:rPr>
                <w:t>Specimen Common Stock Certificate of Fluidigm Corporation.</w:t>
              </w:r>
            </w:hyperlink>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10.1</w:t>
            </w:r>
            <w:r>
              <w:rPr>
                <w:rFonts w:ascii="Arial" w:cs="Arial" w:eastAsia="Arial" w:hAnsi="Arial"/>
                <w:sz w:val="25"/>
                <w:szCs w:val="25"/>
                <w:color w:val="auto"/>
                <w:vertAlign w:val="superscript"/>
              </w:rPr>
              <w:t>*</w:t>
            </w:r>
          </w:p>
        </w:tc>
        <w:tc>
          <w:tcPr>
            <w:tcW w:w="432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Fluidigm Corporation 2017 Employee Stock Purchase Plan.</w:t>
              </w:r>
            </w:hyperlink>
          </w:p>
        </w:tc>
        <w:tc>
          <w:tcPr>
            <w:tcW w:w="220" w:type="dxa"/>
            <w:vAlign w:val="bottom"/>
            <w:tcBorders>
              <w:top w:val="single" w:sz="8" w:color="0000FF"/>
            </w:tcBorders>
            <w:gridSpan w:val="2"/>
          </w:tcPr>
          <w:p>
            <w:pPr>
              <w:spacing w:after="0"/>
              <w:rPr>
                <w:sz w:val="24"/>
                <w:szCs w:val="24"/>
                <w:color w:val="auto"/>
              </w:rPr>
            </w:pPr>
          </w:p>
        </w:tc>
        <w:tc>
          <w:tcPr>
            <w:tcW w:w="1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4"/>
                <w:szCs w:val="24"/>
                <w:color w:val="auto"/>
              </w:rPr>
            </w:pPr>
          </w:p>
        </w:tc>
        <w:tc>
          <w:tcPr>
            <w:tcW w:w="5860" w:type="dxa"/>
            <w:vAlign w:val="bottom"/>
            <w:gridSpan w:val="19"/>
          </w:tcPr>
          <w:p>
            <w:pPr>
              <w:spacing w:after="0"/>
              <w:rPr>
                <w:rFonts w:ascii="Arial" w:cs="Arial" w:eastAsia="Arial" w:hAnsi="Arial"/>
                <w:sz w:val="18"/>
                <w:szCs w:val="18"/>
                <w:color w:val="0000FF"/>
                <w:w w:val="97"/>
              </w:rPr>
            </w:pPr>
            <w:hyperlink r:id="rId21">
              <w:r>
                <w:rPr>
                  <w:rFonts w:ascii="Arial" w:cs="Arial" w:eastAsia="Arial" w:hAnsi="Arial"/>
                  <w:sz w:val="18"/>
                  <w:szCs w:val="18"/>
                  <w:color w:val="0000FF"/>
                  <w:w w:val="97"/>
                </w:rPr>
                <w:t>Amendments to the Fluidigm Corporation 2011 Equity Incentive Plan, 2009</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line="197" w:lineRule="exact"/>
              <w:rPr>
                <w:sz w:val="20"/>
                <w:szCs w:val="20"/>
                <w:color w:val="auto"/>
              </w:rPr>
            </w:pPr>
            <w:r>
              <w:rPr>
                <w:rFonts w:ascii="Arial" w:cs="Arial" w:eastAsia="Arial" w:hAnsi="Arial"/>
                <w:sz w:val="16"/>
                <w:szCs w:val="16"/>
                <w:color w:val="auto"/>
              </w:rPr>
              <w:t>10.2</w:t>
            </w:r>
            <w:r>
              <w:rPr>
                <w:rFonts w:ascii="Arial" w:cs="Arial" w:eastAsia="Arial" w:hAnsi="Arial"/>
                <w:sz w:val="22"/>
                <w:szCs w:val="22"/>
                <w:color w:val="auto"/>
                <w:vertAlign w:val="superscript"/>
              </w:rPr>
              <w:t>*</w:t>
            </w:r>
          </w:p>
        </w:tc>
        <w:tc>
          <w:tcPr>
            <w:tcW w:w="570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Equity Incentive Plan, and 1999 Stock Option Plan and the DVS Sciences, Inc.</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02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2010 Equity Incentive Plan.</w:t>
              </w:r>
            </w:hyperlink>
          </w:p>
        </w:tc>
        <w:tc>
          <w:tcPr>
            <w:tcW w:w="38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5620" w:type="dxa"/>
            <w:vAlign w:val="bottom"/>
            <w:tcBorders>
              <w:bottom w:val="single" w:sz="8" w:color="0000FF"/>
            </w:tcBorders>
            <w:gridSpan w:val="17"/>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Eighth Amendment to Lease Agreement between ARE-San Francisco No. 17,</w:t>
              </w:r>
            </w:hyperlink>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20" w:type="dxa"/>
            <w:vAlign w:val="bottom"/>
            <w:vMerge w:val="continue"/>
          </w:tcPr>
          <w:p>
            <w:pPr>
              <w:spacing w:after="0"/>
              <w:rPr>
                <w:sz w:val="11"/>
                <w:szCs w:val="11"/>
                <w:color w:val="auto"/>
              </w:rPr>
            </w:pPr>
          </w:p>
        </w:tc>
        <w:tc>
          <w:tcPr>
            <w:tcW w:w="5860" w:type="dxa"/>
            <w:vAlign w:val="bottom"/>
            <w:gridSpan w:val="19"/>
            <w:vMerge w:val="restart"/>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LLC and Fluidigm Corporation, dated August 2, 2017.</w:t>
              </w:r>
            </w:hyperlink>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586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8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4420" w:type="dxa"/>
            <w:vAlign w:val="bottom"/>
            <w:tcBorders>
              <w:bottom w:val="single" w:sz="8" w:color="0000FF"/>
            </w:tcBorders>
            <w:gridSpan w:val="9"/>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Fluidigm Corporation Change of Control and Severance Plan</w:t>
              </w:r>
            </w:hyperlink>
          </w:p>
        </w:tc>
        <w:tc>
          <w:tcPr>
            <w:tcW w:w="1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10.5*</w:t>
            </w:r>
          </w:p>
        </w:tc>
        <w:tc>
          <w:tcPr>
            <w:tcW w:w="38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60">
              <w:r>
                <w:rPr>
                  <w:rFonts w:ascii="Arial" w:cs="Arial" w:eastAsia="Arial" w:hAnsi="Arial"/>
                  <w:sz w:val="18"/>
                  <w:szCs w:val="18"/>
                  <w:color w:val="0000FF"/>
                  <w:w w:val="91"/>
                </w:rPr>
                <w:t>Endorsement Split-Dollar Life Insurance Agreement</w:t>
              </w:r>
            </w:hyperlink>
          </w:p>
        </w:tc>
        <w:tc>
          <w:tcPr>
            <w:tcW w:w="20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5860" w:type="dxa"/>
            <w:vAlign w:val="bottom"/>
            <w:gridSpan w:val="19"/>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Certification Pursuant to 18 U.S.C. Section 1350, as Adopted Pursuant to</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80" w:type="dxa"/>
            <w:vAlign w:val="bottom"/>
            <w:gridSpan w:val="1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5860" w:type="dxa"/>
            <w:vAlign w:val="bottom"/>
            <w:gridSpan w:val="19"/>
          </w:tcPr>
          <w:p>
            <w:pPr>
              <w:spacing w:after="0" w:line="196" w:lineRule="exact"/>
              <w:rPr>
                <w:rFonts w:ascii="Arial" w:cs="Arial" w:eastAsia="Arial" w:hAnsi="Arial"/>
                <w:sz w:val="18"/>
                <w:szCs w:val="18"/>
                <w:color w:val="0000FF"/>
              </w:rPr>
            </w:pPr>
            <w:hyperlink w:anchor="page70">
              <w:r>
                <w:rPr>
                  <w:rFonts w:ascii="Arial" w:cs="Arial" w:eastAsia="Arial" w:hAnsi="Arial"/>
                  <w:sz w:val="18"/>
                  <w:szCs w:val="18"/>
                  <w:color w:val="0000FF"/>
                </w:rPr>
                <w:t>Section 302 of the Sarbanes-Oxley Act of 2002 of Chief Executive Officer</w:t>
              </w:r>
            </w:hyperlink>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5380" w:type="dxa"/>
            <w:vAlign w:val="bottom"/>
            <w:tcBorders>
              <w:top w:val="single" w:sz="8" w:color="0000FF"/>
            </w:tcBorders>
            <w:gridSpan w:val="14"/>
          </w:tcPr>
          <w:p>
            <w:pPr>
              <w:spacing w:after="0"/>
              <w:rPr>
                <w:rFonts w:ascii="Arial" w:cs="Arial" w:eastAsia="Arial" w:hAnsi="Arial"/>
                <w:sz w:val="18"/>
                <w:szCs w:val="18"/>
                <w:color w:val="0000FF"/>
                <w:w w:val="91"/>
              </w:rPr>
            </w:pPr>
            <w:hyperlink w:anchor="page71">
              <w:r>
                <w:rPr>
                  <w:rFonts w:ascii="Arial" w:cs="Arial" w:eastAsia="Arial" w:hAnsi="Arial"/>
                  <w:sz w:val="18"/>
                  <w:szCs w:val="18"/>
                  <w:color w:val="0000FF"/>
                  <w:w w:val="91"/>
                </w:rPr>
                <w:t>Certification Pursuant to 18 U.S.C. Section 1350, as Adopted Pursuant to</w:t>
              </w:r>
            </w:hyperlink>
          </w:p>
        </w:tc>
        <w:tc>
          <w:tcPr>
            <w:tcW w:w="4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80" w:type="dxa"/>
            <w:vAlign w:val="bottom"/>
            <w:gridSpan w:val="1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534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w:anchor="page71">
              <w:r>
                <w:rPr>
                  <w:rFonts w:ascii="Arial" w:cs="Arial" w:eastAsia="Arial" w:hAnsi="Arial"/>
                  <w:sz w:val="18"/>
                  <w:szCs w:val="18"/>
                  <w:color w:val="0000FF"/>
                  <w:w w:val="92"/>
                </w:rPr>
                <w:t>Section 302 of the Sarbanes-Oxley Act of 2002 of Chief Financial Officer</w:t>
              </w:r>
            </w:hyperlink>
          </w:p>
        </w:tc>
        <w:tc>
          <w:tcPr>
            <w:tcW w:w="5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32.1(1)</w:t>
            </w:r>
          </w:p>
        </w:tc>
        <w:tc>
          <w:tcPr>
            <w:tcW w:w="5860" w:type="dxa"/>
            <w:vAlign w:val="bottom"/>
            <w:gridSpan w:val="19"/>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 Pursuant to 18 U.S.C. Section 1350, as Adopted Pursuant to</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80" w:type="dxa"/>
            <w:vAlign w:val="bottom"/>
            <w:gridSpan w:val="12"/>
            <w:shd w:val="clear" w:color="auto" w:fill="0000FF"/>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5860" w:type="dxa"/>
            <w:vAlign w:val="bottom"/>
            <w:gridSpan w:val="19"/>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Section 906 of the Sarbanes-Oxley Act of 2002 of Chief Executive Officer</w:t>
              </w:r>
            </w:hyperlink>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32.2(1)</w:t>
            </w:r>
          </w:p>
        </w:tc>
        <w:tc>
          <w:tcPr>
            <w:tcW w:w="5380" w:type="dxa"/>
            <w:vAlign w:val="bottom"/>
            <w:tcBorders>
              <w:top w:val="single" w:sz="8" w:color="0000FF"/>
            </w:tcBorders>
            <w:gridSpan w:val="14"/>
          </w:tcPr>
          <w:p>
            <w:pPr>
              <w:spacing w:after="0"/>
              <w:rPr>
                <w:rFonts w:ascii="Arial" w:cs="Arial" w:eastAsia="Arial" w:hAnsi="Arial"/>
                <w:sz w:val="18"/>
                <w:szCs w:val="18"/>
                <w:color w:val="0000FF"/>
                <w:w w:val="91"/>
              </w:rPr>
            </w:pPr>
            <w:hyperlink w:anchor="page73">
              <w:r>
                <w:rPr>
                  <w:rFonts w:ascii="Arial" w:cs="Arial" w:eastAsia="Arial" w:hAnsi="Arial"/>
                  <w:sz w:val="18"/>
                  <w:szCs w:val="18"/>
                  <w:color w:val="0000FF"/>
                  <w:w w:val="91"/>
                </w:rPr>
                <w:t>Certification Pursuant to 18 U.S.C. Section 1350, as Adopted Pursuant to</w:t>
              </w:r>
            </w:hyperlink>
          </w:p>
        </w:tc>
        <w:tc>
          <w:tcPr>
            <w:tcW w:w="4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80" w:type="dxa"/>
            <w:vAlign w:val="bottom"/>
            <w:gridSpan w:val="12"/>
            <w:shd w:val="clear" w:color="auto" w:fill="0000FF"/>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534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w:anchor="page73">
              <w:r>
                <w:rPr>
                  <w:rFonts w:ascii="Arial" w:cs="Arial" w:eastAsia="Arial" w:hAnsi="Arial"/>
                  <w:sz w:val="18"/>
                  <w:szCs w:val="18"/>
                  <w:color w:val="0000FF"/>
                  <w:w w:val="92"/>
                </w:rPr>
                <w:t>Section 906 of the Sarbanes-Oxley Act of 2002 of Chief Financial Officer</w:t>
              </w:r>
            </w:hyperlink>
          </w:p>
        </w:tc>
        <w:tc>
          <w:tcPr>
            <w:tcW w:w="5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586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586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586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586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586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586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Indicates a management contract or compensatory plan.</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10-K</w:t>
      </w: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200" w:lineRule="exact"/>
        <w:rPr>
          <w:sz w:val="20"/>
          <w:szCs w:val="20"/>
          <w:color w:val="auto"/>
        </w:rPr>
      </w:pP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290"/>
              <w:spacing w:after="0"/>
              <w:rPr>
                <w:sz w:val="20"/>
                <w:szCs w:val="20"/>
                <w:color w:val="auto"/>
              </w:rPr>
            </w:pPr>
            <w:r>
              <w:rPr>
                <w:rFonts w:ascii="Arial" w:cs="Arial" w:eastAsia="Arial" w:hAnsi="Arial"/>
                <w:sz w:val="18"/>
                <w:szCs w:val="18"/>
                <w:color w:val="auto"/>
                <w:w w:val="87"/>
              </w:rPr>
              <w:t>1.1</w:t>
            </w:r>
          </w:p>
        </w:tc>
        <w:tc>
          <w:tcPr>
            <w:tcW w:w="1200" w:type="dxa"/>
            <w:vAlign w:val="bottom"/>
            <w:vMerge w:val="restart"/>
          </w:tcPr>
          <w:p>
            <w:pPr>
              <w:jc w:val="center"/>
              <w:ind w:left="310"/>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0"/>
        </w:trPr>
        <w:tc>
          <w:tcPr>
            <w:tcW w:w="680" w:type="dxa"/>
            <w:vAlign w:val="bottom"/>
          </w:tcPr>
          <w:p>
            <w:pPr>
              <w:jc w:val="center"/>
              <w:ind w:right="290"/>
              <w:spacing w:after="0"/>
              <w:rPr>
                <w:sz w:val="20"/>
                <w:szCs w:val="20"/>
                <w:color w:val="auto"/>
              </w:rPr>
            </w:pPr>
            <w:r>
              <w:rPr>
                <w:rFonts w:ascii="Arial" w:cs="Arial" w:eastAsia="Arial" w:hAnsi="Arial"/>
                <w:sz w:val="18"/>
                <w:szCs w:val="18"/>
                <w:color w:val="auto"/>
                <w:w w:val="87"/>
              </w:rPr>
              <w:t>3.1</w:t>
            </w:r>
          </w:p>
        </w:tc>
        <w:tc>
          <w:tcPr>
            <w:tcW w:w="1200" w:type="dxa"/>
            <w:vAlign w:val="bottom"/>
            <w:vMerge w:val="restart"/>
          </w:tcPr>
          <w:p>
            <w:pPr>
              <w:jc w:val="center"/>
              <w:ind w:left="310"/>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0"/>
        </w:trPr>
        <w:tc>
          <w:tcPr>
            <w:tcW w:w="680" w:type="dxa"/>
            <w:vAlign w:val="bottom"/>
          </w:tcPr>
          <w:p>
            <w:pPr>
              <w:jc w:val="center"/>
              <w:ind w:right="290"/>
              <w:spacing w:after="0"/>
              <w:rPr>
                <w:sz w:val="20"/>
                <w:szCs w:val="20"/>
                <w:color w:val="auto"/>
              </w:rPr>
            </w:pPr>
            <w:r>
              <w:rPr>
                <w:rFonts w:ascii="Arial" w:cs="Arial" w:eastAsia="Arial" w:hAnsi="Arial"/>
                <w:sz w:val="18"/>
                <w:szCs w:val="18"/>
                <w:color w:val="auto"/>
                <w:w w:val="87"/>
              </w:rPr>
              <w:t>3.1</w:t>
            </w:r>
          </w:p>
        </w:tc>
        <w:tc>
          <w:tcPr>
            <w:tcW w:w="1200" w:type="dxa"/>
            <w:vAlign w:val="bottom"/>
            <w:vMerge w:val="restart"/>
          </w:tcPr>
          <w:p>
            <w:pPr>
              <w:jc w:val="center"/>
              <w:ind w:left="290"/>
              <w:spacing w:after="0"/>
              <w:rPr>
                <w:sz w:val="20"/>
                <w:szCs w:val="20"/>
                <w:color w:val="auto"/>
              </w:rPr>
            </w:pPr>
            <w:r>
              <w:rPr>
                <w:rFonts w:ascii="Arial" w:cs="Arial" w:eastAsia="Arial" w:hAnsi="Arial"/>
                <w:sz w:val="18"/>
                <w:szCs w:val="18"/>
                <w:color w:val="auto"/>
                <w:w w:val="90"/>
              </w:rPr>
              <w:t>11/22/2016</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680" w:type="dxa"/>
            <w:vAlign w:val="bottom"/>
          </w:tcPr>
          <w:p>
            <w:pPr>
              <w:jc w:val="center"/>
              <w:ind w:right="290"/>
              <w:spacing w:after="0"/>
              <w:rPr>
                <w:sz w:val="20"/>
                <w:szCs w:val="20"/>
                <w:color w:val="auto"/>
              </w:rPr>
            </w:pPr>
            <w:r>
              <w:rPr>
                <w:rFonts w:ascii="Arial" w:cs="Arial" w:eastAsia="Arial" w:hAnsi="Arial"/>
                <w:sz w:val="18"/>
                <w:szCs w:val="18"/>
                <w:color w:val="auto"/>
                <w:w w:val="87"/>
              </w:rPr>
              <w:t>3.1</w:t>
            </w:r>
          </w:p>
        </w:tc>
        <w:tc>
          <w:tcPr>
            <w:tcW w:w="1200" w:type="dxa"/>
            <w:vAlign w:val="bottom"/>
          </w:tcPr>
          <w:p>
            <w:pPr>
              <w:jc w:val="center"/>
              <w:ind w:left="310"/>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392"/>
        </w:trPr>
        <w:tc>
          <w:tcPr>
            <w:tcW w:w="680" w:type="dxa"/>
            <w:vAlign w:val="bottom"/>
          </w:tcPr>
          <w:p>
            <w:pPr>
              <w:jc w:val="center"/>
              <w:ind w:right="290"/>
              <w:spacing w:after="0"/>
              <w:rPr>
                <w:sz w:val="20"/>
                <w:szCs w:val="20"/>
                <w:color w:val="auto"/>
              </w:rPr>
            </w:pPr>
            <w:r>
              <w:rPr>
                <w:rFonts w:ascii="Arial" w:cs="Arial" w:eastAsia="Arial" w:hAnsi="Arial"/>
                <w:sz w:val="18"/>
                <w:szCs w:val="18"/>
                <w:color w:val="auto"/>
                <w:w w:val="87"/>
              </w:rPr>
              <w:t>4.1</w:t>
            </w:r>
          </w:p>
        </w:tc>
        <w:tc>
          <w:tcPr>
            <w:tcW w:w="1200" w:type="dxa"/>
            <w:vAlign w:val="bottom"/>
          </w:tcPr>
          <w:p>
            <w:pPr>
              <w:jc w:val="center"/>
              <w:ind w:left="310"/>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392"/>
        </w:trPr>
        <w:tc>
          <w:tcPr>
            <w:tcW w:w="680" w:type="dxa"/>
            <w:vAlign w:val="bottom"/>
          </w:tcPr>
          <w:p>
            <w:pPr>
              <w:jc w:val="center"/>
              <w:ind w:right="290"/>
              <w:spacing w:after="0"/>
              <w:rPr>
                <w:sz w:val="20"/>
                <w:szCs w:val="20"/>
                <w:color w:val="auto"/>
              </w:rPr>
            </w:pPr>
            <w:r>
              <w:rPr>
                <w:rFonts w:ascii="Arial" w:cs="Arial" w:eastAsia="Arial" w:hAnsi="Arial"/>
                <w:sz w:val="18"/>
                <w:szCs w:val="18"/>
                <w:color w:val="auto"/>
                <w:w w:val="85"/>
              </w:rPr>
              <w:t>10.1</w:t>
            </w:r>
          </w:p>
        </w:tc>
        <w:tc>
          <w:tcPr>
            <w:tcW w:w="1200" w:type="dxa"/>
            <w:vAlign w:val="bottom"/>
          </w:tcPr>
          <w:p>
            <w:pPr>
              <w:jc w:val="center"/>
              <w:ind w:left="310"/>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608"/>
        </w:trPr>
        <w:tc>
          <w:tcPr>
            <w:tcW w:w="680" w:type="dxa"/>
            <w:vAlign w:val="bottom"/>
          </w:tcPr>
          <w:p>
            <w:pPr>
              <w:jc w:val="center"/>
              <w:ind w:right="290"/>
              <w:spacing w:after="0"/>
              <w:rPr>
                <w:sz w:val="20"/>
                <w:szCs w:val="20"/>
                <w:color w:val="auto"/>
              </w:rPr>
            </w:pPr>
            <w:r>
              <w:rPr>
                <w:rFonts w:ascii="Arial" w:cs="Arial" w:eastAsia="Arial" w:hAnsi="Arial"/>
                <w:sz w:val="18"/>
                <w:szCs w:val="18"/>
                <w:color w:val="auto"/>
                <w:w w:val="85"/>
              </w:rPr>
              <w:t>10.2</w:t>
            </w:r>
          </w:p>
        </w:tc>
        <w:tc>
          <w:tcPr>
            <w:tcW w:w="1200" w:type="dxa"/>
            <w:vAlign w:val="bottom"/>
            <w:vMerge w:val="restart"/>
          </w:tcPr>
          <w:p>
            <w:pPr>
              <w:jc w:val="center"/>
              <w:ind w:left="310"/>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680" w:type="dxa"/>
            <w:vAlign w:val="bottom"/>
          </w:tcPr>
          <w:p>
            <w:pPr>
              <w:jc w:val="center"/>
              <w:ind w:right="290"/>
              <w:spacing w:after="0"/>
              <w:rPr>
                <w:sz w:val="20"/>
                <w:szCs w:val="20"/>
                <w:color w:val="auto"/>
              </w:rPr>
            </w:pPr>
            <w:r>
              <w:rPr>
                <w:rFonts w:ascii="Arial" w:cs="Arial" w:eastAsia="Arial" w:hAnsi="Arial"/>
                <w:sz w:val="18"/>
                <w:szCs w:val="18"/>
                <w:color w:val="auto"/>
                <w:w w:val="85"/>
              </w:rPr>
              <w:t>10.1</w:t>
            </w:r>
          </w:p>
        </w:tc>
        <w:tc>
          <w:tcPr>
            <w:tcW w:w="1200" w:type="dxa"/>
            <w:vAlign w:val="bottom"/>
            <w:vMerge w:val="restart"/>
          </w:tcPr>
          <w:p>
            <w:pPr>
              <w:jc w:val="center"/>
              <w:ind w:left="310"/>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680" w:type="dxa"/>
            <w:vAlign w:val="bottom"/>
          </w:tcPr>
          <w:p>
            <w:pPr>
              <w:jc w:val="center"/>
              <w:ind w:right="290"/>
              <w:spacing w:after="0"/>
              <w:rPr>
                <w:sz w:val="20"/>
                <w:szCs w:val="20"/>
                <w:color w:val="auto"/>
              </w:rPr>
            </w:pPr>
            <w:r>
              <w:rPr>
                <w:rFonts w:ascii="Arial" w:cs="Arial" w:eastAsia="Arial" w:hAnsi="Arial"/>
                <w:sz w:val="18"/>
                <w:szCs w:val="18"/>
                <w:color w:val="auto"/>
                <w:w w:val="85"/>
              </w:rPr>
              <w:t>10.1</w:t>
            </w:r>
          </w:p>
        </w:tc>
        <w:tc>
          <w:tcPr>
            <w:tcW w:w="1200" w:type="dxa"/>
            <w:vAlign w:val="bottom"/>
          </w:tcPr>
          <w:p>
            <w:pPr>
              <w:jc w:val="center"/>
              <w:ind w:left="290"/>
              <w:spacing w:after="0"/>
              <w:rPr>
                <w:sz w:val="20"/>
                <w:szCs w:val="20"/>
                <w:color w:val="auto"/>
              </w:rPr>
            </w:pPr>
            <w:r>
              <w:rPr>
                <w:rFonts w:ascii="Arial" w:cs="Arial" w:eastAsia="Arial" w:hAnsi="Arial"/>
                <w:sz w:val="18"/>
                <w:szCs w:val="18"/>
                <w:color w:val="auto"/>
                <w:w w:val="92"/>
              </w:rPr>
              <w:t>8/23/2017</w:t>
            </w:r>
          </w:p>
        </w:tc>
        <w:tc>
          <w:tcPr>
            <w:tcW w:w="0" w:type="dxa"/>
            <w:vAlign w:val="bottom"/>
          </w:tcPr>
          <w:p>
            <w:pPr>
              <w:spacing w:after="0"/>
              <w:rPr>
                <w:sz w:val="1"/>
                <w:szCs w:val="1"/>
                <w:color w:val="auto"/>
              </w:rPr>
            </w:pPr>
          </w:p>
        </w:tc>
      </w:tr>
    </w:tbl>
    <w:p>
      <w:pPr>
        <w:spacing w:after="0" w:line="5567" w:lineRule="exact"/>
        <w:rPr>
          <w:sz w:val="20"/>
          <w:szCs w:val="20"/>
          <w:color w:val="auto"/>
        </w:rPr>
      </w:pPr>
    </w:p>
    <w:p>
      <w:pPr>
        <w:sectPr>
          <w:pgSz w:w="11900" w:h="16838" w:orient="portrait"/>
          <w:cols w:equalWidth="0" w:num="3">
            <w:col w:w="7120" w:space="220"/>
            <w:col w:w="1400" w:space="640"/>
            <w:col w:w="2000"/>
          </w:cols>
          <w:pgMar w:left="240" w:top="125" w:right="279" w:bottom="1440" w:gutter="0" w:footer="0" w:header="0"/>
          <w:type w:val="continuous"/>
        </w:sectPr>
      </w:pPr>
    </w:p>
    <w:p>
      <w:pPr>
        <w:ind w:left="1420" w:hanging="1385"/>
        <w:spacing w:after="0" w:line="271" w:lineRule="auto"/>
        <w:tabs>
          <w:tab w:leader="none" w:pos="1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ectPr>
          <w:pgSz w:w="11900" w:h="16838" w:orient="portrait"/>
          <w:cols w:equalWidth="0" w:num="1">
            <w:col w:w="11380"/>
          </w:cols>
          <w:pgMar w:left="240" w:top="125" w:right="27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80"/>
          </w:cols>
          <w:pgMar w:left="240" w:top="125" w:right="27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SPLIT-DOLLAR LIFE INSURANCE AGREEMENT</w:t>
      </w:r>
    </w:p>
    <w:p>
      <w:pPr>
        <w:spacing w:after="0" w:line="200" w:lineRule="exact"/>
        <w:rPr>
          <w:sz w:val="20"/>
          <w:szCs w:val="20"/>
          <w:color w:val="auto"/>
        </w:rPr>
      </w:pPr>
    </w:p>
    <w:p>
      <w:pPr>
        <w:spacing w:after="0" w:line="24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THIS ENDORSEMENT SPLIT-DOLLAR LIFE INSURANCE AGREEMENT (the “Agreement”) is made and entered into this 9th day of September, 2017, by and between Fluidigm Corporation (the “Company”), a Delaware corporation, and Stephen Christopher Linthwaite (the “Executive”).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a valued executive of the Company and the Company wishes to retain him as such; 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as an inducement to such continued employment, wishes to assist the Executive with his personal life insurance program; and</w:t>
      </w:r>
    </w:p>
    <w:p>
      <w:pPr>
        <w:spacing w:after="0" w:line="24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has determined that this assistance can best be provided under a "split-dollar life insurance arrangement” within the meaning of</w:t>
      </w:r>
      <w:r>
        <w:rPr>
          <w:rFonts w:ascii="Arial" w:cs="Arial" w:eastAsia="Arial" w:hAnsi="Arial"/>
          <w:sz w:val="18"/>
          <w:szCs w:val="18"/>
          <w:b w:val="1"/>
          <w:bCs w:val="1"/>
          <w:color w:val="auto"/>
        </w:rPr>
        <w:t xml:space="preserve"> </w:t>
      </w:r>
      <w:r>
        <w:rPr>
          <w:rFonts w:ascii="Arial" w:cs="Arial" w:eastAsia="Arial" w:hAnsi="Arial"/>
          <w:sz w:val="18"/>
          <w:szCs w:val="18"/>
          <w:color w:val="auto"/>
        </w:rPr>
        <w:t>U.S. Treasury Regulation Sections 1.61-22(b)(1) and (2) (a “Split-Dollar Arrangement”);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undertakings set forth in this Agreement,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Company and the Executive agree as follows:</w:t>
      </w:r>
    </w:p>
    <w:p>
      <w:pPr>
        <w:spacing w:after="0" w:line="166" w:lineRule="exact"/>
        <w:rPr>
          <w:sz w:val="20"/>
          <w:szCs w:val="20"/>
          <w:color w:val="auto"/>
        </w:rPr>
      </w:pPr>
    </w:p>
    <w:p>
      <w:pPr>
        <w:ind w:right="120" w:firstLine="656"/>
        <w:spacing w:after="0" w:line="264" w:lineRule="auto"/>
        <w:tabs>
          <w:tab w:leader="none" w:pos="963"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This Agreement describes the terms and conditions of a Split-Dollar Arrangement between the Company and the Executive relating to a policy of life insurance insuring the life of the Executive, which is described in Exhibit A attached hereto, and which has been or will be issued by Ohio National Financial Services, Inc. (the “Insurer”) with an initial face amount of $2,500,000 (the “Policy”).</w:t>
      </w:r>
    </w:p>
    <w:p>
      <w:pPr>
        <w:spacing w:after="0" w:line="181" w:lineRule="exact"/>
        <w:rPr>
          <w:rFonts w:ascii="Arial" w:cs="Arial" w:eastAsia="Arial" w:hAnsi="Arial"/>
          <w:sz w:val="18"/>
          <w:szCs w:val="18"/>
          <w:color w:val="auto"/>
        </w:rPr>
      </w:pPr>
    </w:p>
    <w:p>
      <w:pPr>
        <w:ind w:right="100" w:firstLine="656"/>
        <w:spacing w:after="0" w:line="297" w:lineRule="auto"/>
        <w:tabs>
          <w:tab w:leader="none" w:pos="963"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Acquisition of Policy; Ownership</w:t>
      </w:r>
      <w:r>
        <w:rPr>
          <w:rFonts w:ascii="Arial" w:cs="Arial" w:eastAsia="Arial" w:hAnsi="Arial"/>
          <w:sz w:val="16"/>
          <w:szCs w:val="16"/>
          <w:color w:val="auto"/>
        </w:rPr>
        <w:t>. The parties hereto shall cooperate in applying for and obtaining the Policy. The Policy shall be issued to the Company as the sole and exclusive owner of the Policy, subject to an endorsement in favor of the Executive as hereinafter provided in the Agreement. The Company alone shall be able to exercise all rights of ownership with respect to the Policy, including, but not limited to, the right to borrow or withdraw upon the Policy cash value. In addition, to the extent the Insurer declares dividends on the Policy, the Company shall have the exclusive right to choose the option or options it desires from among those offered by the Insurer, and the Company shall notify the Insurer of such choice.</w:t>
      </w:r>
    </w:p>
    <w:p>
      <w:pPr>
        <w:spacing w:after="0" w:line="158" w:lineRule="exact"/>
        <w:rPr>
          <w:rFonts w:ascii="Arial" w:cs="Arial" w:eastAsia="Arial" w:hAnsi="Arial"/>
          <w:sz w:val="16"/>
          <w:szCs w:val="16"/>
          <w:color w:val="auto"/>
        </w:rPr>
      </w:pPr>
    </w:p>
    <w:p>
      <w:pPr>
        <w:ind w:right="180" w:firstLine="656"/>
        <w:spacing w:after="0" w:line="257" w:lineRule="auto"/>
        <w:tabs>
          <w:tab w:leader="none" w:pos="963"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Policy Premiums; Imputed Income</w:t>
      </w:r>
      <w:r>
        <w:rPr>
          <w:rFonts w:ascii="Arial" w:cs="Arial" w:eastAsia="Arial" w:hAnsi="Arial"/>
          <w:sz w:val="18"/>
          <w:szCs w:val="18"/>
          <w:color w:val="auto"/>
        </w:rPr>
        <w:t>. On or before the payment due date of each premium due on the Policy, or within the grace period, if any, provided by the Insurer with respect to such payment, the Company shall pay to the Insurer the full amount of the premium from the Company’s general assets. The Company shall be solely responsible for the calculation of the value of the economic benefit to the Executive resulting from the Company’s payment of such premiums, which value shall be imputed income to the Executive. The Company shall add such imputed income to the Executive’s taxable income on an annual basis.</w:t>
      </w:r>
    </w:p>
    <w:p>
      <w:pPr>
        <w:spacing w:after="0" w:line="188" w:lineRule="exact"/>
        <w:rPr>
          <w:rFonts w:ascii="Arial" w:cs="Arial" w:eastAsia="Arial" w:hAnsi="Arial"/>
          <w:sz w:val="18"/>
          <w:szCs w:val="18"/>
          <w:color w:val="auto"/>
        </w:rPr>
      </w:pPr>
    </w:p>
    <w:p>
      <w:pPr>
        <w:jc w:val="both"/>
        <w:ind w:right="80" w:firstLine="656"/>
        <w:spacing w:after="0" w:line="291" w:lineRule="auto"/>
        <w:tabs>
          <w:tab w:leader="none" w:pos="963"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Status of Agreement Under ERISA</w:t>
      </w:r>
      <w:r>
        <w:rPr>
          <w:rFonts w:ascii="Arial" w:cs="Arial" w:eastAsia="Arial" w:hAnsi="Arial"/>
          <w:sz w:val="16"/>
          <w:szCs w:val="16"/>
          <w:color w:val="auto"/>
        </w:rPr>
        <w:t>. The parties hereto acknowledge and agree that (a) the Split-Dollar Arrangement set forth in this Agreement is an “employee welfare benefit plan” within the meaning of Section 3(1) of the Employee Retirement Income Security Act of 1974, as amended (“ERISA”);</w:t>
      </w:r>
    </w:p>
    <w:p>
      <w:pPr>
        <w:ind w:right="300" w:firstLine="8"/>
        <w:spacing w:after="0" w:line="255"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Executive participated in the negotiation of such arrangement and had significant influence on its design; and (c) such arrangement consequently is intended to qualify as an insured welfare plan maintained primarily for purposes of providing benefits for a select group of management and highly compensated employees within the meaning of U.S. Labor Regulation Section 2520.104-24.</w:t>
      </w:r>
    </w:p>
    <w:p>
      <w:pPr>
        <w:spacing w:after="0" w:line="190"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Endorsement; Beneficiary Designation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86" w:lineRule="auto"/>
        <w:tabs>
          <w:tab w:leader="none" w:pos="1676" w:val="left"/>
        </w:tabs>
        <w:numPr>
          <w:ilvl w:val="2"/>
          <w:numId w:val="22"/>
        </w:numPr>
        <w:rPr>
          <w:rFonts w:ascii="Arial" w:cs="Arial" w:eastAsia="Arial" w:hAnsi="Arial"/>
          <w:sz w:val="17"/>
          <w:szCs w:val="17"/>
          <w:color w:val="auto"/>
        </w:rPr>
      </w:pPr>
      <w:r>
        <w:rPr>
          <w:rFonts w:ascii="Arial" w:cs="Arial" w:eastAsia="Arial" w:hAnsi="Arial"/>
          <w:sz w:val="17"/>
          <w:szCs w:val="17"/>
          <w:color w:val="auto"/>
        </w:rPr>
        <w:t>Upon issuance of the Policy, the parties hereto shall execute, in a form mutually acceptable to the parties and the Insurer, an endorsement to the Policy that shall give the Executive the right to designate a beneficiary or beneficiaries to receive the Executive’s share of any proceeds of the Policy paid by the Insurer on his death (the “Proceeds”) and to elect and change any available payment option for such designated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60" w:name="page61"/>
    <w:bookmarkEnd w:id="60"/>
    <w:p>
      <w:pPr>
        <w:ind w:right="60"/>
        <w:spacing w:after="0" w:line="259" w:lineRule="auto"/>
        <w:rPr>
          <w:sz w:val="20"/>
          <w:szCs w:val="20"/>
          <w:color w:val="auto"/>
        </w:rPr>
      </w:pPr>
      <w:r>
        <w:rPr>
          <w:rFonts w:ascii="Arial" w:cs="Arial" w:eastAsia="Arial" w:hAnsi="Arial"/>
          <w:sz w:val="18"/>
          <w:szCs w:val="18"/>
          <w:color w:val="auto"/>
        </w:rPr>
        <w:t>beneficiary(ies) (“Beneficiary(ies”), but subject to any right or interest that the Company may have in such proceeds, as provided in this Agreement. The Executive shall have the right to designate such Beneficiary(ies) at any time before the Executive’s death by properly completing and executing a Beneficiary designation in the form attached hereto as Exhibit B (the “Beneficiary Designation Form”), and delivering such Beneficiary Designation Form to the Plan Administrator (as defined below) or to the Plan Administrator’s designated agent.</w:t>
      </w:r>
    </w:p>
    <w:p>
      <w:pPr>
        <w:spacing w:after="0" w:line="187" w:lineRule="exact"/>
        <w:rPr>
          <w:sz w:val="20"/>
          <w:szCs w:val="20"/>
          <w:color w:val="auto"/>
        </w:rPr>
      </w:pPr>
    </w:p>
    <w:p>
      <w:pPr>
        <w:ind w:right="60" w:firstLine="1305"/>
        <w:spacing w:after="0" w:line="302" w:lineRule="auto"/>
        <w:tabs>
          <w:tab w:leader="none" w:pos="16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Executive may change his Beneficiary designation hereunder at any time by delivering a new Beneficiary Designation Form to the Plan Administrator or to the Plan Administrator’s designated agent, as described in Section 5(a) above. Any such effective change shall automatically supersede the existing Beneficiary Designation Form on file with the Plan Administrator. The Executive’s Beneficiary designation hereunder shall be deemed automatically revoked if the Executive has designated his legal spouse as his primary Beneficiary and his marriage to such spouse is later legally dissolved.</w:t>
      </w:r>
    </w:p>
    <w:p>
      <w:pPr>
        <w:spacing w:after="0" w:line="154" w:lineRule="exact"/>
        <w:rPr>
          <w:rFonts w:ascii="Arial" w:cs="Arial" w:eastAsia="Arial" w:hAnsi="Arial"/>
          <w:sz w:val="16"/>
          <w:szCs w:val="16"/>
          <w:color w:val="auto"/>
        </w:rPr>
      </w:pPr>
    </w:p>
    <w:p>
      <w:pPr>
        <w:ind w:firstLine="1305"/>
        <w:spacing w:after="0" w:line="259" w:lineRule="auto"/>
        <w:tabs>
          <w:tab w:leader="none" w:pos="16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designation or change in designation of a Beneficiary made by the Executive hereunder shall be effective until the related Beneficiary Designation Form is received, accepted and acknowledged in writing by the Plan Administrator or the Plan Administrator’s designated agent. The Company shall be entitled to rely on the last effective Beneficiary Designation Form filed by the Executive with the Plan Administrator or the Plan Administrator’s designated agent before his death.</w:t>
      </w:r>
    </w:p>
    <w:p>
      <w:pPr>
        <w:spacing w:after="0" w:line="187" w:lineRule="exact"/>
        <w:rPr>
          <w:sz w:val="20"/>
          <w:szCs w:val="20"/>
          <w:color w:val="auto"/>
        </w:rPr>
      </w:pPr>
    </w:p>
    <w:p>
      <w:pPr>
        <w:ind w:right="520" w:firstLine="1305"/>
        <w:spacing w:after="0" w:line="312" w:lineRule="auto"/>
        <w:tabs>
          <w:tab w:leader="none" w:pos="1676" w:val="left"/>
        </w:tabs>
        <w:numPr>
          <w:ilvl w:val="2"/>
          <w:numId w:val="24"/>
        </w:numPr>
        <w:rPr>
          <w:rFonts w:ascii="Arial" w:cs="Arial" w:eastAsia="Arial" w:hAnsi="Arial"/>
          <w:sz w:val="16"/>
          <w:szCs w:val="16"/>
          <w:color w:val="auto"/>
        </w:rPr>
      </w:pPr>
      <w:r>
        <w:rPr>
          <w:rFonts w:ascii="Arial" w:cs="Arial" w:eastAsia="Arial" w:hAnsi="Arial"/>
          <w:sz w:val="16"/>
          <w:szCs w:val="16"/>
          <w:color w:val="auto"/>
        </w:rPr>
        <w:t>If the Executive dies without a valid designation of a Beneficiary, or if all of the Executive’s designated Beneficiaries hereunder predecease the Executive, then the Executive’s surviving legal spouse, if any, shall be the Executive’s designated Beneficiary. If the Executive has no surviving legal spouse, any applicable benefits shall be made payable to the personal representative of the Executive’s estate, on behalf of the estate.</w:t>
      </w:r>
    </w:p>
    <w:p>
      <w:pPr>
        <w:spacing w:after="0" w:line="146" w:lineRule="exact"/>
        <w:rPr>
          <w:rFonts w:ascii="Arial" w:cs="Arial" w:eastAsia="Arial" w:hAnsi="Arial"/>
          <w:sz w:val="16"/>
          <w:szCs w:val="16"/>
          <w:color w:val="auto"/>
        </w:rPr>
      </w:pPr>
    </w:p>
    <w:p>
      <w:pPr>
        <w:ind w:right="120" w:firstLine="1305"/>
        <w:spacing w:after="0" w:line="273" w:lineRule="auto"/>
        <w:tabs>
          <w:tab w:leader="none" w:pos="1686" w:val="left"/>
        </w:tabs>
        <w:numPr>
          <w:ilvl w:val="2"/>
          <w:numId w:val="24"/>
        </w:numPr>
        <w:rPr>
          <w:rFonts w:ascii="Arial" w:cs="Arial" w:eastAsia="Arial" w:hAnsi="Arial"/>
          <w:sz w:val="17"/>
          <w:szCs w:val="17"/>
          <w:color w:val="auto"/>
        </w:rPr>
      </w:pPr>
      <w:r>
        <w:rPr>
          <w:rFonts w:ascii="Arial" w:cs="Arial" w:eastAsia="Arial" w:hAnsi="Arial"/>
          <w:sz w:val="17"/>
          <w:szCs w:val="17"/>
          <w:color w:val="auto"/>
        </w:rPr>
        <w:t>If the Plan Administrator determines in its discretion that a benefit hereunder is to be paid to a minor, to a person legally declared incompetent, or to a person legally deemed incapable of handling the disposition of that person’s property, the Plan Administrator may direct distribution of such benefit to the guardian, legal representative or person having the care or custody of such minor, incompetent person or incapable person. The Plan Administrator may, in its discretion, require proof of incompetence, minority, or guardianship as it may deem appropriate before the distribution of the benefit. Any distribution of a benefit hereunder shall be a distribution for the account of the Executive and the Beneficiary, as the case may be, and shall be a complete discharge of any liability under this Agreement for the distribution thereof.</w:t>
      </w:r>
    </w:p>
    <w:p>
      <w:pPr>
        <w:spacing w:after="0" w:line="178" w:lineRule="exact"/>
        <w:rPr>
          <w:rFonts w:ascii="Arial" w:cs="Arial" w:eastAsia="Arial" w:hAnsi="Arial"/>
          <w:sz w:val="17"/>
          <w:szCs w:val="17"/>
          <w:color w:val="auto"/>
        </w:rPr>
      </w:pPr>
    </w:p>
    <w:p>
      <w:pPr>
        <w:ind w:left="540" w:hanging="307"/>
        <w:spacing w:after="0"/>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Division of Proceeds of the Policy</w:t>
      </w:r>
      <w:r>
        <w:rPr>
          <w:rFonts w:ascii="Arial" w:cs="Arial" w:eastAsia="Arial" w:hAnsi="Arial"/>
          <w:sz w:val="16"/>
          <w:szCs w:val="16"/>
          <w:color w:val="auto"/>
        </w:rPr>
        <w:t>. In the event of the Executive’s death while this Agreement is in force, the Proceeds shall be divided as follows:</w:t>
      </w:r>
    </w:p>
    <w:p>
      <w:pPr>
        <w:spacing w:after="0" w:line="248" w:lineRule="exact"/>
        <w:rPr>
          <w:rFonts w:ascii="Arial" w:cs="Arial" w:eastAsia="Arial" w:hAnsi="Arial"/>
          <w:sz w:val="16"/>
          <w:szCs w:val="16"/>
          <w:color w:val="auto"/>
        </w:rPr>
      </w:pPr>
    </w:p>
    <w:p>
      <w:pPr>
        <w:ind w:left="1680" w:hanging="375"/>
        <w:spacing w:after="0"/>
        <w:tabs>
          <w:tab w:leader="none" w:pos="16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Executive’s Beneficiary(ies) shall be entitled to receive $2,000,000 from the Proceeds; and</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Company shall be entitled to remainder of the Proceeds not payable under Section 6(a) above.</w:t>
      </w:r>
    </w:p>
    <w:p>
      <w:pPr>
        <w:spacing w:after="0" w:line="225" w:lineRule="exact"/>
        <w:rPr>
          <w:rFonts w:ascii="Arial" w:cs="Arial" w:eastAsia="Arial" w:hAnsi="Arial"/>
          <w:sz w:val="18"/>
          <w:szCs w:val="18"/>
          <w:color w:val="auto"/>
        </w:rPr>
      </w:pPr>
    </w:p>
    <w:p>
      <w:pPr>
        <w:jc w:val="both"/>
        <w:ind w:right="120" w:firstLine="656"/>
        <w:spacing w:after="0" w:line="279" w:lineRule="auto"/>
        <w:tabs>
          <w:tab w:leader="none" w:pos="963"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No Obligation to Pay by the Company</w:t>
      </w:r>
      <w:r>
        <w:rPr>
          <w:rFonts w:ascii="Arial" w:cs="Arial" w:eastAsia="Arial" w:hAnsi="Arial"/>
          <w:sz w:val="17"/>
          <w:szCs w:val="17"/>
          <w:color w:val="auto"/>
        </w:rPr>
        <w:t>. Any death benefit payable to the Executive’s Beneficiary(ies) under this Agreement shall be paid solely by the Insurer from the Proceeds. In no event shall the Company be obligated in any way to pay a death benefit under this Agreement from its general assets or otherwise. Should the Insurer refuse or be unable to pay the portion of the Proceeds endorsed to the Executive under the express terms of this Agreement, neither the Executive nor the Executive’s Beneficiary(ies) shall be entitled to any death benefit.</w:t>
      </w:r>
    </w:p>
    <w:p>
      <w:pPr>
        <w:spacing w:after="0" w:line="171" w:lineRule="exact"/>
        <w:rPr>
          <w:rFonts w:ascii="Arial" w:cs="Arial" w:eastAsia="Arial" w:hAnsi="Arial"/>
          <w:sz w:val="17"/>
          <w:szCs w:val="17"/>
          <w:color w:val="auto"/>
        </w:rPr>
      </w:pPr>
    </w:p>
    <w:p>
      <w:pPr>
        <w:ind w:right="280" w:firstLine="656"/>
        <w:spacing w:after="0" w:line="256" w:lineRule="auto"/>
        <w:tabs>
          <w:tab w:leader="none" w:pos="963"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Ownership of Cash Surrender Value of Policy</w:t>
      </w:r>
      <w:r>
        <w:rPr>
          <w:rFonts w:ascii="Arial" w:cs="Arial" w:eastAsia="Arial" w:hAnsi="Arial"/>
          <w:sz w:val="18"/>
          <w:szCs w:val="18"/>
          <w:color w:val="auto"/>
        </w:rPr>
        <w:t>. The Company shall at all times be entitled to one hundred percent (100%) of the Policy’s cash value, as that term is defined in the Policy, less any Policy loans and unpaid interest or cash withdrawals previously incurred by the Company. Such cash value shall be determined as of the date of surrender or death as the case</w:t>
      </w:r>
    </w:p>
    <w:p>
      <w:pPr>
        <w:spacing w:after="0"/>
        <w:rPr>
          <w:rFonts w:ascii="Arial" w:cs="Arial" w:eastAsia="Arial" w:hAnsi="Arial"/>
          <w:sz w:val="18"/>
          <w:szCs w:val="18"/>
          <w:color w:val="auto"/>
        </w:rPr>
      </w:pPr>
      <w:r>
        <w:rPr>
          <w:rFonts w:ascii="Arial" w:cs="Arial" w:eastAsia="Arial" w:hAnsi="Arial"/>
          <w:sz w:val="18"/>
          <w:szCs w:val="18"/>
          <w:color w:val="auto"/>
        </w:rPr>
        <w:t>may be.</w:t>
      </w:r>
    </w:p>
    <w:p>
      <w:pPr>
        <w:spacing w:after="0" w:line="210" w:lineRule="exact"/>
        <w:rPr>
          <w:rFonts w:ascii="Arial" w:cs="Arial" w:eastAsia="Arial" w:hAnsi="Arial"/>
          <w:sz w:val="18"/>
          <w:szCs w:val="18"/>
          <w:color w:val="auto"/>
        </w:rPr>
      </w:pPr>
    </w:p>
    <w:p>
      <w:pPr>
        <w:ind w:right="40" w:firstLine="656"/>
        <w:spacing w:after="0" w:line="308" w:lineRule="auto"/>
        <w:tabs>
          <w:tab w:leader="none" w:pos="963"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Rights of Executive or Permitted Assignees</w:t>
      </w:r>
      <w:r>
        <w:rPr>
          <w:rFonts w:ascii="Arial" w:cs="Arial" w:eastAsia="Arial" w:hAnsi="Arial"/>
          <w:sz w:val="17"/>
          <w:szCs w:val="17"/>
          <w:color w:val="auto"/>
        </w:rPr>
        <w:t>. The Executive may not, without the prior written consent of the Company, assign to any individual, trust or other entity, any right, title or interest in the Policy nor any rights, options, privileges or duties created under this Agreement.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61" w:name="page62"/>
    <w:bookmarkEnd w:id="61"/>
    <w:p>
      <w:pPr>
        <w:ind w:left="-20" w:firstLine="656"/>
        <w:spacing w:after="0" w:line="255" w:lineRule="auto"/>
        <w:tabs>
          <w:tab w:leader="none" w:pos="103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Limitations on Company’s Rights in Policy</w:t>
      </w:r>
      <w:r>
        <w:rPr>
          <w:rFonts w:ascii="Arial" w:cs="Arial" w:eastAsia="Arial" w:hAnsi="Arial"/>
          <w:sz w:val="18"/>
          <w:szCs w:val="18"/>
          <w:color w:val="auto"/>
        </w:rPr>
        <w:t>. Notwithstanding any contrary provision in this Agreement, the Company shall have the right to sell or surrender the Policy without terminating this Agreement, provided that: (a) the Company replaces the Policy with a comparable life insurance policy or arrangement that provides for the benefit payable under this Agreement, and (b) the Company and the Executive (who shall not unreasonably withhold his consent) execute a new Policy endorsement for such comparable coverage arrangement, at which time all references to “Policy” hereunder shall refer to such replacement coverage arrangement. Without limitation, the Policy at all times shall be the exclusive property of the Company and shall be subject to the claims of the Company’s creditors.</w:t>
      </w:r>
    </w:p>
    <w:p>
      <w:pPr>
        <w:spacing w:after="0" w:line="193" w:lineRule="exact"/>
        <w:rPr>
          <w:rFonts w:ascii="Arial" w:cs="Arial" w:eastAsia="Arial" w:hAnsi="Arial"/>
          <w:sz w:val="18"/>
          <w:szCs w:val="18"/>
          <w:color w:val="auto"/>
        </w:rPr>
      </w:pPr>
    </w:p>
    <w:p>
      <w:pPr>
        <w:ind w:left="-20" w:right="120" w:firstLine="656"/>
        <w:spacing w:after="0" w:line="259" w:lineRule="auto"/>
        <w:tabs>
          <w:tab w:leader="none" w:pos="102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Policy Loans</w:t>
      </w:r>
      <w:r>
        <w:rPr>
          <w:rFonts w:ascii="Arial" w:cs="Arial" w:eastAsia="Arial" w:hAnsi="Arial"/>
          <w:sz w:val="18"/>
          <w:szCs w:val="18"/>
          <w:color w:val="auto"/>
        </w:rPr>
        <w:t>. The Company may pledge or assign the Policy, subject to the terms and conditions of this Agreement, for the sole purpose of securing a loan from the Insurer or from a third party. Any interest charges on such loan shall be paid by the Company. If the Company so encumbers the Policy, other than by a Policy loan from the Insurer, then, upon the death of the Executive while the Agreement is in force, the Company shall promptly take all action necessary to secure the release or discharge of such encumbrance.</w:t>
      </w:r>
    </w:p>
    <w:p>
      <w:pPr>
        <w:spacing w:after="0" w:line="186" w:lineRule="exact"/>
        <w:rPr>
          <w:rFonts w:ascii="Arial" w:cs="Arial" w:eastAsia="Arial" w:hAnsi="Arial"/>
          <w:sz w:val="18"/>
          <w:szCs w:val="18"/>
          <w:color w:val="auto"/>
        </w:rPr>
      </w:pPr>
    </w:p>
    <w:p>
      <w:pPr>
        <w:ind w:left="-20" w:right="20" w:firstLine="656"/>
        <w:spacing w:after="0" w:line="272" w:lineRule="auto"/>
        <w:tabs>
          <w:tab w:leader="none" w:pos="1033"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Misstatement; Suspicious Death</w:t>
      </w:r>
      <w:r>
        <w:rPr>
          <w:rFonts w:ascii="Arial" w:cs="Arial" w:eastAsia="Arial" w:hAnsi="Arial"/>
          <w:sz w:val="17"/>
          <w:szCs w:val="17"/>
          <w:color w:val="auto"/>
        </w:rPr>
        <w:t>. Notwithstanding any contrary provision in this Agreement, the amount of any death benefit payable to the Executive’s Beneficiary(ies) hereunder may be reduced or eliminated by the Plan Administrator, in its discretion, if the Executive: (a) fails or refuses to take a physical examination; (b) fails or refuses to truthfully and completely supply such information or complete any forms as may be required by the Company or Insurer; (c) fails or refuses to cooperate with the requests of the Company or the Insurer in relation to this Agreement or the Policy; or (d) if the Insurer denies payment of the Proceeds under the Policy, e.g., in the case of suicide within the suicide exclusionary period of the Policy, if applicable, or for material misstatement of fact made by the Executive in relation to the Policy. The Plan Administrator shall, however, evaluate the reason for the denial, and upon advice of legal counsel and in its sole discretion, consider judicially challenging any such denial.</w:t>
      </w:r>
    </w:p>
    <w:p>
      <w:pPr>
        <w:spacing w:after="0" w:line="177" w:lineRule="exact"/>
        <w:rPr>
          <w:rFonts w:ascii="Arial" w:cs="Arial" w:eastAsia="Arial" w:hAnsi="Arial"/>
          <w:sz w:val="17"/>
          <w:szCs w:val="17"/>
          <w:color w:val="auto"/>
        </w:rPr>
      </w:pPr>
    </w:p>
    <w:p>
      <w:pPr>
        <w:ind w:left="1040" w:hanging="40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 of Agreement</w:t>
      </w:r>
      <w:r>
        <w:rPr>
          <w:rFonts w:ascii="Arial" w:cs="Arial" w:eastAsia="Arial" w:hAnsi="Arial"/>
          <w:sz w:val="18"/>
          <w:szCs w:val="18"/>
          <w:color w:val="auto"/>
        </w:rPr>
        <w:t>. This Agreement shall terminate upon the first to occur of any of the following events:</w:t>
      </w:r>
    </w:p>
    <w:p>
      <w:pPr>
        <w:spacing w:after="0" w:line="225" w:lineRule="exact"/>
        <w:rPr>
          <w:rFonts w:ascii="Arial" w:cs="Arial" w:eastAsia="Arial" w:hAnsi="Arial"/>
          <w:sz w:val="18"/>
          <w:szCs w:val="18"/>
          <w:color w:val="auto"/>
        </w:rPr>
      </w:pPr>
    </w:p>
    <w:p>
      <w:pPr>
        <w:ind w:left="-20" w:firstLine="1305"/>
        <w:spacing w:after="0" w:line="277" w:lineRule="auto"/>
        <w:tabs>
          <w:tab w:leader="none" w:pos="1653"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Executive terminates employment with the Company and its affiliates for any reason before attainment of age sixty-five (65) other than due to death (an “Applicable Termination”);</w:t>
      </w:r>
    </w:p>
    <w:p>
      <w:pPr>
        <w:spacing w:after="0" w:line="170" w:lineRule="exact"/>
        <w:rPr>
          <w:rFonts w:ascii="Arial" w:cs="Arial" w:eastAsia="Arial" w:hAnsi="Arial"/>
          <w:sz w:val="18"/>
          <w:szCs w:val="18"/>
          <w:color w:val="auto"/>
        </w:rPr>
      </w:pPr>
    </w:p>
    <w:p>
      <w:pPr>
        <w:ind w:left="1680" w:hanging="395"/>
        <w:spacing w:after="0"/>
        <w:tabs>
          <w:tab w:leader="none" w:pos="1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Executive attains age sixty-five (65) while employed by the Company or its affiliates; or</w:t>
      </w:r>
    </w:p>
    <w:p>
      <w:pPr>
        <w:spacing w:after="0" w:line="225" w:lineRule="exact"/>
        <w:rPr>
          <w:rFonts w:ascii="Arial" w:cs="Arial" w:eastAsia="Arial" w:hAnsi="Arial"/>
          <w:sz w:val="18"/>
          <w:szCs w:val="18"/>
          <w:color w:val="auto"/>
        </w:rPr>
      </w:pPr>
    </w:p>
    <w:p>
      <w:pPr>
        <w:ind w:left="1660" w:hanging="375"/>
        <w:spacing w:after="0"/>
        <w:tabs>
          <w:tab w:leader="none" w:pos="1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surrender (other than as described in Section 10 above), lapse, or other termination of the Policy by the Company.</w:t>
      </w:r>
    </w:p>
    <w:p>
      <w:pPr>
        <w:spacing w:after="0" w:line="225" w:lineRule="exact"/>
        <w:rPr>
          <w:rFonts w:ascii="Arial" w:cs="Arial" w:eastAsia="Arial" w:hAnsi="Arial"/>
          <w:sz w:val="18"/>
          <w:szCs w:val="18"/>
          <w:color w:val="auto"/>
        </w:rPr>
      </w:pPr>
    </w:p>
    <w:p>
      <w:pPr>
        <w:ind w:left="-20" w:right="40" w:firstLine="656"/>
        <w:spacing w:after="0" w:line="290" w:lineRule="auto"/>
        <w:tabs>
          <w:tab w:leader="none" w:pos="1033"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Disposition of Policy Upon Termination of Agreement</w:t>
      </w:r>
      <w:r>
        <w:rPr>
          <w:rFonts w:ascii="Arial" w:cs="Arial" w:eastAsia="Arial" w:hAnsi="Arial"/>
          <w:sz w:val="16"/>
          <w:szCs w:val="16"/>
          <w:color w:val="auto"/>
        </w:rPr>
        <w:t>. Upon the termination of this Agreement for any reason other than due to an Applicable Termination, the Company shall provide the Executive with a thirty (30) day option to purchase the Policy from the Company. The purchase price of the Policy shall be the greater of the then total cash value of the Policy or aggregate Policy premiums paid by the Company. If the Executive exercises such option to purchase the Policy, including paying the applicable purchase price thereof to the Company, the Company agrees to execute such documents as may be necessary to effect the transfer of ownership of the Policy to the Executive. If the Executive does not exercise such option to purchase the Policy, (a) the Executive agrees to execute such documents as may be necessary to release or transfer his interest, if any, in the Policy, including the right to designate Beneficiary(ies) as provided in the Agreement, to the Company, (b) the Company may make such disposition of the Policy as it determines to be appropriate, and (c) neither the Executive nor the Executive’s Beneficiary(ies) shall have any interest in any Proceeds of the Policy.</w:t>
      </w:r>
    </w:p>
    <w:p>
      <w:pPr>
        <w:spacing w:after="0" w:line="166" w:lineRule="exact"/>
        <w:rPr>
          <w:rFonts w:ascii="Arial" w:cs="Arial" w:eastAsia="Arial" w:hAnsi="Arial"/>
          <w:sz w:val="16"/>
          <w:szCs w:val="16"/>
          <w:color w:val="auto"/>
        </w:rPr>
      </w:pPr>
    </w:p>
    <w:p>
      <w:pPr>
        <w:ind w:left="-20" w:right="80" w:firstLine="656"/>
        <w:spacing w:after="0" w:line="259" w:lineRule="auto"/>
        <w:tabs>
          <w:tab w:leader="none" w:pos="125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Insurer</w:t>
      </w:r>
      <w:r>
        <w:rPr>
          <w:rFonts w:ascii="Arial" w:cs="Arial" w:eastAsia="Arial" w:hAnsi="Arial"/>
          <w:sz w:val="18"/>
          <w:szCs w:val="18"/>
          <w:color w:val="auto"/>
        </w:rPr>
        <w:t>. In no event shall the Insurer be considered a party to this Agreement, or any modification or amendment hereof, and the provisions herein shall in no way be construed as enlarging, changing, varying or in any other way affecting the obligations of the Insurer as expressly provided in the Policy, except insofar as the provisions hereof are made a part of a Policy by the Beneficiary Designation Form executed by the Company and filed with the Insurer in connection herewith.</w:t>
      </w:r>
    </w:p>
    <w:p>
      <w:pPr>
        <w:spacing w:after="0" w:line="186" w:lineRule="exact"/>
        <w:rPr>
          <w:rFonts w:ascii="Arial" w:cs="Arial" w:eastAsia="Arial" w:hAnsi="Arial"/>
          <w:sz w:val="18"/>
          <w:szCs w:val="18"/>
          <w:color w:val="auto"/>
        </w:rPr>
      </w:pPr>
    </w:p>
    <w:p>
      <w:pPr>
        <w:ind w:left="1320" w:hanging="68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Plan Administrator and Named Fiduciary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60" w:firstLine="1305"/>
        <w:spacing w:after="0" w:line="277" w:lineRule="auto"/>
        <w:tabs>
          <w:tab w:leader="none" w:pos="1656"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This Agreement shall be administered by the Head of Total Rewards (Global) of the Company (the “Plan Administrator”), which shall be the “administrator” and “named fiduciary” of the Agreement, as such terms are defined in ERISA.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368" w:right="259" w:bottom="1440" w:gutter="0" w:footer="0" w:header="0"/>
        </w:sectPr>
      </w:pPr>
    </w:p>
    <w:bookmarkStart w:id="62" w:name="page63"/>
    <w:bookmarkEnd w:id="62"/>
    <w:p>
      <w:pPr>
        <w:ind w:left="-8" w:right="40" w:firstLine="1305"/>
        <w:spacing w:after="0" w:line="264" w:lineRule="auto"/>
        <w:tabs>
          <w:tab w:leader="none" w:pos="1678" w:val="left"/>
        </w:tabs>
        <w:numPr>
          <w:ilvl w:val="3"/>
          <w:numId w:val="27"/>
        </w:numPr>
        <w:rPr>
          <w:rFonts w:ascii="Arial" w:cs="Arial" w:eastAsia="Arial" w:hAnsi="Arial"/>
          <w:sz w:val="18"/>
          <w:szCs w:val="18"/>
          <w:color w:val="auto"/>
        </w:rPr>
      </w:pPr>
      <w:r>
        <w:rPr>
          <w:rFonts w:ascii="Arial" w:cs="Arial" w:eastAsia="Arial" w:hAnsi="Arial"/>
          <w:sz w:val="18"/>
          <w:szCs w:val="18"/>
          <w:u w:val="single" w:color="auto"/>
          <w:color w:val="auto"/>
        </w:rPr>
        <w:t>Plan Administrator Duties</w:t>
      </w:r>
      <w:r>
        <w:rPr>
          <w:rFonts w:ascii="Arial" w:cs="Arial" w:eastAsia="Arial" w:hAnsi="Arial"/>
          <w:sz w:val="18"/>
          <w:szCs w:val="18"/>
          <w:color w:val="auto"/>
        </w:rPr>
        <w:t>. The Plan Administrator shall have the discretion and authority to: (i) make, amend, interpret and enforce all appropriate rules and regulations for the administration of this Agreement; and (ii) decide or resolve any and all questions, including interpretations of this Agreement, as may arise in connection with this Agreement.</w:t>
      </w:r>
    </w:p>
    <w:p>
      <w:pPr>
        <w:spacing w:after="0" w:line="181" w:lineRule="exact"/>
        <w:rPr>
          <w:rFonts w:ascii="Arial" w:cs="Arial" w:eastAsia="Arial" w:hAnsi="Arial"/>
          <w:sz w:val="18"/>
          <w:szCs w:val="18"/>
          <w:color w:val="auto"/>
        </w:rPr>
      </w:pPr>
    </w:p>
    <w:p>
      <w:pPr>
        <w:ind w:left="-8" w:right="100" w:firstLine="1305"/>
        <w:spacing w:after="0" w:line="264" w:lineRule="auto"/>
        <w:tabs>
          <w:tab w:leader="none" w:pos="1668" w:val="left"/>
        </w:tabs>
        <w:numPr>
          <w:ilvl w:val="3"/>
          <w:numId w:val="27"/>
        </w:numPr>
        <w:rPr>
          <w:rFonts w:ascii="Arial" w:cs="Arial" w:eastAsia="Arial" w:hAnsi="Arial"/>
          <w:sz w:val="18"/>
          <w:szCs w:val="18"/>
          <w:color w:val="auto"/>
        </w:rPr>
      </w:pPr>
      <w:r>
        <w:rPr>
          <w:rFonts w:ascii="Arial" w:cs="Arial" w:eastAsia="Arial" w:hAnsi="Arial"/>
          <w:sz w:val="18"/>
          <w:szCs w:val="18"/>
          <w:u w:val="single" w:color="auto"/>
          <w:color w:val="auto"/>
        </w:rPr>
        <w:t>Delegation</w:t>
      </w:r>
      <w:r>
        <w:rPr>
          <w:rFonts w:ascii="Arial" w:cs="Arial" w:eastAsia="Arial" w:hAnsi="Arial"/>
          <w:sz w:val="18"/>
          <w:szCs w:val="18"/>
          <w:color w:val="auto"/>
        </w:rPr>
        <w:t>. In the administration of this Agreement, the Plan Administrator may, in his or her discretion, delegate to any other person or entity, severally or jointly, the authority to perform for and on behalf of the Plan Administrator one or more of functions and/or duties of the Plan Administrator under the Agreement.</w:t>
      </w:r>
    </w:p>
    <w:p>
      <w:pPr>
        <w:spacing w:after="0" w:line="181" w:lineRule="exact"/>
        <w:rPr>
          <w:rFonts w:ascii="Arial" w:cs="Arial" w:eastAsia="Arial" w:hAnsi="Arial"/>
          <w:sz w:val="18"/>
          <w:szCs w:val="18"/>
          <w:color w:val="auto"/>
        </w:rPr>
      </w:pPr>
    </w:p>
    <w:p>
      <w:pPr>
        <w:ind w:left="-8" w:right="60" w:firstLine="413"/>
        <w:spacing w:after="0" w:line="259" w:lineRule="auto"/>
        <w:tabs>
          <w:tab w:leader="none" w:pos="787"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Binding Effect of Decisions</w:t>
      </w:r>
      <w:r>
        <w:rPr>
          <w:rFonts w:ascii="Arial" w:cs="Arial" w:eastAsia="Arial" w:hAnsi="Arial"/>
          <w:sz w:val="18"/>
          <w:szCs w:val="18"/>
          <w:color w:val="auto"/>
        </w:rPr>
        <w:t>. Any decision or action of the Plan Administrator (or his or her authorized delegates) made in good faith with respect to any question arising out of or in connection with the administration, interpretation, and application of this Agreement and the rules and regulations promulgated hereunder, shall be final and conclusive and binding upon all persons or entities having any interest in this Agreement, and shall be given the maximum possible deference permitted by law.</w:t>
      </w:r>
    </w:p>
    <w:p>
      <w:pPr>
        <w:spacing w:after="0" w:line="146" w:lineRule="exact"/>
        <w:rPr>
          <w:rFonts w:ascii="Arial" w:cs="Arial" w:eastAsia="Arial" w:hAnsi="Arial"/>
          <w:sz w:val="18"/>
          <w:szCs w:val="18"/>
          <w:color w:val="auto"/>
        </w:rPr>
      </w:pPr>
    </w:p>
    <w:p>
      <w:pPr>
        <w:ind w:left="-8" w:firstLine="1305"/>
        <w:spacing w:after="0" w:line="264" w:lineRule="auto"/>
        <w:tabs>
          <w:tab w:leader="none" w:pos="1668" w:val="left"/>
        </w:tabs>
        <w:numPr>
          <w:ilvl w:val="3"/>
          <w:numId w:val="28"/>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shall indemnify and hold harmless the Plan Administrator and his or her authorized delegates against any and all claims, losses, damages, expenses or liabilities arising from any action or failure to act with respect to this Agreement, except in the case of willful misconduct by the Plan Administrator or such delegates.</w:t>
      </w:r>
    </w:p>
    <w:p>
      <w:pPr>
        <w:spacing w:after="0" w:line="181" w:lineRule="exact"/>
        <w:rPr>
          <w:rFonts w:ascii="Arial" w:cs="Arial" w:eastAsia="Arial" w:hAnsi="Arial"/>
          <w:sz w:val="18"/>
          <w:szCs w:val="18"/>
          <w:color w:val="auto"/>
        </w:rPr>
      </w:pPr>
    </w:p>
    <w:p>
      <w:pPr>
        <w:ind w:left="1052" w:hanging="404"/>
        <w:spacing w:after="0"/>
        <w:tabs>
          <w:tab w:leader="none" w:pos="1052" w:val="left"/>
        </w:tabs>
        <w:numPr>
          <w:ilvl w:val="2"/>
          <w:numId w:val="28"/>
        </w:numPr>
        <w:rPr>
          <w:rFonts w:ascii="Arial" w:cs="Arial" w:eastAsia="Arial" w:hAnsi="Arial"/>
          <w:sz w:val="18"/>
          <w:szCs w:val="18"/>
          <w:color w:val="auto"/>
        </w:rPr>
      </w:pPr>
      <w:r>
        <w:rPr>
          <w:rFonts w:ascii="Arial" w:cs="Arial" w:eastAsia="Arial" w:hAnsi="Arial"/>
          <w:sz w:val="18"/>
          <w:szCs w:val="18"/>
          <w:u w:val="single" w:color="auto"/>
          <w:color w:val="auto"/>
        </w:rPr>
        <w:t>Claim and Review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00" w:firstLine="1305"/>
        <w:spacing w:after="0" w:line="264" w:lineRule="auto"/>
        <w:tabs>
          <w:tab w:leader="none" w:pos="1668" w:val="left"/>
        </w:tabs>
        <w:numPr>
          <w:ilvl w:val="3"/>
          <w:numId w:val="29"/>
        </w:numPr>
        <w:rPr>
          <w:rFonts w:ascii="Arial" w:cs="Arial" w:eastAsia="Arial" w:hAnsi="Arial"/>
          <w:sz w:val="18"/>
          <w:szCs w:val="18"/>
          <w:color w:val="auto"/>
        </w:rPr>
      </w:pPr>
      <w:r>
        <w:rPr>
          <w:rFonts w:ascii="Arial" w:cs="Arial" w:eastAsia="Arial" w:hAnsi="Arial"/>
          <w:sz w:val="18"/>
          <w:szCs w:val="18"/>
          <w:u w:val="single" w:color="auto"/>
          <w:color w:val="auto"/>
        </w:rPr>
        <w:t>Claim Procedures</w:t>
      </w:r>
      <w:r>
        <w:rPr>
          <w:rFonts w:ascii="Arial" w:cs="Arial" w:eastAsia="Arial" w:hAnsi="Arial"/>
          <w:sz w:val="18"/>
          <w:szCs w:val="18"/>
          <w:color w:val="auto"/>
        </w:rPr>
        <w:t>. If the Executive or his Beneficiary believes that he or she is being denied a benefit to which he or she is entitled under this Agreement, the Executive or Beneficiary (or his or her authorized representative) (the “Claimant”) may make a claim for such benefit (a “Claim”) as follows:</w:t>
      </w:r>
    </w:p>
    <w:p>
      <w:pPr>
        <w:spacing w:after="0" w:line="181" w:lineRule="exact"/>
        <w:rPr>
          <w:rFonts w:ascii="Arial" w:cs="Arial" w:eastAsia="Arial" w:hAnsi="Arial"/>
          <w:sz w:val="18"/>
          <w:szCs w:val="18"/>
          <w:color w:val="auto"/>
        </w:rPr>
      </w:pPr>
    </w:p>
    <w:p>
      <w:pPr>
        <w:ind w:left="-8" w:right="20" w:firstLine="1953"/>
        <w:spacing w:after="0" w:line="264" w:lineRule="auto"/>
        <w:tabs>
          <w:tab w:leader="none" w:pos="2287" w:val="left"/>
        </w:tabs>
        <w:numPr>
          <w:ilvl w:val="4"/>
          <w:numId w:val="29"/>
        </w:numPr>
        <w:rPr>
          <w:rFonts w:ascii="Arial" w:cs="Arial" w:eastAsia="Arial" w:hAnsi="Arial"/>
          <w:sz w:val="18"/>
          <w:szCs w:val="18"/>
          <w:color w:val="auto"/>
        </w:rPr>
      </w:pPr>
      <w:r>
        <w:rPr>
          <w:rFonts w:ascii="Arial" w:cs="Arial" w:eastAsia="Arial" w:hAnsi="Arial"/>
          <w:sz w:val="18"/>
          <w:szCs w:val="18"/>
          <w:u w:val="single" w:color="auto"/>
          <w:color w:val="auto"/>
        </w:rPr>
        <w:t>Written Claim</w:t>
      </w:r>
      <w:r>
        <w:rPr>
          <w:rFonts w:ascii="Arial" w:cs="Arial" w:eastAsia="Arial" w:hAnsi="Arial"/>
          <w:sz w:val="18"/>
          <w:szCs w:val="18"/>
          <w:color w:val="auto"/>
        </w:rPr>
        <w:t>. Any Claim must be made in writing within one hundred eighty (180) calendar days after the date on which the event that caused the Claim to arise occurred. The Claim must state with particularity the determination desired by the Claimant and must be sent to the Plan Administrator at the Company’s then principal place of business.</w:t>
      </w:r>
    </w:p>
    <w:p>
      <w:pPr>
        <w:spacing w:after="0" w:line="181" w:lineRule="exact"/>
        <w:rPr>
          <w:rFonts w:ascii="Arial" w:cs="Arial" w:eastAsia="Arial" w:hAnsi="Arial"/>
          <w:sz w:val="18"/>
          <w:szCs w:val="18"/>
          <w:color w:val="auto"/>
        </w:rPr>
      </w:pPr>
    </w:p>
    <w:p>
      <w:pPr>
        <w:ind w:left="-8" w:right="160" w:firstLine="1953"/>
        <w:spacing w:after="0" w:line="288" w:lineRule="auto"/>
        <w:tabs>
          <w:tab w:leader="none" w:pos="2337" w:val="left"/>
        </w:tabs>
        <w:numPr>
          <w:ilvl w:val="4"/>
          <w:numId w:val="29"/>
        </w:numPr>
        <w:rPr>
          <w:rFonts w:ascii="Arial" w:cs="Arial" w:eastAsia="Arial" w:hAnsi="Arial"/>
          <w:sz w:val="16"/>
          <w:szCs w:val="16"/>
          <w:color w:val="auto"/>
        </w:rPr>
      </w:pPr>
      <w:r>
        <w:rPr>
          <w:rFonts w:ascii="Arial" w:cs="Arial" w:eastAsia="Arial" w:hAnsi="Arial"/>
          <w:sz w:val="16"/>
          <w:szCs w:val="16"/>
          <w:u w:val="single" w:color="auto"/>
          <w:color w:val="auto"/>
        </w:rPr>
        <w:t>Timing of Response</w:t>
      </w:r>
      <w:r>
        <w:rPr>
          <w:rFonts w:ascii="Arial" w:cs="Arial" w:eastAsia="Arial" w:hAnsi="Arial"/>
          <w:sz w:val="16"/>
          <w:szCs w:val="16"/>
          <w:color w:val="auto"/>
        </w:rPr>
        <w:t>. If a Claim is denied by the Plan Administrator in whole or in part, the Claimant shall receive written notice of such denial (the “Initial Denial Notice”) within ninety (90) calendar days after the Plan Administrator receives the Claim, unless special circumstances require an extension of up to ninety (90) additional calendar days, in which case the Claimant will receive, before the end of the initial ninety</w:t>
      </w:r>
    </w:p>
    <w:p>
      <w:pPr>
        <w:ind w:left="-8" w:right="540" w:firstLine="8"/>
        <w:spacing w:after="0" w:line="261" w:lineRule="auto"/>
        <w:tabs>
          <w:tab w:leader="none" w:pos="3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day review period, written notice of the extension, the special circumstances requiring the extension and the date by which the Plan Administrator expects to render its decision.</w:t>
      </w:r>
    </w:p>
    <w:p>
      <w:pPr>
        <w:spacing w:after="0" w:line="183" w:lineRule="exact"/>
        <w:rPr>
          <w:rFonts w:ascii="Arial" w:cs="Arial" w:eastAsia="Arial" w:hAnsi="Arial"/>
          <w:sz w:val="18"/>
          <w:szCs w:val="18"/>
          <w:color w:val="auto"/>
        </w:rPr>
      </w:pPr>
    </w:p>
    <w:p>
      <w:pPr>
        <w:ind w:left="-8" w:right="20" w:firstLine="1953"/>
        <w:spacing w:after="0" w:line="276" w:lineRule="auto"/>
        <w:tabs>
          <w:tab w:leader="none" w:pos="2387" w:val="left"/>
        </w:tabs>
        <w:numPr>
          <w:ilvl w:val="4"/>
          <w:numId w:val="30"/>
        </w:numPr>
        <w:rPr>
          <w:rFonts w:ascii="Arial" w:cs="Arial" w:eastAsia="Arial" w:hAnsi="Arial"/>
          <w:sz w:val="17"/>
          <w:szCs w:val="17"/>
          <w:color w:val="auto"/>
        </w:rPr>
      </w:pPr>
      <w:r>
        <w:rPr>
          <w:rFonts w:ascii="Arial" w:cs="Arial" w:eastAsia="Arial" w:hAnsi="Arial"/>
          <w:sz w:val="17"/>
          <w:szCs w:val="17"/>
          <w:u w:val="single" w:color="auto"/>
          <w:color w:val="auto"/>
        </w:rPr>
        <w:t>Initial Denial Notice</w:t>
      </w:r>
      <w:r>
        <w:rPr>
          <w:rFonts w:ascii="Arial" w:cs="Arial" w:eastAsia="Arial" w:hAnsi="Arial"/>
          <w:sz w:val="17"/>
          <w:szCs w:val="17"/>
          <w:color w:val="auto"/>
        </w:rPr>
        <w:t>. If the Plan Administrator denies such Claim, the Initial Denial Notice will include: (1) the specific reason(s) for the denial, (2) references to the specific provision(s) in the Agreement on which the denial was based, (3) a description of any additional material or information that is necessary to perfect the Claim and an explanation of why such material or information is necessary, and (4) a description of the Agreement’s procedures for appealing the denial and the time limits applicable to such procedures, including a statement of the Claimant’s right to bring a civil action under Section 502(a) of ERISA following a denial of the Claim on review, if applicable (as set forth in Section 17(b) below).</w:t>
      </w:r>
    </w:p>
    <w:p>
      <w:pPr>
        <w:spacing w:after="0" w:line="172" w:lineRule="exact"/>
        <w:rPr>
          <w:rFonts w:ascii="Arial" w:cs="Arial" w:eastAsia="Arial" w:hAnsi="Arial"/>
          <w:sz w:val="17"/>
          <w:szCs w:val="17"/>
          <w:color w:val="auto"/>
        </w:rPr>
      </w:pPr>
    </w:p>
    <w:p>
      <w:pPr>
        <w:ind w:left="-8" w:right="280" w:firstLine="1305"/>
        <w:spacing w:after="0" w:line="277" w:lineRule="auto"/>
        <w:tabs>
          <w:tab w:leader="none" w:pos="1678" w:val="left"/>
        </w:tabs>
        <w:numPr>
          <w:ilvl w:val="3"/>
          <w:numId w:val="30"/>
        </w:numPr>
        <w:rPr>
          <w:rFonts w:ascii="Arial" w:cs="Arial" w:eastAsia="Arial" w:hAnsi="Arial"/>
          <w:sz w:val="18"/>
          <w:szCs w:val="18"/>
          <w:color w:val="auto"/>
        </w:rPr>
      </w:pPr>
      <w:r>
        <w:rPr>
          <w:rFonts w:ascii="Arial" w:cs="Arial" w:eastAsia="Arial" w:hAnsi="Arial"/>
          <w:sz w:val="18"/>
          <w:szCs w:val="18"/>
          <w:u w:val="single" w:color="auto"/>
          <w:color w:val="auto"/>
        </w:rPr>
        <w:t>Review Procedures</w:t>
      </w:r>
      <w:r>
        <w:rPr>
          <w:rFonts w:ascii="Arial" w:cs="Arial" w:eastAsia="Arial" w:hAnsi="Arial"/>
          <w:sz w:val="18"/>
          <w:szCs w:val="18"/>
          <w:color w:val="auto"/>
        </w:rPr>
        <w:t>. If the Plan Administrator denies a Claim, in whole or in part, the Claimant shall have the opportunity for a full and fair review by the Plan Administrator of such denial, as follows:</w:t>
      </w:r>
    </w:p>
    <w:p>
      <w:pPr>
        <w:spacing w:after="0" w:line="170" w:lineRule="exact"/>
        <w:rPr>
          <w:rFonts w:ascii="Arial" w:cs="Arial" w:eastAsia="Arial" w:hAnsi="Arial"/>
          <w:sz w:val="18"/>
          <w:szCs w:val="18"/>
          <w:color w:val="auto"/>
        </w:rPr>
      </w:pPr>
    </w:p>
    <w:p>
      <w:pPr>
        <w:ind w:left="-8" w:right="40" w:firstLine="1953"/>
        <w:spacing w:after="0" w:line="264" w:lineRule="auto"/>
        <w:tabs>
          <w:tab w:leader="none" w:pos="2287" w:val="left"/>
        </w:tabs>
        <w:numPr>
          <w:ilvl w:val="4"/>
          <w:numId w:val="31"/>
        </w:numPr>
        <w:rPr>
          <w:rFonts w:ascii="Arial" w:cs="Arial" w:eastAsia="Arial" w:hAnsi="Arial"/>
          <w:sz w:val="18"/>
          <w:szCs w:val="18"/>
          <w:color w:val="auto"/>
        </w:rPr>
      </w:pPr>
      <w:r>
        <w:rPr>
          <w:rFonts w:ascii="Arial" w:cs="Arial" w:eastAsia="Arial" w:hAnsi="Arial"/>
          <w:sz w:val="18"/>
          <w:szCs w:val="18"/>
          <w:u w:val="single" w:color="auto"/>
          <w:color w:val="auto"/>
        </w:rPr>
        <w:t>Written Review Request</w:t>
      </w:r>
      <w:r>
        <w:rPr>
          <w:rFonts w:ascii="Arial" w:cs="Arial" w:eastAsia="Arial" w:hAnsi="Arial"/>
          <w:sz w:val="18"/>
          <w:szCs w:val="18"/>
          <w:color w:val="auto"/>
        </w:rPr>
        <w:t>. To initiate such review, the Claimant must, within sixty (60) calendar days after receipt of the Initial Denial Notice, request in writing that the adverse determination of the Plan Administrator be reviewed. Such request for review must be sent to the Plan Administrator at the Company’s then principal place of business.</w:t>
      </w:r>
    </w:p>
    <w:p>
      <w:pPr>
        <w:spacing w:after="0" w:line="181" w:lineRule="exact"/>
        <w:rPr>
          <w:rFonts w:ascii="Arial" w:cs="Arial" w:eastAsia="Arial" w:hAnsi="Arial"/>
          <w:sz w:val="18"/>
          <w:szCs w:val="18"/>
          <w:color w:val="auto"/>
        </w:rPr>
      </w:pPr>
    </w:p>
    <w:p>
      <w:pPr>
        <w:ind w:left="-8" w:right="500" w:firstLine="1953"/>
        <w:spacing w:after="0" w:line="264" w:lineRule="auto"/>
        <w:tabs>
          <w:tab w:leader="none" w:pos="2337" w:val="left"/>
        </w:tabs>
        <w:numPr>
          <w:ilvl w:val="4"/>
          <w:numId w:val="31"/>
        </w:numPr>
        <w:rPr>
          <w:rFonts w:ascii="Arial" w:cs="Arial" w:eastAsia="Arial" w:hAnsi="Arial"/>
          <w:sz w:val="18"/>
          <w:szCs w:val="18"/>
          <w:color w:val="auto"/>
        </w:rPr>
      </w:pPr>
      <w:r>
        <w:rPr>
          <w:rFonts w:ascii="Arial" w:cs="Arial" w:eastAsia="Arial" w:hAnsi="Arial"/>
          <w:sz w:val="18"/>
          <w:szCs w:val="18"/>
          <w:u w:val="single" w:color="auto"/>
          <w:color w:val="auto"/>
        </w:rPr>
        <w:t>Additional Submissions and Access to Information</w:t>
      </w:r>
      <w:r>
        <w:rPr>
          <w:rFonts w:ascii="Arial" w:cs="Arial" w:eastAsia="Arial" w:hAnsi="Arial"/>
          <w:sz w:val="18"/>
          <w:szCs w:val="18"/>
          <w:color w:val="auto"/>
        </w:rPr>
        <w:t>. In connection with the Claimant’s request for review of the denied Claim, the Claimant shall have the opportunity to submit written comments, documents, records and other information related to the Claim. The Plan Administrator shall also</w:t>
      </w: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584" w:right="259" w:bottom="1440" w:gutter="0" w:footer="0" w:header="0"/>
        </w:sectPr>
      </w:pPr>
    </w:p>
    <w:bookmarkStart w:id="63" w:name="page64"/>
    <w:bookmarkEnd w:id="63"/>
    <w:p>
      <w:pPr>
        <w:ind w:right="520"/>
        <w:spacing w:after="0" w:line="277" w:lineRule="auto"/>
        <w:rPr>
          <w:sz w:val="20"/>
          <w:szCs w:val="20"/>
          <w:color w:val="auto"/>
        </w:rPr>
      </w:pPr>
      <w:r>
        <w:rPr>
          <w:rFonts w:ascii="Arial" w:cs="Arial" w:eastAsia="Arial" w:hAnsi="Arial"/>
          <w:sz w:val="18"/>
          <w:szCs w:val="18"/>
          <w:color w:val="auto"/>
        </w:rPr>
        <w:t>provide the Claimant, upon request and free of charge, reasonable access to, and copies of, all documents, records and other information relevant to the Claim.</w:t>
      </w:r>
    </w:p>
    <w:p>
      <w:pPr>
        <w:spacing w:after="0" w:line="170" w:lineRule="exact"/>
        <w:rPr>
          <w:sz w:val="20"/>
          <w:szCs w:val="20"/>
          <w:color w:val="auto"/>
        </w:rPr>
      </w:pPr>
    </w:p>
    <w:p>
      <w:pPr>
        <w:ind w:right="60" w:firstLine="1953"/>
        <w:spacing w:after="0" w:line="264" w:lineRule="auto"/>
        <w:tabs>
          <w:tab w:leader="none" w:pos="2395" w:val="left"/>
        </w:tabs>
        <w:numPr>
          <w:ilvl w:val="3"/>
          <w:numId w:val="32"/>
        </w:numPr>
        <w:rPr>
          <w:rFonts w:ascii="Arial" w:cs="Arial" w:eastAsia="Arial" w:hAnsi="Arial"/>
          <w:sz w:val="18"/>
          <w:szCs w:val="18"/>
          <w:color w:val="auto"/>
        </w:rPr>
      </w:pPr>
      <w:r>
        <w:rPr>
          <w:rFonts w:ascii="Arial" w:cs="Arial" w:eastAsia="Arial" w:hAnsi="Arial"/>
          <w:sz w:val="18"/>
          <w:szCs w:val="18"/>
          <w:u w:val="single" w:color="auto"/>
          <w:color w:val="auto"/>
        </w:rPr>
        <w:t>Considerations on Review</w:t>
      </w:r>
      <w:r>
        <w:rPr>
          <w:rFonts w:ascii="Arial" w:cs="Arial" w:eastAsia="Arial" w:hAnsi="Arial"/>
          <w:sz w:val="18"/>
          <w:szCs w:val="18"/>
          <w:color w:val="auto"/>
        </w:rPr>
        <w:t>. In considering the review, the Plan Administrator shall take into account all materials and information the Claimant timely submits relating to the Claim, without regard to whether such materials or documentation was submitted or considered in the initial benefit determination.</w:t>
      </w:r>
    </w:p>
    <w:p>
      <w:pPr>
        <w:spacing w:after="0" w:line="181" w:lineRule="exact"/>
        <w:rPr>
          <w:rFonts w:ascii="Arial" w:cs="Arial" w:eastAsia="Arial" w:hAnsi="Arial"/>
          <w:sz w:val="18"/>
          <w:szCs w:val="18"/>
          <w:color w:val="auto"/>
        </w:rPr>
      </w:pPr>
    </w:p>
    <w:p>
      <w:pPr>
        <w:ind w:right="80" w:firstLine="1953"/>
        <w:spacing w:after="0" w:line="291" w:lineRule="auto"/>
        <w:tabs>
          <w:tab w:leader="none" w:pos="2385" w:val="left"/>
        </w:tabs>
        <w:numPr>
          <w:ilvl w:val="3"/>
          <w:numId w:val="32"/>
        </w:numPr>
        <w:rPr>
          <w:rFonts w:ascii="Arial" w:cs="Arial" w:eastAsia="Arial" w:hAnsi="Arial"/>
          <w:sz w:val="16"/>
          <w:szCs w:val="16"/>
          <w:color w:val="auto"/>
        </w:rPr>
      </w:pPr>
      <w:r>
        <w:rPr>
          <w:rFonts w:ascii="Arial" w:cs="Arial" w:eastAsia="Arial" w:hAnsi="Arial"/>
          <w:sz w:val="16"/>
          <w:szCs w:val="16"/>
          <w:u w:val="single" w:color="auto"/>
          <w:color w:val="auto"/>
        </w:rPr>
        <w:t>Timing of Response</w:t>
      </w:r>
      <w:r>
        <w:rPr>
          <w:rFonts w:ascii="Arial" w:cs="Arial" w:eastAsia="Arial" w:hAnsi="Arial"/>
          <w:sz w:val="16"/>
          <w:szCs w:val="16"/>
          <w:color w:val="auto"/>
        </w:rPr>
        <w:t>. The Plan Administrator shall notify the Claimant in writing of its decision on review (the “Final Determination”) within sixty (60) calendar days after receipt of the timely request for review, unless special circumstances require an extension of up to sixty</w:t>
      </w:r>
    </w:p>
    <w:p>
      <w:pPr>
        <w:ind w:right="720" w:firstLine="8"/>
        <w:spacing w:after="0" w:line="290" w:lineRule="auto"/>
        <w:tabs>
          <w:tab w:leader="none" w:pos="34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additional calendar days, in which case the Claimant will receive, before the end of the initial sixty (60) day review period, written notice of the extension, the special circumstances requiring the extension and the date by which the Plan Administrator expects to render its decision. .</w:t>
      </w:r>
    </w:p>
    <w:p>
      <w:pPr>
        <w:spacing w:after="0" w:line="161" w:lineRule="exact"/>
        <w:rPr>
          <w:rFonts w:ascii="Arial" w:cs="Arial" w:eastAsia="Arial" w:hAnsi="Arial"/>
          <w:sz w:val="17"/>
          <w:szCs w:val="17"/>
          <w:color w:val="auto"/>
        </w:rPr>
      </w:pPr>
    </w:p>
    <w:p>
      <w:pPr>
        <w:ind w:left="2340" w:hanging="387"/>
        <w:spacing w:after="0"/>
        <w:tabs>
          <w:tab w:leader="none" w:pos="2340" w:val="left"/>
        </w:tabs>
        <w:numPr>
          <w:ilvl w:val="3"/>
          <w:numId w:val="33"/>
        </w:numPr>
        <w:rPr>
          <w:rFonts w:ascii="Arial" w:cs="Arial" w:eastAsia="Arial" w:hAnsi="Arial"/>
          <w:sz w:val="17"/>
          <w:szCs w:val="17"/>
          <w:color w:val="auto"/>
        </w:rPr>
      </w:pPr>
      <w:r>
        <w:rPr>
          <w:rFonts w:ascii="Arial" w:cs="Arial" w:eastAsia="Arial" w:hAnsi="Arial"/>
          <w:sz w:val="17"/>
          <w:szCs w:val="17"/>
          <w:u w:val="single" w:color="auto"/>
          <w:color w:val="auto"/>
        </w:rPr>
        <w:t>Notice of Final Determination</w:t>
      </w:r>
      <w:r>
        <w:rPr>
          <w:rFonts w:ascii="Arial" w:cs="Arial" w:eastAsia="Arial" w:hAnsi="Arial"/>
          <w:sz w:val="17"/>
          <w:szCs w:val="17"/>
          <w:color w:val="auto"/>
        </w:rPr>
        <w:t>. If the Final Determination consists of a denial of the Claim, written notice of the Final</w:t>
      </w:r>
    </w:p>
    <w:p>
      <w:pPr>
        <w:spacing w:after="0" w:line="34" w:lineRule="exact"/>
        <w:rPr>
          <w:rFonts w:ascii="Arial" w:cs="Arial" w:eastAsia="Arial" w:hAnsi="Arial"/>
          <w:sz w:val="17"/>
          <w:szCs w:val="17"/>
          <w:color w:val="auto"/>
        </w:rPr>
      </w:pPr>
    </w:p>
    <w:p>
      <w:pPr>
        <w:ind w:right="60"/>
        <w:spacing w:after="0" w:line="254" w:lineRule="auto"/>
        <w:rPr>
          <w:rFonts w:ascii="Arial" w:cs="Arial" w:eastAsia="Arial" w:hAnsi="Arial"/>
          <w:sz w:val="17"/>
          <w:szCs w:val="17"/>
          <w:color w:val="auto"/>
        </w:rPr>
      </w:pPr>
      <w:r>
        <w:rPr>
          <w:rFonts w:ascii="Arial" w:cs="Arial" w:eastAsia="Arial" w:hAnsi="Arial"/>
          <w:sz w:val="18"/>
          <w:szCs w:val="18"/>
          <w:color w:val="auto"/>
        </w:rPr>
        <w:t>Determination will include: (1) the specific reason(s) for the denial, (2) references to the specific provision(s) in the Agreement on which the denial was based, (3) a statement that the Claimant will be provided, upon request and free of charge, reasonable access to, and copies of, all documents and other information relevant to the Claim, and (4) a statement regarding the Claimant’s right to bring a civil action under Section 502(a) of ERISA with respect to the denied Claim.</w:t>
      </w:r>
    </w:p>
    <w:p>
      <w:pPr>
        <w:spacing w:after="0" w:line="189" w:lineRule="exact"/>
        <w:rPr>
          <w:rFonts w:ascii="Arial" w:cs="Arial" w:eastAsia="Arial" w:hAnsi="Arial"/>
          <w:sz w:val="17"/>
          <w:szCs w:val="17"/>
          <w:color w:val="auto"/>
        </w:rPr>
      </w:pPr>
    </w:p>
    <w:p>
      <w:pPr>
        <w:ind w:firstLine="1305"/>
        <w:spacing w:after="0" w:line="273" w:lineRule="auto"/>
        <w:tabs>
          <w:tab w:leader="none" w:pos="1676" w:val="left"/>
        </w:tabs>
        <w:numPr>
          <w:ilvl w:val="2"/>
          <w:numId w:val="33"/>
        </w:numPr>
        <w:rPr>
          <w:rFonts w:ascii="Arial" w:cs="Arial" w:eastAsia="Arial" w:hAnsi="Arial"/>
          <w:sz w:val="17"/>
          <w:szCs w:val="17"/>
          <w:color w:val="auto"/>
        </w:rPr>
      </w:pPr>
      <w:r>
        <w:rPr>
          <w:rFonts w:ascii="Arial" w:cs="Arial" w:eastAsia="Arial" w:hAnsi="Arial"/>
          <w:sz w:val="17"/>
          <w:szCs w:val="17"/>
          <w:u w:val="single" w:color="auto"/>
          <w:color w:val="auto"/>
        </w:rPr>
        <w:t>Exhaustion of Claim and Review Procedure Required and Right to Bring Action</w:t>
      </w:r>
      <w:r>
        <w:rPr>
          <w:rFonts w:ascii="Arial" w:cs="Arial" w:eastAsia="Arial" w:hAnsi="Arial"/>
          <w:sz w:val="17"/>
          <w:szCs w:val="17"/>
          <w:color w:val="auto"/>
        </w:rPr>
        <w:t>. Notwithstanding any contrary provision in this Agreement, no action in law or equity (an “Action”) may be brought with respect to any Claim unless and until the Plan’s claim and review procedure set forth in Sections 17(a) and (b) above (the “Claims Procedure”) has been exhausted. However, in no event may any such Action be brought more than one (1) year after the Plan Administrator’s Final Determination on the Claim, regardless of any state or federal statutes establishing provisions relating to limitations on actions. All determinations made in good faith by the Plan Administrator and its authorized delegates in connection with their review of any Claim shall, in any Action brought with respect to such Claim, be afforded the maximum possible deference permitted by law.</w:t>
      </w:r>
    </w:p>
    <w:p>
      <w:pPr>
        <w:spacing w:after="0" w:line="178" w:lineRule="exact"/>
        <w:rPr>
          <w:rFonts w:ascii="Arial" w:cs="Arial" w:eastAsia="Arial" w:hAnsi="Arial"/>
          <w:sz w:val="17"/>
          <w:szCs w:val="17"/>
          <w:color w:val="auto"/>
        </w:rPr>
      </w:pPr>
    </w:p>
    <w:p>
      <w:pPr>
        <w:ind w:right="240" w:firstLine="656"/>
        <w:spacing w:after="0" w:line="277" w:lineRule="auto"/>
        <w:tabs>
          <w:tab w:leader="none" w:pos="1053"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altered, or modified, except by a written instrument signed by the parties hereto, or their respective successors or permitted assigns, and may not be otherwise terminated except as provided herein.</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60" w:firstLine="1305"/>
        <w:spacing w:after="0" w:line="277" w:lineRule="auto"/>
        <w:tabs>
          <w:tab w:leader="none" w:pos="1676" w:val="left"/>
        </w:tabs>
        <w:numPr>
          <w:ilvl w:val="2"/>
          <w:numId w:val="34"/>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Company and its successors and assigns, and upon the Executive, the Executive’s successors, permitted assigns, heirs, executors, administrators and Beneficiaries.</w:t>
      </w:r>
    </w:p>
    <w:p>
      <w:pPr>
        <w:spacing w:after="0" w:line="170" w:lineRule="exact"/>
        <w:rPr>
          <w:rFonts w:ascii="Arial" w:cs="Arial" w:eastAsia="Arial" w:hAnsi="Arial"/>
          <w:sz w:val="18"/>
          <w:szCs w:val="18"/>
          <w:color w:val="auto"/>
        </w:rPr>
      </w:pPr>
    </w:p>
    <w:p>
      <w:pPr>
        <w:ind w:right="120" w:firstLine="1305"/>
        <w:spacing w:after="0" w:line="276" w:lineRule="auto"/>
        <w:tabs>
          <w:tab w:leader="none" w:pos="1686" w:val="left"/>
        </w:tabs>
        <w:numPr>
          <w:ilvl w:val="2"/>
          <w:numId w:val="34"/>
        </w:numPr>
        <w:rPr>
          <w:rFonts w:ascii="Arial" w:cs="Arial" w:eastAsia="Arial" w:hAnsi="Arial"/>
          <w:sz w:val="17"/>
          <w:szCs w:val="17"/>
          <w:color w:val="auto"/>
        </w:rPr>
      </w:pPr>
      <w:r>
        <w:rPr>
          <w:rFonts w:ascii="Arial" w:cs="Arial" w:eastAsia="Arial" w:hAnsi="Arial"/>
          <w:sz w:val="17"/>
          <w:szCs w:val="17"/>
          <w:u w:val="single" w:color="auto"/>
          <w:color w:val="auto"/>
        </w:rPr>
        <w:t>No Guarantee of Employment</w:t>
      </w:r>
      <w:r>
        <w:rPr>
          <w:rFonts w:ascii="Arial" w:cs="Arial" w:eastAsia="Arial" w:hAnsi="Arial"/>
          <w:sz w:val="17"/>
          <w:szCs w:val="17"/>
          <w:color w:val="auto"/>
        </w:rPr>
        <w:t>. This Agreement is not an employment policy or contract. It does not give the Executive the right to remain an employee of the Company nor its affiliates, nor does it interfere with the Company’s or any affiliate’s right to discharge the Executive. It also does not require the Executive to remain employed nor interfere with the Executive’s right to terminate employment at any time. Any benefits payable under this Agreement shall be independent of, and in addition to, any other employment agreement that may exist from time to time between the parties hereto, or any other compensation that may be payable to the Executive, whether as salary, bonus or otherwise.</w:t>
      </w:r>
    </w:p>
    <w:p>
      <w:pPr>
        <w:spacing w:after="0" w:line="172" w:lineRule="exact"/>
        <w:rPr>
          <w:rFonts w:ascii="Arial" w:cs="Arial" w:eastAsia="Arial" w:hAnsi="Arial"/>
          <w:sz w:val="17"/>
          <w:szCs w:val="17"/>
          <w:color w:val="auto"/>
        </w:rPr>
      </w:pPr>
    </w:p>
    <w:p>
      <w:pPr>
        <w:ind w:right="180" w:firstLine="1305"/>
        <w:spacing w:after="0" w:line="259" w:lineRule="auto"/>
        <w:tabs>
          <w:tab w:leader="none" w:pos="1676" w:val="left"/>
        </w:tabs>
        <w:numPr>
          <w:ilvl w:val="2"/>
          <w:numId w:val="3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consent or demand required or permitted to be given under the provisions of this Agreement shall be in writing, and shall be signed by the party giving or making the same. If such notice, consent or demand is mailed to a party hereto, it shall be sent by United States certified mail, postage prepaid, addressed to such party’s last known address as shown on the records of the Company. The date of such mailing shall be deemed the date of notice, consent or demand.</w:t>
      </w:r>
    </w:p>
    <w:p>
      <w:pPr>
        <w:spacing w:after="0" w:line="186" w:lineRule="exact"/>
        <w:rPr>
          <w:rFonts w:ascii="Arial" w:cs="Arial" w:eastAsia="Arial" w:hAnsi="Arial"/>
          <w:sz w:val="18"/>
          <w:szCs w:val="18"/>
          <w:color w:val="auto"/>
        </w:rPr>
      </w:pPr>
    </w:p>
    <w:p>
      <w:pPr>
        <w:ind w:right="140" w:firstLine="1305"/>
        <w:spacing w:after="0" w:line="308" w:lineRule="auto"/>
        <w:tabs>
          <w:tab w:leader="none" w:pos="1686" w:val="left"/>
        </w:tabs>
        <w:numPr>
          <w:ilvl w:val="2"/>
          <w:numId w:val="34"/>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and the rights of the parties hereunder, shall be governed by and construed according to the laws of the State of California, except to the extent preempted by the laws of the United States of America, including, but not limited to, ERISA.</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64" w:name="page65"/>
    <w:bookmarkEnd w:id="64"/>
    <w:p>
      <w:pPr>
        <w:ind w:left="-100" w:firstLine="1305"/>
        <w:spacing w:after="0" w:line="264" w:lineRule="auto"/>
        <w:tabs>
          <w:tab w:leader="none" w:pos="157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The benefits of this Agreement shall not inure to any third party. This Agreement shall not be construed as creating any rights, claims, or cause of action against the Company or any of its officers, directors, agents, or employees in favor of any person or entity other than the Executive.</w:t>
      </w:r>
    </w:p>
    <w:p>
      <w:pPr>
        <w:spacing w:after="0" w:line="181" w:lineRule="exact"/>
        <w:rPr>
          <w:rFonts w:ascii="Arial" w:cs="Arial" w:eastAsia="Arial" w:hAnsi="Arial"/>
          <w:sz w:val="18"/>
          <w:szCs w:val="18"/>
          <w:color w:val="auto"/>
        </w:rPr>
      </w:pPr>
    </w:p>
    <w:p>
      <w:pPr>
        <w:jc w:val="both"/>
        <w:ind w:left="-100" w:right="60" w:firstLine="1305"/>
        <w:spacing w:after="0" w:line="264" w:lineRule="auto"/>
        <w:tabs>
          <w:tab w:leader="none" w:pos="155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hereof is declared invalid, illegal, or unenforceable in any jurisdiction, the validity, legality, and enforceability of the remaining provisions shall not in any way be affected or impaired, and that invalidity, illegality, or unenforceability in one jurisdiction shall not affect the validity, legality, or enforceability of the remaining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36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execute this Agreement as of the date first written above.</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EXECUTIVE:</w:t>
            </w:r>
          </w:p>
        </w:tc>
        <w:tc>
          <w:tcPr>
            <w:tcW w:w="4440" w:type="dxa"/>
            <w:vAlign w:val="bottom"/>
            <w:gridSpan w:val="3"/>
          </w:tcPr>
          <w:p>
            <w:pPr>
              <w:ind w:left="2040"/>
              <w:spacing w:after="0"/>
              <w:rPr>
                <w:sz w:val="20"/>
                <w:szCs w:val="20"/>
                <w:color w:val="auto"/>
              </w:rPr>
            </w:pPr>
            <w:r>
              <w:rPr>
                <w:rFonts w:ascii="Arial" w:cs="Arial" w:eastAsia="Arial" w:hAnsi="Arial"/>
                <w:sz w:val="18"/>
                <w:szCs w:val="18"/>
                <w:b w:val="1"/>
                <w:bCs w:val="1"/>
                <w:color w:val="auto"/>
              </w:rPr>
              <w:t>FLUIDIGM CORPORATION:</w:t>
            </w: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By: /s/ Stephen Christopher Linthwaite</w:t>
            </w:r>
          </w:p>
        </w:tc>
        <w:tc>
          <w:tcPr>
            <w:tcW w:w="4440" w:type="dxa"/>
            <w:vAlign w:val="bottom"/>
            <w:gridSpan w:val="3"/>
          </w:tcPr>
          <w:p>
            <w:pPr>
              <w:ind w:left="2040"/>
              <w:spacing w:after="0"/>
              <w:rPr>
                <w:sz w:val="20"/>
                <w:szCs w:val="20"/>
                <w:color w:val="auto"/>
              </w:rPr>
            </w:pPr>
            <w:r>
              <w:rPr>
                <w:rFonts w:ascii="Arial" w:cs="Arial" w:eastAsia="Arial" w:hAnsi="Arial"/>
                <w:sz w:val="18"/>
                <w:szCs w:val="18"/>
                <w:color w:val="auto"/>
              </w:rPr>
              <w:t>By: /s/ Nicholas Khadder</w:t>
            </w:r>
          </w:p>
        </w:tc>
      </w:tr>
      <w:tr>
        <w:trPr>
          <w:trHeight w:val="20"/>
        </w:trPr>
        <w:tc>
          <w:tcPr>
            <w:tcW w:w="30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w w:val="98"/>
              </w:rPr>
              <w:t>Stephen Christopher Linthwaite</w:t>
            </w:r>
          </w:p>
        </w:tc>
        <w:tc>
          <w:tcPr>
            <w:tcW w:w="1400" w:type="dxa"/>
            <w:vAlign w:val="bottom"/>
          </w:tcPr>
          <w:p>
            <w:pPr>
              <w:spacing w:after="0"/>
              <w:rPr>
                <w:sz w:val="24"/>
                <w:szCs w:val="24"/>
                <w:color w:val="auto"/>
              </w:rPr>
            </w:pPr>
          </w:p>
        </w:tc>
        <w:tc>
          <w:tcPr>
            <w:tcW w:w="4440" w:type="dxa"/>
            <w:vAlign w:val="bottom"/>
            <w:gridSpan w:val="3"/>
          </w:tcPr>
          <w:p>
            <w:pPr>
              <w:ind w:left="2040"/>
              <w:spacing w:after="0"/>
              <w:rPr>
                <w:sz w:val="20"/>
                <w:szCs w:val="20"/>
                <w:color w:val="auto"/>
              </w:rPr>
            </w:pPr>
            <w:r>
              <w:rPr>
                <w:rFonts w:ascii="Arial" w:cs="Arial" w:eastAsia="Arial" w:hAnsi="Arial"/>
                <w:sz w:val="18"/>
                <w:szCs w:val="18"/>
                <w:color w:val="auto"/>
              </w:rPr>
              <w:t>Title: General Counsel</w:t>
            </w:r>
          </w:p>
        </w:tc>
      </w:tr>
      <w:tr>
        <w:trPr>
          <w:trHeight w:val="702"/>
        </w:trPr>
        <w:tc>
          <w:tcPr>
            <w:tcW w:w="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40" w:type="dxa"/>
            <w:vAlign w:val="bottom"/>
          </w:tcPr>
          <w:p>
            <w:pPr>
              <w:jc w:val="right"/>
              <w:ind w:right="750"/>
              <w:spacing w:after="0"/>
              <w:rPr>
                <w:sz w:val="20"/>
                <w:szCs w:val="20"/>
                <w:color w:val="auto"/>
              </w:rPr>
            </w:pPr>
            <w:r>
              <w:rPr>
                <w:rFonts w:ascii="Arial" w:cs="Arial" w:eastAsia="Arial" w:hAnsi="Arial"/>
                <w:sz w:val="18"/>
                <w:szCs w:val="18"/>
                <w:color w:val="auto"/>
              </w:rPr>
              <w:t>7</w:t>
            </w: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19"/>
          </w:cols>
          <w:pgMar w:left="240" w:top="364" w:right="1440" w:bottom="1440" w:gutter="0" w:footer="0" w:header="0"/>
        </w:sectPr>
      </w:pPr>
    </w:p>
    <w:bookmarkStart w:id="66" w:name="page67"/>
    <w:bookmarkEnd w:id="66"/>
    <w:p>
      <w:pPr>
        <w:jc w:val="center"/>
        <w:ind w:right="-3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life insurance Policy is subject to the attached Endorsement Split-Dollar Life Insurance Agreement between Fluidigm Corporation and the Executive: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Insurer: Ohio National Financial Services, Inc.</w:t>
      </w:r>
    </w:p>
    <w:p>
      <w:pPr>
        <w:spacing w:after="0" w:line="225"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8"/>
          <w:szCs w:val="18"/>
          <w:color w:val="auto"/>
        </w:rPr>
        <w:t>Executive:</w:t>
      </w:r>
      <w:r>
        <w:rPr>
          <w:sz w:val="20"/>
          <w:szCs w:val="20"/>
          <w:color w:val="auto"/>
        </w:rPr>
        <w:tab/>
      </w:r>
      <w:r>
        <w:rPr>
          <w:rFonts w:ascii="Arial" w:cs="Arial" w:eastAsia="Arial" w:hAnsi="Arial"/>
          <w:sz w:val="16"/>
          <w:szCs w:val="16"/>
          <w:color w:val="auto"/>
        </w:rPr>
        <w:t>Stephen Christopher Linthwaite</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Policy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240" w:top="364" w:right="5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SPLIT-DOLLAR LIFE INSURANCE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BENEFICIARY DESIGNATION FORM</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Executive:</w:t>
      </w:r>
      <w:r>
        <w:rPr>
          <w:sz w:val="20"/>
          <w:szCs w:val="20"/>
          <w:color w:val="auto"/>
        </w:rPr>
        <w:tab/>
      </w:r>
      <w:r>
        <w:rPr>
          <w:rFonts w:ascii="Arial" w:cs="Arial" w:eastAsia="Arial" w:hAnsi="Arial"/>
          <w:sz w:val="16"/>
          <w:szCs w:val="16"/>
          <w:color w:val="auto"/>
        </w:rPr>
        <w:t>Stephen Christopher Linthwaite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Primary Beneficiary </w:t>
      </w:r>
      <w:r>
        <w:rPr>
          <w:rFonts w:ascii="Arial" w:cs="Arial" w:eastAsia="Arial" w:hAnsi="Arial"/>
          <w:sz w:val="18"/>
          <w:szCs w:val="18"/>
          <w:color w:val="auto"/>
        </w:rPr>
        <w:t>means the person(s) or trust(s) who, in accordance with the Agreement, will receive the Executive’s share of any death benefit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the Executive’s death. Such benefit will be divided in equal shares if multiple Beneficiaries are named, unless otherwise indicated. If percentages are listed, the total must equal 100%.</w:t>
      </w:r>
    </w:p>
    <w:p>
      <w:pPr>
        <w:spacing w:after="0" w:line="17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Contingent Beneficiary </w:t>
      </w:r>
      <w:r>
        <w:rPr>
          <w:rFonts w:ascii="Arial" w:cs="Arial" w:eastAsia="Arial" w:hAnsi="Arial"/>
          <w:sz w:val="18"/>
          <w:szCs w:val="18"/>
          <w:color w:val="auto"/>
        </w:rPr>
        <w:t>means the person(s) or trust(s) who, in accordance with the Agreement, will receive the Executive’s share of any death benefit if the</w:t>
      </w:r>
      <w:r>
        <w:rPr>
          <w:rFonts w:ascii="Arial" w:cs="Arial" w:eastAsia="Arial" w:hAnsi="Arial"/>
          <w:sz w:val="18"/>
          <w:szCs w:val="18"/>
          <w:b w:val="1"/>
          <w:bCs w:val="1"/>
          <w:color w:val="auto"/>
        </w:rPr>
        <w:t xml:space="preserve"> </w:t>
      </w:r>
      <w:r>
        <w:rPr>
          <w:rFonts w:ascii="Arial" w:cs="Arial" w:eastAsia="Arial" w:hAnsi="Arial"/>
          <w:sz w:val="18"/>
          <w:szCs w:val="18"/>
          <w:color w:val="auto"/>
        </w:rPr>
        <w:t>primary Beneficiary(ies) is/are not living at the time of the Executive’s death.</w:t>
      </w:r>
    </w:p>
    <w:p>
      <w:pPr>
        <w:spacing w:after="0" w:line="162"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Trust as Designated Beneficiary </w:t>
      </w:r>
      <w:r>
        <w:rPr>
          <w:rFonts w:ascii="Arial" w:cs="Arial" w:eastAsia="Arial" w:hAnsi="Arial"/>
          <w:sz w:val="18"/>
          <w:szCs w:val="18"/>
          <w:color w:val="auto"/>
        </w:rPr>
        <w:t>can be done using the following written statement: “To [name of trustee], trustee of the [name of trust], under a trust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[date of trust].”</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2860" w:val="left"/>
          <w:tab w:leader="none" w:pos="5160" w:val="left"/>
          <w:tab w:leader="none" w:pos="7440" w:val="left"/>
          <w:tab w:leader="none" w:pos="9480" w:val="left"/>
        </w:tabs>
        <w:rPr>
          <w:sz w:val="20"/>
          <w:szCs w:val="20"/>
          <w:color w:val="auto"/>
        </w:rPr>
      </w:pPr>
      <w:r>
        <w:rPr>
          <w:rFonts w:ascii="Arial" w:cs="Arial" w:eastAsia="Arial" w:hAnsi="Arial"/>
          <w:sz w:val="18"/>
          <w:szCs w:val="18"/>
          <w:b w:val="1"/>
          <w:bCs w:val="1"/>
          <w:color w:val="auto"/>
        </w:rPr>
        <w:t>Primary Beneficiary</w:t>
      </w:r>
      <w:r>
        <w:rPr>
          <w:sz w:val="20"/>
          <w:szCs w:val="20"/>
          <w:color w:val="auto"/>
        </w:rPr>
        <w:tab/>
      </w:r>
      <w:r>
        <w:rPr>
          <w:rFonts w:ascii="Arial" w:cs="Arial" w:eastAsia="Arial" w:hAnsi="Arial"/>
          <w:sz w:val="18"/>
          <w:szCs w:val="18"/>
          <w:b w:val="1"/>
          <w:bCs w:val="1"/>
          <w:color w:val="auto"/>
        </w:rPr>
        <w:t>Date of Birth</w:t>
      </w:r>
      <w:r>
        <w:rPr>
          <w:sz w:val="20"/>
          <w:szCs w:val="20"/>
          <w:color w:val="auto"/>
        </w:rPr>
        <w:tab/>
      </w:r>
      <w:r>
        <w:rPr>
          <w:rFonts w:ascii="Arial" w:cs="Arial" w:eastAsia="Arial" w:hAnsi="Arial"/>
          <w:sz w:val="18"/>
          <w:szCs w:val="18"/>
          <w:b w:val="1"/>
          <w:bCs w:val="1"/>
          <w:color w:val="auto"/>
        </w:rPr>
        <w:t>Social Security #</w:t>
      </w:r>
      <w:r>
        <w:rPr>
          <w:sz w:val="20"/>
          <w:szCs w:val="20"/>
          <w:color w:val="auto"/>
        </w:rPr>
        <w:tab/>
      </w: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6"/>
          <w:szCs w:val="16"/>
          <w:b w:val="1"/>
          <w:bCs w:val="1"/>
          <w:color w:val="auto"/>
        </w:rPr>
        <w:t>% of Share</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420370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2860" w:val="left"/>
          <w:tab w:leader="none" w:pos="5160" w:val="left"/>
          <w:tab w:leader="none" w:pos="7440" w:val="left"/>
          <w:tab w:leader="none" w:pos="9480" w:val="left"/>
        </w:tabs>
        <w:rPr>
          <w:sz w:val="20"/>
          <w:szCs w:val="20"/>
          <w:color w:val="auto"/>
        </w:rPr>
      </w:pPr>
      <w:r>
        <w:rPr>
          <w:rFonts w:ascii="Arial" w:cs="Arial" w:eastAsia="Arial" w:hAnsi="Arial"/>
          <w:sz w:val="18"/>
          <w:szCs w:val="18"/>
          <w:b w:val="1"/>
          <w:bCs w:val="1"/>
          <w:color w:val="auto"/>
        </w:rPr>
        <w:t>Contingent Beneficiary</w:t>
      </w:r>
      <w:r>
        <w:rPr>
          <w:sz w:val="20"/>
          <w:szCs w:val="20"/>
          <w:color w:val="auto"/>
        </w:rPr>
        <w:tab/>
      </w:r>
      <w:r>
        <w:rPr>
          <w:rFonts w:ascii="Arial" w:cs="Arial" w:eastAsia="Arial" w:hAnsi="Arial"/>
          <w:sz w:val="18"/>
          <w:szCs w:val="18"/>
          <w:b w:val="1"/>
          <w:bCs w:val="1"/>
          <w:color w:val="auto"/>
        </w:rPr>
        <w:t>Date of Birth</w:t>
      </w:r>
      <w:r>
        <w:rPr>
          <w:sz w:val="20"/>
          <w:szCs w:val="20"/>
          <w:color w:val="auto"/>
        </w:rPr>
        <w:tab/>
      </w:r>
      <w:r>
        <w:rPr>
          <w:rFonts w:ascii="Arial" w:cs="Arial" w:eastAsia="Arial" w:hAnsi="Arial"/>
          <w:sz w:val="18"/>
          <w:szCs w:val="18"/>
          <w:b w:val="1"/>
          <w:bCs w:val="1"/>
          <w:color w:val="auto"/>
        </w:rPr>
        <w:t>Social Security #</w:t>
      </w:r>
      <w:r>
        <w:rPr>
          <w:sz w:val="20"/>
          <w:szCs w:val="20"/>
          <w:color w:val="auto"/>
        </w:rPr>
        <w:tab/>
      </w: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6"/>
          <w:szCs w:val="16"/>
          <w:b w:val="1"/>
          <w:bCs w:val="1"/>
          <w:color w:val="auto"/>
        </w:rPr>
        <w:t>% of Share</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420370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undersigned Executive acknowledges that the Company is providing this death benefit, if any, solely subject to the terms and conditions of the Endorsement Split-Dollar Life Insurance Agreement (the “Agreement”) entered into with the Executive, and only to</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364" w:right="239" w:bottom="1440" w:gutter="0" w:footer="0" w:header="0"/>
        </w:sectPr>
      </w:pPr>
    </w:p>
    <w:bookmarkStart w:id="68" w:name="page69"/>
    <w:bookmarkEnd w:id="68"/>
    <w:p>
      <w:pPr>
        <w:jc w:val="both"/>
        <w:spacing w:after="0" w:line="314" w:lineRule="auto"/>
        <w:rPr>
          <w:sz w:val="20"/>
          <w:szCs w:val="20"/>
          <w:color w:val="auto"/>
        </w:rPr>
      </w:pPr>
      <w:r>
        <w:rPr>
          <w:rFonts w:ascii="Arial" w:cs="Arial" w:eastAsia="Arial" w:hAnsi="Arial"/>
          <w:sz w:val="16"/>
          <w:szCs w:val="16"/>
          <w:b w:val="1"/>
          <w:bCs w:val="1"/>
          <w:color w:val="auto"/>
        </w:rPr>
        <w:t>the extent that the death benefit is actually paid by the Insurer; and the Company also is entitled to a separate benefit under the Policy. The Executive also acknowledges that the Beneficiary designation(s) made pursuant to this Beneficiary Designation Form shall be deemed automatically revoked if he has designated his legal spouse as a primary Beneficiary and his marriage to such spouse is later legally dissolved.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7200" w:val="left"/>
        </w:tabs>
        <w:rPr>
          <w:sz w:val="20"/>
          <w:szCs w:val="20"/>
          <w:color w:val="auto"/>
        </w:rPr>
      </w:pPr>
      <w:r>
        <w:rPr>
          <w:rFonts w:ascii="Arial" w:cs="Arial" w:eastAsia="Arial" w:hAnsi="Arial"/>
          <w:sz w:val="18"/>
          <w:szCs w:val="18"/>
          <w:i w:val="1"/>
          <w:iCs w:val="1"/>
          <w:color w:val="auto"/>
        </w:rPr>
        <w:t>Executive’s Signature</w:t>
      </w:r>
      <w:r>
        <w:rPr>
          <w:sz w:val="20"/>
          <w:szCs w:val="20"/>
          <w:color w:val="auto"/>
        </w:rPr>
        <w:tab/>
      </w:r>
      <w:r>
        <w:rPr>
          <w:rFonts w:ascii="Arial" w:cs="Arial" w:eastAsia="Arial" w:hAnsi="Arial"/>
          <w:sz w:val="16"/>
          <w:szCs w:val="16"/>
          <w:i w:val="1"/>
          <w:iCs w:val="1"/>
          <w:color w:val="auto"/>
        </w:rPr>
        <w:t>Date</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Acknowledged Receipt by the Plan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4133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Plan Administrator</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36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7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Dated: November 7, 2017</w:t>
      </w:r>
    </w:p>
    <w:p>
      <w:pPr>
        <w:spacing w:after="0" w:line="63"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25730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Dated: November 7, 2017</w:t>
      </w:r>
    </w:p>
    <w:p>
      <w:pPr>
        <w:spacing w:after="0" w:line="63"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25730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18 U.S.C. § 1350, AS ADOPTED PURSUANT TO SECTION 906 OF THE SARBANES-OXLEY ACT OF 2002</w:t>
      </w:r>
    </w:p>
    <w:p>
      <w:pPr>
        <w:spacing w:after="0" w:line="126"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 Stephen Christopher Linthwaite, the president and chief executive officer of Fluidigm Corporation (the “Company”), certify for the purposes of 18 U.S.C. Section 1350, as adopted pursuant to Section 906 of the Sarbanes-Oxley Act of 2002, that, to the best of my knowledge,</w:t>
      </w:r>
    </w:p>
    <w:p>
      <w:pPr>
        <w:spacing w:after="0" w:line="11" w:lineRule="exact"/>
        <w:rPr>
          <w:sz w:val="20"/>
          <w:szCs w:val="20"/>
          <w:color w:val="auto"/>
        </w:rPr>
      </w:pPr>
    </w:p>
    <w:p>
      <w:pPr>
        <w:ind w:right="680" w:firstLine="886"/>
        <w:spacing w:after="0" w:line="277" w:lineRule="auto"/>
        <w:tabs>
          <w:tab w:leader="none" w:pos="109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September 30, 2017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7, 2017</w:t>
      </w:r>
    </w:p>
    <w:p>
      <w:pPr>
        <w:sectPr>
          <w:pgSz w:w="11900" w:h="16838" w:orient="portrait"/>
          <w:cols w:equalWidth="0" w:num="1">
            <w:col w:w="11420"/>
          </w:cols>
          <w:pgMar w:left="240" w:top="5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680" w:firstLine="886"/>
        <w:spacing w:after="0" w:line="277" w:lineRule="auto"/>
        <w:tabs>
          <w:tab w:leader="none" w:pos="10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September 30, 2017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7,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2"/>
    </w:lvl>
  </w:abstractNum>
  <w:abstractNum w:abstractNumId="3">
    <w:nsid w:val="333AB105"/>
    <w:multiLevelType w:val="hybridMultilevel"/>
    <w:lvl w:ilvl="0">
      <w:lvlJc w:val="left"/>
      <w:lvlText w:val="%1."/>
      <w:numFmt w:val="decimal"/>
      <w:start w:val="5"/>
    </w:lvl>
  </w:abstractNum>
  <w:abstractNum w:abstractNumId="4">
    <w:nsid w:val="721DA317"/>
    <w:multiLevelType w:val="hybridMultilevel"/>
    <w:lvl w:ilvl="0">
      <w:lvlJc w:val="left"/>
      <w:lvlText w:val="%1."/>
      <w:numFmt w:val="decimal"/>
      <w:start w:val="7"/>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1">
    <w:nsid w:val="1E7FF521"/>
    <w:multiLevelType w:val="hybridMultilevel"/>
    <w:lvl w:ilvl="0">
      <w:lvlJc w:val="left"/>
      <w:lvlText w:val="(%1)"/>
      <w:numFmt w:val="lowerLetter"/>
      <w:start w:val="2"/>
    </w:lvl>
    <w:lvl w:ilvl="1">
      <w:lvlJc w:val="left"/>
      <w:lvlText w:val="%2."/>
      <w:numFmt w:val="decimal"/>
      <w:start w:val="5"/>
    </w:lvl>
    <w:lvl w:ilvl="2">
      <w:lvlJc w:val="left"/>
      <w:lvlText w:val="(%3)"/>
      <w:numFmt w:val="lowerLetter"/>
      <w:start w:val="1"/>
    </w:lvl>
  </w:abstractNum>
  <w:abstractNum w:abstractNumId="22">
    <w:nsid w:val="7C3DBD3D"/>
    <w:multiLevelType w:val="hybridMultilevel"/>
    <w:lvl w:ilvl="0">
      <w:lvlJc w:val="left"/>
      <w:lvlText w:val="(%1)"/>
      <w:numFmt w:val="lowerLetter"/>
      <w:start w:val="2"/>
    </w:lvl>
  </w:abstractNum>
  <w:abstractNum w:abstractNumId="23">
    <w:nsid w:val="737B8D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24">
    <w:nsid w:val="6CEAF087"/>
    <w:multiLevelType w:val="hybridMultilevel"/>
    <w:lvl w:ilvl="0">
      <w:lvlJc w:val="left"/>
      <w:lvlText w:val="%1."/>
      <w:numFmt w:val="decimal"/>
      <w:start w:val="6"/>
    </w:lvl>
    <w:lvl w:ilvl="1">
      <w:lvlJc w:val="left"/>
      <w:lvlText w:val="%2."/>
      <w:numFmt w:val="decimal"/>
      <w:start w:val="6"/>
    </w:lvl>
    <w:lvl w:ilvl="2">
      <w:lvlJc w:val="left"/>
      <w:lvlText w:val="(%3)"/>
      <w:numFmt w:val="lowerLetter"/>
      <w:start w:val="1"/>
    </w:lvl>
  </w:abstractNum>
  <w:abstractNum w:abstractNumId="25">
    <w:nsid w:val="22221A70"/>
    <w:multiLevelType w:val="hybridMultilevel"/>
    <w:lvl w:ilvl="0">
      <w:lvlJc w:val="left"/>
      <w:lvlText w:val="%1."/>
      <w:numFmt w:val="decimal"/>
      <w:start w:val="10"/>
    </w:lvl>
    <w:lvl w:ilvl="1">
      <w:lvlJc w:val="left"/>
      <w:lvlText w:val="(%2)"/>
      <w:numFmt w:val="lowerLetter"/>
      <w:start w:val="1"/>
    </w:lvl>
  </w:abstractNum>
  <w:abstractNum w:abstractNumId="26">
    <w:nsid w:val="4516DD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2"/>
    </w:lvl>
    <w:lvl w:ilvl="4">
      <w:lvlJc w:val="left"/>
      <w:lvlText w:val="%5"/>
      <w:numFmt w:val="lowerRoman"/>
      <w:start w:val="1"/>
    </w:lvl>
  </w:abstractNum>
  <w:abstractNum w:abstractNumId="27">
    <w:nsid w:val="3006C83E"/>
    <w:multiLevelType w:val="hybridMultilevel"/>
    <w:lvl w:ilvl="0">
      <w:lvlJc w:val="left"/>
      <w:lvlText w:val="%1"/>
      <w:numFmt w:val="decimal"/>
      <w:start w:val="1"/>
    </w:lvl>
    <w:lvl w:ilvl="1">
      <w:lvlJc w:val="left"/>
      <w:lvlText w:val="(%2)"/>
      <w:numFmt w:val="lowerLetter"/>
      <w:start w:val="4"/>
    </w:lvl>
    <w:lvl w:ilvl="2">
      <w:lvlJc w:val="left"/>
      <w:lvlText w:val="%3."/>
      <w:numFmt w:val="decimal"/>
      <w:start w:val="16"/>
    </w:lvl>
    <w:lvl w:ilvl="3">
      <w:lvlJc w:val="left"/>
      <w:lvlText w:val="(%4)"/>
      <w:numFmt w:val="lowerLetter"/>
      <w:start w:val="5"/>
    </w:lvl>
    <w:lvl w:ilvl="4">
      <w:lvlJc w:val="left"/>
      <w:lvlText w:val="%5"/>
      <w:numFmt w:val="lowerRoman"/>
      <w:start w:val="1"/>
    </w:lvl>
  </w:abstractNum>
  <w:abstractNum w:abstractNumId="28">
    <w:nsid w:val="614FD4A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Roman"/>
      <w:start w:val="1"/>
    </w:lvl>
  </w:abstractNum>
  <w:abstractNum w:abstractNumId="29">
    <w:nsid w:val="419AC241"/>
    <w:multiLevelType w:val="hybridMultilevel"/>
    <w:lvl w:ilvl="0">
      <w:lvlJc w:val="left"/>
      <w:lvlText w:val="(%1)"/>
      <w:numFmt w:val="decimal"/>
      <w:start w:val="90"/>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Roman"/>
      <w:start w:val="3"/>
    </w:lvl>
  </w:abstractNum>
  <w:abstractNum w:abstractNumId="30">
    <w:nsid w:val="5577F8E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Roman"/>
      <w:start w:val="1"/>
    </w:lvl>
  </w:abstractNum>
  <w:abstractNum w:abstractNumId="31">
    <w:nsid w:val="440BADF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32">
    <w:nsid w:val="5072367"/>
    <w:multiLevelType w:val="hybridMultilevel"/>
    <w:lvl w:ilvl="0">
      <w:lvlJc w:val="left"/>
      <w:lvlText w:val="(%1)"/>
      <w:numFmt w:val="decimal"/>
      <w:start w:val="60"/>
    </w:lvl>
    <w:lvl w:ilvl="1">
      <w:lvlJc w:val="left"/>
      <w:lvlText w:val="%2."/>
      <w:numFmt w:val="decimal"/>
      <w:start w:val="17"/>
    </w:lvl>
    <w:lvl w:ilvl="2">
      <w:lvlJc w:val="left"/>
      <w:lvlText w:val="(%3)"/>
      <w:numFmt w:val="lowerLetter"/>
      <w:start w:val="2"/>
    </w:lvl>
    <w:lvl w:ilvl="3">
      <w:lvlJc w:val="left"/>
      <w:lvlText w:val="(%4)"/>
      <w:numFmt w:val="lowerRoman"/>
      <w:start w:val="5"/>
    </w:lvl>
  </w:abstractNum>
  <w:abstractNum w:abstractNumId="33">
    <w:nsid w:val="3804823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4">
    <w:nsid w:val="77465F01"/>
    <w:multiLevelType w:val="hybridMultilevel"/>
    <w:lvl w:ilvl="0">
      <w:lvlJc w:val="left"/>
      <w:lvlText w:val="(%1)"/>
      <w:numFmt w:val="lowerLetter"/>
      <w:start w:val="5"/>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15" Type="http://schemas.openxmlformats.org/officeDocument/2006/relationships/hyperlink" Target="http://www.sec.gov/Archives/edgar/data/1162194/000157104917007212/t1702281x2_ex1-1.htm" TargetMode="External"/><Relationship Id="rId16" Type="http://schemas.openxmlformats.org/officeDocument/2006/relationships/hyperlink" Target="http://www.sec.gov/Archives/edgar/data/1162194/000119312511078412/dex31.htm" TargetMode="External"/><Relationship Id="rId17" Type="http://schemas.openxmlformats.org/officeDocument/2006/relationships/hyperlink" Target="http://www.sec.gov/Archives/edgar/data/1162194/000119312516774501/d294669dex31.htm" TargetMode="External"/><Relationship Id="rId18" Type="http://schemas.openxmlformats.org/officeDocument/2006/relationships/hyperlink" Target="http://www.sec.gov/Archives/edgar/data/1162194/000114420417039703/v471897_ex3-1.htm" TargetMode="External"/><Relationship Id="rId19" Type="http://schemas.openxmlformats.org/officeDocument/2006/relationships/hyperlink" Target="http://www.sec.gov/Archives/edgar/data/1162194/000157104917007218/t1702250_ex4-1.htm" TargetMode="External"/><Relationship Id="rId20" Type="http://schemas.openxmlformats.org/officeDocument/2006/relationships/hyperlink" Target="http://www.sec.gov/Archives/edgar/data/1162194/000114420417039703/v471897_ex10-1.htm" TargetMode="External"/><Relationship Id="rId21" Type="http://schemas.openxmlformats.org/officeDocument/2006/relationships/hyperlink" Target="http://www.sec.gov/Archives/edgar/data/1162194/000114420417039703/v471897_ex10-2.htm" TargetMode="External"/><Relationship Id="rId22" Type="http://schemas.openxmlformats.org/officeDocument/2006/relationships/hyperlink" Target="http://www.sec.gov/Archives/edgar/data/1162194/000157104917007217/t1702281_ex10-1.htm" TargetMode="External"/><Relationship Id="rId23" Type="http://schemas.openxmlformats.org/officeDocument/2006/relationships/hyperlink" Target="http://www.sec.gov/Archives/edgar/data/1162194/000117184317005215/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2019-12-29T02:40:40Z</dcterms:created>
  <dcterms:modified xsi:type="dcterms:W3CDTF">2019-12-29T02:40:40Z</dcterms:modified>
</cp:coreProperties>
</file>