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21"/>
          <w:szCs w:val="21"/>
          <w:b w:val="1"/>
          <w:bCs w:val="1"/>
          <w:color w:val="auto"/>
        </w:rPr>
        <w:t>ANNUAL REPORT PURSUANT TO SECTION 13 OR 15(d) OF THE SECURITIES EXCHANGE ACT OF 1934</w:t>
      </w:r>
    </w:p>
    <w:p>
      <w:pPr>
        <w:spacing w:after="0" w:line="25"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2015</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Or</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3700" w:type="dxa"/>
            <w:vAlign w:val="bottom"/>
            <w:gridSpan w:val="3"/>
          </w:tcPr>
          <w:p>
            <w:pPr>
              <w:ind w:left="440"/>
              <w:spacing w:after="0"/>
              <w:rPr>
                <w:sz w:val="20"/>
                <w:szCs w:val="20"/>
                <w:color w:val="auto"/>
              </w:rPr>
            </w:pPr>
            <w:r>
              <w:rPr>
                <w:rFonts w:ascii="Arial" w:cs="Arial" w:eastAsia="Arial" w:hAnsi="Arial"/>
                <w:sz w:val="22"/>
                <w:szCs w:val="22"/>
                <w:b w:val="1"/>
                <w:bCs w:val="1"/>
                <w:color w:val="auto"/>
              </w:rPr>
              <w:t>For the transition period from</w:t>
            </w:r>
          </w:p>
        </w:tc>
        <w:tc>
          <w:tcPr>
            <w:tcW w:w="3720" w:type="dxa"/>
            <w:vAlign w:val="bottom"/>
          </w:tcPr>
          <w:p>
            <w:pPr>
              <w:ind w:left="180"/>
              <w:spacing w:after="0"/>
              <w:rPr>
                <w:sz w:val="20"/>
                <w:szCs w:val="20"/>
                <w:color w:val="auto"/>
              </w:rPr>
            </w:pPr>
            <w:r>
              <w:rPr>
                <w:rFonts w:ascii="Arial" w:cs="Arial" w:eastAsia="Arial" w:hAnsi="Arial"/>
                <w:sz w:val="22"/>
                <w:szCs w:val="22"/>
                <w:b w:val="1"/>
                <w:bCs w:val="1"/>
                <w:color w:val="auto"/>
              </w:rPr>
              <w:t>to</w:t>
            </w: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2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720" w:type="dxa"/>
            <w:vAlign w:val="bottom"/>
          </w:tcPr>
          <w:p>
            <w:pPr>
              <w:jc w:val="center"/>
              <w:ind w:left="208"/>
              <w:spacing w:after="0"/>
              <w:rPr>
                <w:sz w:val="20"/>
                <w:szCs w:val="20"/>
                <w:color w:val="auto"/>
              </w:rPr>
            </w:pPr>
            <w:r>
              <w:rPr>
                <w:rFonts w:ascii="Arial" w:cs="Arial" w:eastAsia="Arial" w:hAnsi="Arial"/>
                <w:sz w:val="22"/>
                <w:szCs w:val="22"/>
                <w:b w:val="1"/>
                <w:bCs w:val="1"/>
                <w:color w:val="auto"/>
                <w:w w:val="88"/>
              </w:rPr>
              <w:t>Commission file number: 001-34180</w:t>
            </w:r>
          </w:p>
        </w:tc>
        <w:tc>
          <w:tcPr>
            <w:tcW w:w="26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3"/>
        </w:trPr>
        <w:tc>
          <w:tcPr>
            <w:tcW w:w="2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20" w:type="dxa"/>
            <w:vAlign w:val="bottom"/>
          </w:tcPr>
          <w:p>
            <w:pPr>
              <w:jc w:val="center"/>
              <w:ind w:left="208"/>
              <w:spacing w:after="0"/>
              <w:rPr>
                <w:sz w:val="20"/>
                <w:szCs w:val="20"/>
                <w:color w:val="auto"/>
              </w:rPr>
            </w:pPr>
            <w:r>
              <w:rPr>
                <w:rFonts w:ascii="Arial" w:cs="Arial" w:eastAsia="Arial" w:hAnsi="Arial"/>
                <w:sz w:val="18"/>
                <w:szCs w:val="18"/>
                <w:color w:val="auto"/>
                <w:w w:val="89"/>
              </w:rPr>
              <w:t>______________________________________</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89"/>
        </w:trPr>
        <w:tc>
          <w:tcPr>
            <w:tcW w:w="2100" w:type="dxa"/>
            <w:vAlign w:val="bottom"/>
          </w:tcPr>
          <w:p>
            <w:pPr>
              <w:spacing w:after="0"/>
              <w:rPr>
                <w:sz w:val="24"/>
                <w:szCs w:val="24"/>
                <w:color w:val="auto"/>
              </w:rPr>
            </w:pPr>
          </w:p>
        </w:tc>
        <w:tc>
          <w:tcPr>
            <w:tcW w:w="8900" w:type="dxa"/>
            <w:vAlign w:val="bottom"/>
            <w:gridSpan w:val="5"/>
          </w:tcPr>
          <w:p>
            <w:pPr>
              <w:jc w:val="center"/>
              <w:ind w:right="1660"/>
              <w:spacing w:after="0"/>
              <w:rPr>
                <w:sz w:val="20"/>
                <w:szCs w:val="20"/>
                <w:color w:val="auto"/>
              </w:rPr>
            </w:pPr>
            <w:r>
              <w:rPr>
                <w:rFonts w:ascii="Arial" w:cs="Arial" w:eastAsia="Arial" w:hAnsi="Arial"/>
                <w:sz w:val="40"/>
                <w:szCs w:val="40"/>
                <w:b w:val="1"/>
                <w:bCs w:val="1"/>
                <w:color w:val="auto"/>
              </w:rPr>
              <w:t>FLUIDIGM CORPORATION</w:t>
            </w:r>
          </w:p>
        </w:tc>
      </w:tr>
      <w:tr>
        <w:trPr>
          <w:trHeight w:val="234"/>
        </w:trPr>
        <w:tc>
          <w:tcPr>
            <w:tcW w:w="2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300" w:type="dxa"/>
            <w:vAlign w:val="bottom"/>
            <w:gridSpan w:val="3"/>
          </w:tcPr>
          <w:p>
            <w:pPr>
              <w:jc w:val="center"/>
              <w:ind w:right="328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78"/>
        </w:trPr>
        <w:tc>
          <w:tcPr>
            <w:tcW w:w="2100" w:type="dxa"/>
            <w:vAlign w:val="bottom"/>
          </w:tcPr>
          <w:p>
            <w:pPr>
              <w:spacing w:after="0"/>
              <w:rPr>
                <w:sz w:val="24"/>
                <w:szCs w:val="24"/>
                <w:color w:val="auto"/>
              </w:rPr>
            </w:pPr>
          </w:p>
        </w:tc>
        <w:tc>
          <w:tcPr>
            <w:tcW w:w="16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77-0513190</w:t>
            </w:r>
          </w:p>
        </w:tc>
        <w:tc>
          <w:tcPr>
            <w:tcW w:w="900" w:type="dxa"/>
            <w:vAlign w:val="bottom"/>
          </w:tcPr>
          <w:p>
            <w:pPr>
              <w:spacing w:after="0"/>
              <w:rPr>
                <w:sz w:val="24"/>
                <w:szCs w:val="24"/>
                <w:color w:val="auto"/>
              </w:rPr>
            </w:pPr>
          </w:p>
        </w:tc>
      </w:tr>
      <w:tr>
        <w:trPr>
          <w:trHeight w:val="180"/>
        </w:trPr>
        <w:tc>
          <w:tcPr>
            <w:tcW w:w="3700" w:type="dxa"/>
            <w:vAlign w:val="bottom"/>
            <w:gridSpan w:val="3"/>
          </w:tcPr>
          <w:p>
            <w:pPr>
              <w:jc w:val="center"/>
              <w:ind w:left="1713"/>
              <w:spacing w:after="0"/>
              <w:rPr>
                <w:sz w:val="20"/>
                <w:szCs w:val="20"/>
                <w:color w:val="auto"/>
              </w:rPr>
            </w:pPr>
            <w:r>
              <w:rPr>
                <w:rFonts w:ascii="Arial" w:cs="Arial" w:eastAsia="Arial" w:hAnsi="Arial"/>
                <w:sz w:val="14"/>
                <w:szCs w:val="14"/>
                <w:b w:val="1"/>
                <w:bCs w:val="1"/>
                <w:color w:val="auto"/>
                <w:w w:val="92"/>
              </w:rPr>
              <w:t>(State or other jurisdiction of</w:t>
            </w:r>
          </w:p>
        </w:tc>
        <w:tc>
          <w:tcPr>
            <w:tcW w:w="3720" w:type="dxa"/>
            <w:vAlign w:val="bottom"/>
          </w:tcPr>
          <w:p>
            <w:pPr>
              <w:spacing w:after="0"/>
              <w:rPr>
                <w:sz w:val="15"/>
                <w:szCs w:val="15"/>
                <w:color w:val="auto"/>
              </w:rPr>
            </w:pPr>
          </w:p>
        </w:tc>
        <w:tc>
          <w:tcPr>
            <w:tcW w:w="35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700" w:type="dxa"/>
            <w:vAlign w:val="bottom"/>
            <w:gridSpan w:val="3"/>
          </w:tcPr>
          <w:p>
            <w:pPr>
              <w:jc w:val="center"/>
              <w:ind w:left="1713"/>
              <w:spacing w:after="0"/>
              <w:rPr>
                <w:sz w:val="20"/>
                <w:szCs w:val="20"/>
                <w:color w:val="auto"/>
              </w:rPr>
            </w:pPr>
            <w:r>
              <w:rPr>
                <w:rFonts w:ascii="Arial" w:cs="Arial" w:eastAsia="Arial" w:hAnsi="Arial"/>
                <w:sz w:val="14"/>
                <w:szCs w:val="14"/>
                <w:b w:val="1"/>
                <w:bCs w:val="1"/>
                <w:color w:val="auto"/>
                <w:w w:val="93"/>
              </w:rPr>
              <w:t>incorporation or organization)</w:t>
            </w:r>
          </w:p>
        </w:tc>
        <w:tc>
          <w:tcPr>
            <w:tcW w:w="3720" w:type="dxa"/>
            <w:vAlign w:val="bottom"/>
          </w:tcPr>
          <w:p>
            <w:pPr>
              <w:spacing w:after="0"/>
              <w:rPr>
                <w:sz w:val="16"/>
                <w:szCs w:val="16"/>
                <w:color w:val="auto"/>
              </w:rPr>
            </w:pPr>
          </w:p>
        </w:tc>
        <w:tc>
          <w:tcPr>
            <w:tcW w:w="35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6"/>
              </w:rPr>
              <w:t>Identification Number)</w:t>
            </w:r>
          </w:p>
        </w:tc>
      </w:tr>
      <w:tr>
        <w:trPr>
          <w:trHeight w:val="237"/>
        </w:trPr>
        <w:tc>
          <w:tcPr>
            <w:tcW w:w="2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20" w:type="dxa"/>
            <w:vAlign w:val="bottom"/>
          </w:tcPr>
          <w:p>
            <w:pPr>
              <w:jc w:val="center"/>
              <w:ind w:left="208"/>
              <w:spacing w:after="0"/>
              <w:rPr>
                <w:sz w:val="20"/>
                <w:szCs w:val="20"/>
                <w:color w:val="auto"/>
              </w:rPr>
            </w:pPr>
            <w:r>
              <w:rPr>
                <w:rFonts w:ascii="Arial" w:cs="Arial" w:eastAsia="Arial" w:hAnsi="Arial"/>
                <w:sz w:val="18"/>
                <w:szCs w:val="18"/>
                <w:b w:val="1"/>
                <w:bCs w:val="1"/>
                <w:color w:val="auto"/>
                <w:w w:val="89"/>
              </w:rPr>
              <w:t>7000 Shoreline Court, Suite 100</w:t>
            </w:r>
          </w:p>
        </w:tc>
        <w:tc>
          <w:tcPr>
            <w:tcW w:w="26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2"/>
        </w:trPr>
        <w:tc>
          <w:tcPr>
            <w:tcW w:w="2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20" w:type="dxa"/>
            <w:vAlign w:val="bottom"/>
          </w:tcPr>
          <w:p>
            <w:pPr>
              <w:jc w:val="center"/>
              <w:ind w:left="22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2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2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3"/>
        </w:trPr>
        <w:tc>
          <w:tcPr>
            <w:tcW w:w="2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20" w:type="dxa"/>
            <w:vAlign w:val="bottom"/>
          </w:tcPr>
          <w:p>
            <w:pPr>
              <w:jc w:val="center"/>
              <w:ind w:left="228"/>
              <w:spacing w:after="0"/>
              <w:rPr>
                <w:sz w:val="20"/>
                <w:szCs w:val="20"/>
                <w:color w:val="auto"/>
              </w:rPr>
            </w:pPr>
            <w:r>
              <w:rPr>
                <w:rFonts w:ascii="Arial" w:cs="Arial" w:eastAsia="Arial" w:hAnsi="Arial"/>
                <w:sz w:val="18"/>
                <w:szCs w:val="18"/>
                <w:b w:val="1"/>
                <w:bCs w:val="1"/>
                <w:color w:val="auto"/>
                <w:w w:val="90"/>
              </w:rPr>
              <w:t>(650) 266-6000</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2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300" w:type="dxa"/>
            <w:vAlign w:val="bottom"/>
            <w:gridSpan w:val="3"/>
          </w:tcPr>
          <w:p>
            <w:pPr>
              <w:jc w:val="center"/>
              <w:ind w:right="3280"/>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34"/>
        </w:trPr>
        <w:tc>
          <w:tcPr>
            <w:tcW w:w="2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20" w:type="dxa"/>
            <w:vAlign w:val="bottom"/>
            <w:gridSpan w:val="4"/>
          </w:tcPr>
          <w:p>
            <w:pPr>
              <w:jc w:val="center"/>
              <w:ind w:right="27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97"/>
        </w:trPr>
        <w:tc>
          <w:tcPr>
            <w:tcW w:w="2100" w:type="dxa"/>
            <w:vAlign w:val="bottom"/>
          </w:tcPr>
          <w:p>
            <w:pPr>
              <w:spacing w:after="0"/>
              <w:rPr>
                <w:sz w:val="24"/>
                <w:szCs w:val="24"/>
                <w:color w:val="auto"/>
              </w:rPr>
            </w:pPr>
          </w:p>
        </w:tc>
        <w:tc>
          <w:tcPr>
            <w:tcW w:w="1600" w:type="dxa"/>
            <w:vAlign w:val="bottom"/>
            <w:gridSpan w:val="2"/>
          </w:tcPr>
          <w:p>
            <w:pPr>
              <w:jc w:val="center"/>
              <w:ind w:right="43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2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7420" w:type="dxa"/>
            <w:vAlign w:val="bottom"/>
            <w:gridSpan w:val="4"/>
          </w:tcPr>
          <w:p>
            <w:pPr>
              <w:jc w:val="center"/>
              <w:ind w:right="2028"/>
              <w:spacing w:after="0"/>
              <w:rPr>
                <w:sz w:val="20"/>
                <w:szCs w:val="20"/>
                <w:color w:val="auto"/>
              </w:rPr>
            </w:pPr>
            <w:r>
              <w:rPr>
                <w:rFonts w:ascii="Arial" w:cs="Arial" w:eastAsia="Arial" w:hAnsi="Arial"/>
                <w:sz w:val="18"/>
                <w:szCs w:val="18"/>
                <w:color w:val="auto"/>
                <w:w w:val="89"/>
              </w:rPr>
              <w:t>Common Stock, $0.001 Par Value per Share</w:t>
            </w: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252"/>
        </w:trPr>
        <w:tc>
          <w:tcPr>
            <w:tcW w:w="2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20" w:type="dxa"/>
            <w:vAlign w:val="bottom"/>
            <w:gridSpan w:val="4"/>
          </w:tcPr>
          <w:p>
            <w:pPr>
              <w:jc w:val="center"/>
              <w:ind w:right="274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r>
      <w:tr>
        <w:trPr>
          <w:trHeight w:val="220"/>
        </w:trPr>
        <w:tc>
          <w:tcPr>
            <w:tcW w:w="2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20" w:type="dxa"/>
            <w:vAlign w:val="bottom"/>
          </w:tcPr>
          <w:p>
            <w:pPr>
              <w:jc w:val="center"/>
              <w:ind w:left="228"/>
              <w:spacing w:after="0"/>
              <w:rPr>
                <w:sz w:val="20"/>
                <w:szCs w:val="20"/>
                <w:color w:val="auto"/>
              </w:rPr>
            </w:pPr>
            <w:r>
              <w:rPr>
                <w:rFonts w:ascii="Arial" w:cs="Arial" w:eastAsia="Arial" w:hAnsi="Arial"/>
                <w:sz w:val="18"/>
                <w:szCs w:val="18"/>
                <w:b w:val="1"/>
                <w:bCs w:val="1"/>
                <w:color w:val="auto"/>
                <w:w w:val="88"/>
              </w:rPr>
              <w:t>None</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83"/>
        </w:trPr>
        <w:tc>
          <w:tcPr>
            <w:tcW w:w="2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20" w:type="dxa"/>
            <w:vAlign w:val="bottom"/>
          </w:tcPr>
          <w:p>
            <w:pPr>
              <w:jc w:val="center"/>
              <w:ind w:left="208"/>
              <w:spacing w:after="0" w:line="183" w:lineRule="exact"/>
              <w:rPr>
                <w:sz w:val="20"/>
                <w:szCs w:val="20"/>
                <w:color w:val="auto"/>
              </w:rPr>
            </w:pPr>
            <w:r>
              <w:rPr>
                <w:rFonts w:ascii="Arial" w:cs="Arial" w:eastAsia="Arial" w:hAnsi="Arial"/>
                <w:sz w:val="18"/>
                <w:szCs w:val="18"/>
                <w:color w:val="auto"/>
                <w:w w:val="89"/>
              </w:rPr>
              <w:t>______________________________________</w:t>
            </w:r>
          </w:p>
        </w:tc>
        <w:tc>
          <w:tcPr>
            <w:tcW w:w="2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9"/>
        </w:trPr>
        <w:tc>
          <w:tcPr>
            <w:tcW w:w="11000" w:type="dxa"/>
            <w:vAlign w:val="bottom"/>
            <w:gridSpan w:val="6"/>
          </w:tcPr>
          <w:p>
            <w:pPr>
              <w:ind w:left="340"/>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of 1933, as amended.  Yes </w:t>
            </w:r>
            <w:r>
              <w:rPr>
                <w:rFonts w:ascii="MS PGothic" w:cs="MS PGothic" w:eastAsia="MS PGothic" w:hAnsi="MS PGothic"/>
                <w:sz w:val="18"/>
                <w:szCs w:val="18"/>
                <w:color w:val="auto"/>
                <w:w w:val="91"/>
              </w:rPr>
              <w:t>☐</w:t>
            </w:r>
          </w:p>
        </w:tc>
      </w:tr>
      <w:tr>
        <w:trPr>
          <w:trHeight w:val="230"/>
        </w:trPr>
        <w:tc>
          <w:tcPr>
            <w:tcW w:w="3700" w:type="dxa"/>
            <w:vAlign w:val="bottom"/>
            <w:gridSpan w:val="3"/>
          </w:tcPr>
          <w:p>
            <w:pPr>
              <w:spacing w:after="0"/>
              <w:rPr>
                <w:sz w:val="20"/>
                <w:szCs w:val="20"/>
                <w:color w:val="auto"/>
              </w:rPr>
            </w:pPr>
            <w:r>
              <w:rPr>
                <w:rFonts w:ascii="Arial" w:cs="Arial" w:eastAsia="Arial" w:hAnsi="Arial"/>
                <w:sz w:val="18"/>
                <w:szCs w:val="18"/>
                <w:color w:val="auto"/>
              </w:rPr>
              <w:t>No x</w:t>
            </w:r>
          </w:p>
        </w:tc>
        <w:tc>
          <w:tcPr>
            <w:tcW w:w="37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3" w:lineRule="exact"/>
        <w:rPr>
          <w:sz w:val="24"/>
          <w:szCs w:val="24"/>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as amended.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 w:lineRule="exact"/>
        <w:rPr>
          <w:sz w:val="24"/>
          <w:szCs w:val="24"/>
          <w:color w:val="auto"/>
        </w:rPr>
      </w:pPr>
    </w:p>
    <w:p>
      <w:pPr>
        <w:ind w:right="1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 w:lineRule="exact"/>
        <w:rPr>
          <w:sz w:val="24"/>
          <w:szCs w:val="24"/>
          <w:color w:val="auto"/>
        </w:rPr>
      </w:pPr>
    </w:p>
    <w:p>
      <w:pPr>
        <w:ind w:right="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3" w:lineRule="exact"/>
        <w:rPr>
          <w:sz w:val="24"/>
          <w:szCs w:val="24"/>
          <w:color w:val="auto"/>
        </w:rPr>
      </w:pPr>
    </w:p>
    <w:p>
      <w:pPr>
        <w:jc w:val="both"/>
        <w:ind w:right="60" w:firstLine="324"/>
        <w:spacing w:after="0" w:line="258"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jc w:val="both"/>
        <w:ind w:right="6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120" w:right="259" w:bottom="1152"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2" w:lineRule="exact"/>
        <w:rPr>
          <w:sz w:val="24"/>
          <w:szCs w:val="24"/>
          <w:color w:val="auto"/>
        </w:rPr>
      </w:pPr>
    </w:p>
    <w:p>
      <w:pPr>
        <w:sectPr>
          <w:pgSz w:w="11900" w:h="16838" w:orient="portrait"/>
          <w:cols w:equalWidth="0" w:num="4">
            <w:col w:w="2180" w:space="720"/>
            <w:col w:w="5000" w:space="720"/>
            <w:col w:w="1760" w:space="720"/>
            <w:col w:w="300"/>
          </w:cols>
          <w:pgMar w:left="240" w:top="1120" w:right="259" w:bottom="1152"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89" w:lineRule="exact"/>
        <w:rPr>
          <w:sz w:val="24"/>
          <w:szCs w:val="24"/>
          <w:color w:val="auto"/>
        </w:rPr>
      </w:pPr>
    </w:p>
    <w:p>
      <w:pPr>
        <w:sectPr>
          <w:pgSz w:w="11900" w:h="16838" w:orient="portrait"/>
          <w:cols w:equalWidth="0" w:num="5">
            <w:col w:w="2180" w:space="720"/>
            <w:col w:w="160" w:space="100"/>
            <w:col w:w="4740" w:space="720"/>
            <w:col w:w="1960" w:space="520"/>
            <w:col w:w="300"/>
          </w:cols>
          <w:pgMar w:left="240" w:top="1120" w:right="259" w:bottom="1152" w:gutter="0" w:footer="0" w:header="0"/>
          <w:type w:val="continuous"/>
        </w:sectPr>
      </w:pPr>
    </w:p>
    <w:p>
      <w:pPr>
        <w:spacing w:after="0" w:line="2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x</w:t>
      </w:r>
    </w:p>
    <w:p>
      <w:pPr>
        <w:spacing w:after="0" w:line="43" w:lineRule="exact"/>
        <w:rPr>
          <w:sz w:val="24"/>
          <w:szCs w:val="24"/>
          <w:color w:val="auto"/>
        </w:rPr>
      </w:pPr>
    </w:p>
    <w:p>
      <w:pPr>
        <w:sectPr>
          <w:pgSz w:w="11900" w:h="16838" w:orient="portrait"/>
          <w:cols w:equalWidth="0" w:num="4">
            <w:col w:w="8500" w:space="180"/>
            <w:col w:w="260" w:space="100"/>
            <w:col w:w="160" w:space="180"/>
            <w:col w:w="2020"/>
          </w:cols>
          <w:pgMar w:left="240" w:top="1120" w:right="259" w:bottom="1152" w:gutter="0" w:footer="0" w:header="0"/>
          <w:type w:val="continuous"/>
        </w:sectPr>
      </w:pPr>
    </w:p>
    <w:p>
      <w:pPr>
        <w:ind w:firstLine="324"/>
        <w:spacing w:after="0" w:line="253" w:lineRule="auto"/>
        <w:rPr>
          <w:sz w:val="20"/>
          <w:szCs w:val="20"/>
          <w:color w:val="auto"/>
        </w:rPr>
      </w:pPr>
      <w:r>
        <w:rPr>
          <w:rFonts w:ascii="Arial" w:cs="Arial" w:eastAsia="Arial" w:hAnsi="Arial"/>
          <w:sz w:val="18"/>
          <w:szCs w:val="18"/>
          <w:color w:val="auto"/>
        </w:rPr>
        <w:t>As of June 30, 2015, the last business day of the registrant’s most recently completed second fiscal quarter, the aggregate market value of voting and non-voting common equity held by non-affiliates of the registrant was approximately $695,502,434 (based on a closing sale price of $24.20 per share as reported for the NASDAQ Global Select Market on June 30, 2015).</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$0.001 par value per share, outstanding as of February 10, 2016 was 28,844,206.</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ind w:right="500" w:firstLine="324"/>
        <w:spacing w:after="0" w:line="261" w:lineRule="auto"/>
        <w:rPr>
          <w:sz w:val="20"/>
          <w:szCs w:val="20"/>
          <w:color w:val="auto"/>
        </w:rPr>
      </w:pPr>
      <w:r>
        <w:rPr>
          <w:rFonts w:ascii="Arial" w:cs="Arial" w:eastAsia="Arial" w:hAnsi="Arial"/>
          <w:sz w:val="18"/>
          <w:szCs w:val="18"/>
          <w:color w:val="auto"/>
        </w:rPr>
        <w:t>The information called for by Part III of this Annual Report on Form 10-K will be included in an amendment to this Form 10-K or incorporated by reference from the registrant’s definitive Proxy Statement relating to its 2016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0" w:right="259" w:bottom="1152" w:gutter="0" w:footer="0" w:header="0"/>
          <w:type w:val="continuous"/>
        </w:sectPr>
      </w:pPr>
    </w:p>
    <w:bookmarkStart w:id="1" w:name="page2"/>
    <w:bookmarkEnd w:id="1"/>
    <w:p>
      <w:pPr>
        <w:ind w:left="482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Fiscal Year 2015</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______________________________________</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Page</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PART I</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500" w:type="dxa"/>
            <w:vAlign w:val="bottom"/>
          </w:tcPr>
          <w:p>
            <w:pPr>
              <w:ind w:left="340"/>
              <w:spacing w:after="0"/>
              <w:rPr>
                <w:sz w:val="20"/>
                <w:szCs w:val="20"/>
                <w:color w:val="auto"/>
              </w:rPr>
            </w:pPr>
            <w:r>
              <w:rPr>
                <w:rFonts w:ascii="Arial" w:cs="Arial" w:eastAsia="Arial" w:hAnsi="Arial"/>
                <w:sz w:val="18"/>
                <w:szCs w:val="18"/>
                <w:color w:val="auto"/>
              </w:rPr>
              <w:t>ITEM 1.</w:t>
            </w:r>
          </w:p>
        </w:tc>
        <w:tc>
          <w:tcPr>
            <w:tcW w:w="8060" w:type="dxa"/>
            <w:vAlign w:val="bottom"/>
            <w:gridSpan w:val="2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8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1A.</w:t>
            </w:r>
          </w:p>
        </w:tc>
        <w:tc>
          <w:tcPr>
            <w:tcW w:w="8060" w:type="dxa"/>
            <w:vAlign w:val="bottom"/>
            <w:gridSpan w:val="24"/>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13</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1B.</w:t>
            </w:r>
          </w:p>
        </w:tc>
        <w:tc>
          <w:tcPr>
            <w:tcW w:w="2820" w:type="dxa"/>
            <w:vAlign w:val="bottom"/>
            <w:gridSpan w:val="11"/>
          </w:tcPr>
          <w:p>
            <w:pPr>
              <w:spacing w:after="0"/>
              <w:rPr>
                <w:rFonts w:ascii="Arial" w:cs="Arial" w:eastAsia="Arial" w:hAnsi="Arial"/>
                <w:sz w:val="18"/>
                <w:szCs w:val="18"/>
                <w:color w:val="0000FF"/>
                <w:w w:val="94"/>
              </w:rPr>
            </w:pPr>
            <w:hyperlink w:anchor="page39">
              <w:r>
                <w:rPr>
                  <w:rFonts w:ascii="Arial" w:cs="Arial" w:eastAsia="Arial" w:hAnsi="Arial"/>
                  <w:sz w:val="18"/>
                  <w:szCs w:val="18"/>
                  <w:color w:val="0000FF"/>
                  <w:w w:val="94"/>
                </w:rPr>
                <w:t>UNRESOLVED STAFF COMMENTS</w:t>
              </w:r>
            </w:hyperlink>
          </w:p>
        </w:tc>
        <w:tc>
          <w:tcPr>
            <w:tcW w:w="5240" w:type="dxa"/>
            <w:vAlign w:val="bottom"/>
            <w:gridSpan w:val="13"/>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2.</w:t>
            </w:r>
          </w:p>
        </w:tc>
        <w:tc>
          <w:tcPr>
            <w:tcW w:w="2820" w:type="dxa"/>
            <w:vAlign w:val="bottom"/>
            <w:gridSpan w:val="1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PROPERTIES</w:t>
              </w:r>
            </w:hyperlink>
          </w:p>
        </w:tc>
        <w:tc>
          <w:tcPr>
            <w:tcW w:w="5240" w:type="dxa"/>
            <w:vAlign w:val="bottom"/>
            <w:gridSpan w:val="13"/>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3.</w:t>
            </w:r>
          </w:p>
        </w:tc>
        <w:tc>
          <w:tcPr>
            <w:tcW w:w="8060" w:type="dxa"/>
            <w:vAlign w:val="bottom"/>
            <w:gridSpan w:val="2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4.</w:t>
            </w:r>
          </w:p>
        </w:tc>
        <w:tc>
          <w:tcPr>
            <w:tcW w:w="8060" w:type="dxa"/>
            <w:vAlign w:val="bottom"/>
            <w:gridSpan w:val="2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MINE SAFETY DISCLOSURES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II</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5.</w:t>
            </w:r>
          </w:p>
        </w:tc>
        <w:tc>
          <w:tcPr>
            <w:tcW w:w="7600" w:type="dxa"/>
            <w:vAlign w:val="bottom"/>
            <w:tcBorders>
              <w:bottom w:val="single" w:sz="8" w:color="0000FF"/>
            </w:tcBorders>
            <w:gridSpan w:val="21"/>
          </w:tcPr>
          <w:p>
            <w:pPr>
              <w:spacing w:after="0"/>
              <w:rPr>
                <w:rFonts w:ascii="Arial" w:cs="Arial" w:eastAsia="Arial" w:hAnsi="Arial"/>
                <w:sz w:val="18"/>
                <w:szCs w:val="18"/>
                <w:color w:val="0000FF"/>
                <w:w w:val="96"/>
              </w:rPr>
            </w:pPr>
            <w:hyperlink w:anchor="page41">
              <w:r>
                <w:rPr>
                  <w:rFonts w:ascii="Arial" w:cs="Arial" w:eastAsia="Arial" w:hAnsi="Arial"/>
                  <w:sz w:val="18"/>
                  <w:szCs w:val="18"/>
                  <w:color w:val="0000FF"/>
                  <w:w w:val="96"/>
                </w:rPr>
                <w:t>MARKET FOR REGISTRANT’S COMMON EQUITY, RELATED STOCKHOLDER MATTERS AND</w:t>
              </w:r>
            </w:hyperlink>
          </w:p>
        </w:tc>
        <w:tc>
          <w:tcPr>
            <w:tcW w:w="460" w:type="dxa"/>
            <w:vAlign w:val="bottom"/>
            <w:gridSpan w:val="3"/>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3760" w:type="dxa"/>
            <w:vAlign w:val="bottom"/>
            <w:gridSpan w:val="13"/>
          </w:tcPr>
          <w:p>
            <w:pPr>
              <w:spacing w:after="0" w:line="196" w:lineRule="exact"/>
              <w:rPr>
                <w:rFonts w:ascii="Arial" w:cs="Arial" w:eastAsia="Arial" w:hAnsi="Arial"/>
                <w:sz w:val="18"/>
                <w:szCs w:val="18"/>
                <w:color w:val="0000FF"/>
                <w:w w:val="93"/>
              </w:rPr>
            </w:pPr>
            <w:hyperlink w:anchor="page41">
              <w:r>
                <w:rPr>
                  <w:rFonts w:ascii="Arial" w:cs="Arial" w:eastAsia="Arial" w:hAnsi="Arial"/>
                  <w:sz w:val="18"/>
                  <w:szCs w:val="18"/>
                  <w:color w:val="0000FF"/>
                  <w:w w:val="93"/>
                </w:rPr>
                <w:t>ISSUER PURCHASES OF EQUITY SECURITIES</w:t>
              </w:r>
            </w:hyperlink>
          </w:p>
        </w:tc>
        <w:tc>
          <w:tcPr>
            <w:tcW w:w="4300" w:type="dxa"/>
            <w:vAlign w:val="bottom"/>
            <w:gridSpan w:val="11"/>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6.</w:t>
            </w:r>
          </w:p>
        </w:tc>
        <w:tc>
          <w:tcPr>
            <w:tcW w:w="2420" w:type="dxa"/>
            <w:vAlign w:val="bottom"/>
            <w:gridSpan w:val="8"/>
          </w:tcPr>
          <w:p>
            <w:pPr>
              <w:spacing w:after="0"/>
              <w:rPr>
                <w:rFonts w:ascii="Arial" w:cs="Arial" w:eastAsia="Arial" w:hAnsi="Arial"/>
                <w:sz w:val="18"/>
                <w:szCs w:val="18"/>
                <w:color w:val="0000FF"/>
                <w:w w:val="97"/>
              </w:rPr>
            </w:pPr>
            <w:hyperlink w:anchor="page42">
              <w:r>
                <w:rPr>
                  <w:rFonts w:ascii="Arial" w:cs="Arial" w:eastAsia="Arial" w:hAnsi="Arial"/>
                  <w:sz w:val="18"/>
                  <w:szCs w:val="18"/>
                  <w:color w:val="0000FF"/>
                  <w:w w:val="97"/>
                </w:rPr>
                <w:t>SELECTED FINANCIAL DATA</w:t>
              </w:r>
            </w:hyperlink>
          </w:p>
        </w:tc>
        <w:tc>
          <w:tcPr>
            <w:tcW w:w="1340" w:type="dxa"/>
            <w:vAlign w:val="bottom"/>
            <w:gridSpan w:val="5"/>
          </w:tcPr>
          <w:p>
            <w:pPr>
              <w:spacing w:after="0"/>
              <w:rPr>
                <w:sz w:val="21"/>
                <w:szCs w:val="21"/>
                <w:color w:val="auto"/>
              </w:rPr>
            </w:pPr>
          </w:p>
        </w:tc>
        <w:tc>
          <w:tcPr>
            <w:tcW w:w="4300" w:type="dxa"/>
            <w:vAlign w:val="bottom"/>
            <w:gridSpan w:val="11"/>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7.</w:t>
            </w:r>
          </w:p>
        </w:tc>
        <w:tc>
          <w:tcPr>
            <w:tcW w:w="8060" w:type="dxa"/>
            <w:vAlign w:val="bottom"/>
            <w:gridSpan w:val="24"/>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MANAGEMENT’S DISCUSSION AND ANALYSIS OF FINANCIAL CONDITION AND RESULTS OF</w:t>
              </w:r>
            </w:hyperlink>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1100" w:type="dxa"/>
            <w:vAlign w:val="bottom"/>
            <w:tcBorders>
              <w:top w:val="single" w:sz="8" w:color="0000FF"/>
            </w:tcBorders>
            <w:gridSpan w:val="3"/>
          </w:tcPr>
          <w:p>
            <w:pPr>
              <w:spacing w:after="0" w:line="196" w:lineRule="exact"/>
              <w:rPr>
                <w:rFonts w:ascii="Arial" w:cs="Arial" w:eastAsia="Arial" w:hAnsi="Arial"/>
                <w:sz w:val="18"/>
                <w:szCs w:val="18"/>
                <w:color w:val="0000FF"/>
                <w:w w:val="91"/>
              </w:rPr>
            </w:pPr>
            <w:hyperlink w:anchor="page57">
              <w:r>
                <w:rPr>
                  <w:rFonts w:ascii="Arial" w:cs="Arial" w:eastAsia="Arial" w:hAnsi="Arial"/>
                  <w:sz w:val="18"/>
                  <w:szCs w:val="18"/>
                  <w:color w:val="0000FF"/>
                  <w:w w:val="91"/>
                </w:rPr>
                <w:t>OPERATIONS</w:t>
              </w:r>
            </w:hyperlink>
          </w:p>
        </w:tc>
        <w:tc>
          <w:tcPr>
            <w:tcW w:w="6660" w:type="dxa"/>
            <w:vAlign w:val="bottom"/>
            <w:tcBorders>
              <w:top w:val="single" w:sz="8" w:color="0000FF"/>
            </w:tcBorders>
            <w:gridSpan w:val="20"/>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7A.</w:t>
            </w:r>
          </w:p>
        </w:tc>
        <w:tc>
          <w:tcPr>
            <w:tcW w:w="6140" w:type="dxa"/>
            <w:vAlign w:val="bottom"/>
            <w:gridSpan w:val="18"/>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QUANTITATIVE AND QUALITATIVE DISCLOSURES ABOUT MARKET RISK</w:t>
              </w:r>
            </w:hyperlink>
          </w:p>
        </w:tc>
        <w:tc>
          <w:tcPr>
            <w:tcW w:w="1920" w:type="dxa"/>
            <w:vAlign w:val="bottom"/>
            <w:gridSpan w:val="6"/>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8.</w:t>
            </w:r>
          </w:p>
        </w:tc>
        <w:tc>
          <w:tcPr>
            <w:tcW w:w="4660" w:type="dxa"/>
            <w:vAlign w:val="bottom"/>
            <w:gridSpan w:val="16"/>
          </w:tcPr>
          <w:p>
            <w:pPr>
              <w:spacing w:after="0"/>
              <w:rPr>
                <w:rFonts w:ascii="Arial" w:cs="Arial" w:eastAsia="Arial" w:hAnsi="Arial"/>
                <w:sz w:val="18"/>
                <w:szCs w:val="18"/>
                <w:color w:val="0000FF"/>
                <w:w w:val="96"/>
              </w:rPr>
            </w:pPr>
            <w:hyperlink w:anchor="page59">
              <w:r>
                <w:rPr>
                  <w:rFonts w:ascii="Arial" w:cs="Arial" w:eastAsia="Arial" w:hAnsi="Arial"/>
                  <w:sz w:val="18"/>
                  <w:szCs w:val="18"/>
                  <w:color w:val="0000FF"/>
                  <w:w w:val="96"/>
                </w:rPr>
                <w:t>FINANCIAL STATEMENTS AND SUPPLEMENTARY DATA</w:t>
              </w:r>
            </w:hyperlink>
          </w:p>
        </w:tc>
        <w:tc>
          <w:tcPr>
            <w:tcW w:w="1480" w:type="dxa"/>
            <w:vAlign w:val="bottom"/>
            <w:gridSpan w:val="2"/>
          </w:tcPr>
          <w:p>
            <w:pPr>
              <w:spacing w:after="0"/>
              <w:rPr>
                <w:sz w:val="21"/>
                <w:szCs w:val="21"/>
                <w:color w:val="auto"/>
              </w:rPr>
            </w:pPr>
          </w:p>
        </w:tc>
        <w:tc>
          <w:tcPr>
            <w:tcW w:w="1920" w:type="dxa"/>
            <w:vAlign w:val="bottom"/>
            <w:gridSpan w:val="6"/>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57</w:t>
              </w:r>
            </w:hyperlink>
          </w:p>
        </w:tc>
      </w:tr>
      <w:tr>
        <w:trPr>
          <w:trHeight w:val="20"/>
        </w:trPr>
        <w:tc>
          <w:tcPr>
            <w:tcW w:w="150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w:t>
            </w:r>
          </w:p>
        </w:tc>
        <w:tc>
          <w:tcPr>
            <w:tcW w:w="6920" w:type="dxa"/>
            <w:vAlign w:val="bottom"/>
            <w:tcBorders>
              <w:bottom w:val="single" w:sz="8" w:color="0000FF"/>
            </w:tcBorders>
            <w:gridSpan w:val="19"/>
          </w:tcPr>
          <w:p>
            <w:pPr>
              <w:spacing w:after="0"/>
              <w:rPr>
                <w:rFonts w:ascii="Arial" w:cs="Arial" w:eastAsia="Arial" w:hAnsi="Arial"/>
                <w:sz w:val="18"/>
                <w:szCs w:val="18"/>
                <w:color w:val="0000FF"/>
                <w:w w:val="97"/>
              </w:rPr>
            </w:pPr>
            <w:hyperlink w:anchor="page93">
              <w:r>
                <w:rPr>
                  <w:rFonts w:ascii="Arial" w:cs="Arial" w:eastAsia="Arial" w:hAnsi="Arial"/>
                  <w:sz w:val="18"/>
                  <w:szCs w:val="18"/>
                  <w:color w:val="0000FF"/>
                  <w:w w:val="97"/>
                </w:rPr>
                <w:t>CHANGES IN AND DISAGREEMENTS WITH ACCOUNTANTS ON ACCOUNTING AND</w:t>
              </w:r>
            </w:hyperlink>
          </w:p>
        </w:tc>
        <w:tc>
          <w:tcPr>
            <w:tcW w:w="1140" w:type="dxa"/>
            <w:vAlign w:val="bottom"/>
            <w:gridSpan w:val="5"/>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2120" w:type="dxa"/>
            <w:vAlign w:val="bottom"/>
            <w:gridSpan w:val="7"/>
          </w:tcPr>
          <w:p>
            <w:pPr>
              <w:spacing w:after="0" w:line="196" w:lineRule="exact"/>
              <w:rPr>
                <w:rFonts w:ascii="Arial" w:cs="Arial" w:eastAsia="Arial" w:hAnsi="Arial"/>
                <w:sz w:val="18"/>
                <w:szCs w:val="18"/>
                <w:color w:val="0000FF"/>
                <w:w w:val="97"/>
              </w:rPr>
            </w:pPr>
            <w:hyperlink w:anchor="page93">
              <w:r>
                <w:rPr>
                  <w:rFonts w:ascii="Arial" w:cs="Arial" w:eastAsia="Arial" w:hAnsi="Arial"/>
                  <w:sz w:val="18"/>
                  <w:szCs w:val="18"/>
                  <w:color w:val="0000FF"/>
                  <w:w w:val="97"/>
                </w:rPr>
                <w:t>FINANCIAL DISCLOSURE</w:t>
              </w:r>
            </w:hyperlink>
          </w:p>
        </w:tc>
        <w:tc>
          <w:tcPr>
            <w:tcW w:w="5940" w:type="dxa"/>
            <w:vAlign w:val="bottom"/>
            <w:gridSpan w:val="17"/>
          </w:tcPr>
          <w:p>
            <w:pPr>
              <w:spacing w:after="0"/>
              <w:rPr>
                <w:sz w:val="17"/>
                <w:szCs w:val="17"/>
                <w:color w:val="auto"/>
              </w:rPr>
            </w:pPr>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93">
              <w:r>
                <w:rPr>
                  <w:rFonts w:ascii="Arial" w:cs="Arial" w:eastAsia="Arial" w:hAnsi="Arial"/>
                  <w:sz w:val="18"/>
                  <w:szCs w:val="18"/>
                  <w:color w:val="0000FF"/>
                </w:rPr>
                <w:t>90</w:t>
              </w:r>
            </w:hyperlink>
          </w:p>
        </w:tc>
      </w:tr>
      <w:tr>
        <w:trPr>
          <w:trHeight w:val="20"/>
        </w:trPr>
        <w:tc>
          <w:tcPr>
            <w:tcW w:w="150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9A.</w:t>
            </w:r>
          </w:p>
        </w:tc>
        <w:tc>
          <w:tcPr>
            <w:tcW w:w="2600" w:type="dxa"/>
            <w:vAlign w:val="bottom"/>
            <w:gridSpan w:val="10"/>
          </w:tcPr>
          <w:p>
            <w:pPr>
              <w:spacing w:after="0"/>
              <w:rPr>
                <w:rFonts w:ascii="Arial" w:cs="Arial" w:eastAsia="Arial" w:hAnsi="Arial"/>
                <w:sz w:val="18"/>
                <w:szCs w:val="18"/>
                <w:color w:val="0000FF"/>
                <w:w w:val="93"/>
              </w:rPr>
            </w:pPr>
            <w:hyperlink w:anchor="page94">
              <w:r>
                <w:rPr>
                  <w:rFonts w:ascii="Arial" w:cs="Arial" w:eastAsia="Arial" w:hAnsi="Arial"/>
                  <w:sz w:val="18"/>
                  <w:szCs w:val="18"/>
                  <w:color w:val="0000FF"/>
                  <w:w w:val="93"/>
                </w:rPr>
                <w:t>CONTROLS AND PROCEDURES</w:t>
              </w:r>
            </w:hyperlink>
          </w:p>
        </w:tc>
        <w:tc>
          <w:tcPr>
            <w:tcW w:w="5460" w:type="dxa"/>
            <w:vAlign w:val="bottom"/>
            <w:gridSpan w:val="1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90</w:t>
              </w:r>
            </w:hyperlink>
          </w:p>
        </w:tc>
      </w:tr>
      <w:tr>
        <w:trPr>
          <w:trHeight w:val="20"/>
        </w:trPr>
        <w:tc>
          <w:tcPr>
            <w:tcW w:w="150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9B.</w:t>
            </w:r>
          </w:p>
        </w:tc>
        <w:tc>
          <w:tcPr>
            <w:tcW w:w="2600" w:type="dxa"/>
            <w:vAlign w:val="bottom"/>
            <w:gridSpan w:val="1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OTHER INFORMATION</w:t>
              </w:r>
            </w:hyperlink>
          </w:p>
        </w:tc>
        <w:tc>
          <w:tcPr>
            <w:tcW w:w="5460" w:type="dxa"/>
            <w:vAlign w:val="bottom"/>
            <w:gridSpan w:val="14"/>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90</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III</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10.</w:t>
            </w:r>
          </w:p>
        </w:tc>
        <w:tc>
          <w:tcPr>
            <w:tcW w:w="5800" w:type="dxa"/>
            <w:vAlign w:val="bottom"/>
            <w:gridSpan w:val="17"/>
          </w:tcPr>
          <w:p>
            <w:pPr>
              <w:spacing w:after="0"/>
              <w:rPr>
                <w:rFonts w:ascii="Arial" w:cs="Arial" w:eastAsia="Arial" w:hAnsi="Arial"/>
                <w:sz w:val="18"/>
                <w:szCs w:val="18"/>
                <w:color w:val="0000FF"/>
                <w:w w:val="94"/>
              </w:rPr>
            </w:pPr>
            <w:hyperlink w:anchor="page95">
              <w:r>
                <w:rPr>
                  <w:rFonts w:ascii="Arial" w:cs="Arial" w:eastAsia="Arial" w:hAnsi="Arial"/>
                  <w:sz w:val="18"/>
                  <w:szCs w:val="18"/>
                  <w:color w:val="0000FF"/>
                  <w:w w:val="94"/>
                </w:rPr>
                <w:t>DIRECTORS, EXECUTIVE OFFICERS AND CORPORATE GOVERNANCE</w:t>
              </w:r>
            </w:hyperlink>
          </w:p>
        </w:tc>
        <w:tc>
          <w:tcPr>
            <w:tcW w:w="2260" w:type="dxa"/>
            <w:vAlign w:val="bottom"/>
            <w:gridSpan w:val="7"/>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91</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11.</w:t>
            </w:r>
          </w:p>
        </w:tc>
        <w:tc>
          <w:tcPr>
            <w:tcW w:w="2440" w:type="dxa"/>
            <w:vAlign w:val="bottom"/>
            <w:gridSpan w:val="9"/>
          </w:tcPr>
          <w:p>
            <w:pPr>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EXECUTIVE COMPENSATION</w:t>
              </w:r>
            </w:hyperlink>
          </w:p>
        </w:tc>
        <w:tc>
          <w:tcPr>
            <w:tcW w:w="3360" w:type="dxa"/>
            <w:vAlign w:val="bottom"/>
            <w:gridSpan w:val="8"/>
          </w:tcPr>
          <w:p>
            <w:pPr>
              <w:spacing w:after="0"/>
              <w:rPr>
                <w:sz w:val="21"/>
                <w:szCs w:val="21"/>
                <w:color w:val="auto"/>
              </w:rPr>
            </w:pPr>
          </w:p>
        </w:tc>
        <w:tc>
          <w:tcPr>
            <w:tcW w:w="2260" w:type="dxa"/>
            <w:vAlign w:val="bottom"/>
            <w:gridSpan w:val="7"/>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91</w:t>
              </w:r>
            </w:hyperlink>
          </w:p>
        </w:tc>
      </w:tr>
      <w:tr>
        <w:trPr>
          <w:trHeight w:val="20"/>
        </w:trPr>
        <w:tc>
          <w:tcPr>
            <w:tcW w:w="1500" w:type="dxa"/>
            <w:vAlign w:val="bottom"/>
          </w:tcPr>
          <w:p>
            <w:pPr>
              <w:spacing w:after="0" w:line="20" w:lineRule="exact"/>
              <w:rPr>
                <w:sz w:val="1"/>
                <w:szCs w:val="1"/>
                <w:color w:val="auto"/>
              </w:rPr>
            </w:pPr>
          </w:p>
        </w:tc>
        <w:tc>
          <w:tcPr>
            <w:tcW w:w="2440" w:type="dxa"/>
            <w:vAlign w:val="bottom"/>
            <w:gridSpan w:val="9"/>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FF"/>
            </w:tcBorders>
            <w:gridSpan w:val="20"/>
          </w:tcPr>
          <w:p>
            <w:pPr>
              <w:spacing w:after="0"/>
              <w:rPr>
                <w:rFonts w:ascii="Arial" w:cs="Arial" w:eastAsia="Arial" w:hAnsi="Arial"/>
                <w:sz w:val="18"/>
                <w:szCs w:val="18"/>
                <w:color w:val="0000FF"/>
                <w:w w:val="96"/>
              </w:rPr>
            </w:pPr>
            <w:hyperlink w:anchor="page95">
              <w:r>
                <w:rPr>
                  <w:rFonts w:ascii="Arial" w:cs="Arial" w:eastAsia="Arial" w:hAnsi="Arial"/>
                  <w:sz w:val="18"/>
                  <w:szCs w:val="18"/>
                  <w:color w:val="0000FF"/>
                  <w:w w:val="96"/>
                </w:rPr>
                <w:t>SECURITY OWNERSHIP OF CERTAIN BENEFICIAL OWNERS AND MANAGEMENT AND</w:t>
              </w:r>
            </w:hyperlink>
          </w:p>
        </w:tc>
        <w:tc>
          <w:tcPr>
            <w:tcW w:w="900" w:type="dxa"/>
            <w:vAlign w:val="bottom"/>
            <w:gridSpan w:val="4"/>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8060" w:type="dxa"/>
            <w:vAlign w:val="bottom"/>
            <w:gridSpan w:val="24"/>
          </w:tcPr>
          <w:p>
            <w:pPr>
              <w:spacing w:after="0" w:line="196" w:lineRule="exact"/>
              <w:rPr>
                <w:rFonts w:ascii="Arial" w:cs="Arial" w:eastAsia="Arial" w:hAnsi="Arial"/>
                <w:sz w:val="18"/>
                <w:szCs w:val="18"/>
                <w:color w:val="0000FF"/>
              </w:rPr>
            </w:pPr>
            <w:hyperlink w:anchor="page95">
              <w:r>
                <w:rPr>
                  <w:rFonts w:ascii="Arial" w:cs="Arial" w:eastAsia="Arial" w:hAnsi="Arial"/>
                  <w:sz w:val="18"/>
                  <w:szCs w:val="18"/>
                  <w:color w:val="0000FF"/>
                </w:rPr>
                <w:t>RELATED STOCKHOLDER MATTERS</w:t>
              </w:r>
            </w:hyperlink>
          </w:p>
        </w:tc>
        <w:tc>
          <w:tcPr>
            <w:tcW w:w="1820" w:type="dxa"/>
            <w:vAlign w:val="bottom"/>
            <w:gridSpan w:val="4"/>
          </w:tcPr>
          <w:p>
            <w:pPr>
              <w:jc w:val="right"/>
              <w:ind w:right="20"/>
              <w:spacing w:after="0" w:line="196" w:lineRule="exact"/>
              <w:rPr>
                <w:rFonts w:ascii="Arial" w:cs="Arial" w:eastAsia="Arial" w:hAnsi="Arial"/>
                <w:sz w:val="18"/>
                <w:szCs w:val="18"/>
                <w:color w:val="0000FF"/>
              </w:rPr>
            </w:pPr>
            <w:hyperlink w:anchor="page95">
              <w:r>
                <w:rPr>
                  <w:rFonts w:ascii="Arial" w:cs="Arial" w:eastAsia="Arial" w:hAnsi="Arial"/>
                  <w:sz w:val="18"/>
                  <w:szCs w:val="18"/>
                  <w:color w:val="0000FF"/>
                </w:rPr>
                <w:t>91</w:t>
              </w:r>
            </w:hyperlink>
          </w:p>
        </w:tc>
      </w:tr>
      <w:tr>
        <w:trPr>
          <w:trHeight w:val="20"/>
        </w:trPr>
        <w:tc>
          <w:tcPr>
            <w:tcW w:w="1500" w:type="dxa"/>
            <w:vAlign w:val="bottom"/>
          </w:tcPr>
          <w:p>
            <w:pPr>
              <w:spacing w:after="0" w:line="20" w:lineRule="exact"/>
              <w:rPr>
                <w:sz w:val="1"/>
                <w:szCs w:val="1"/>
                <w:color w:val="auto"/>
              </w:rPr>
            </w:pPr>
          </w:p>
        </w:tc>
        <w:tc>
          <w:tcPr>
            <w:tcW w:w="3020" w:type="dxa"/>
            <w:vAlign w:val="bottom"/>
            <w:gridSpan w:val="1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13.</w:t>
            </w:r>
          </w:p>
        </w:tc>
        <w:tc>
          <w:tcPr>
            <w:tcW w:w="7700" w:type="dxa"/>
            <w:vAlign w:val="bottom"/>
            <w:gridSpan w:val="22"/>
          </w:tcPr>
          <w:p>
            <w:pPr>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CERTAIN RELATIONSHIPS AND RELATED TRANSACTIONS, AND DIRECTOR INDEPENDENCE</w:t>
              </w:r>
            </w:hyperlink>
          </w:p>
        </w:tc>
        <w:tc>
          <w:tcPr>
            <w:tcW w:w="360" w:type="dxa"/>
            <w:vAlign w:val="bottom"/>
            <w:gridSpan w:val="2"/>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91</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14.</w:t>
            </w:r>
          </w:p>
        </w:tc>
        <w:tc>
          <w:tcPr>
            <w:tcW w:w="7700" w:type="dxa"/>
            <w:vAlign w:val="bottom"/>
            <w:gridSpan w:val="22"/>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PRINCIPAL ACCOUNTING FEES AND SERVICES</w:t>
              </w:r>
            </w:hyperlink>
          </w:p>
        </w:tc>
        <w:tc>
          <w:tcPr>
            <w:tcW w:w="360" w:type="dxa"/>
            <w:vAlign w:val="bottom"/>
            <w:gridSpan w:val="2"/>
          </w:tcPr>
          <w:p>
            <w:pPr>
              <w:spacing w:after="0"/>
              <w:rPr>
                <w:sz w:val="21"/>
                <w:szCs w:val="21"/>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91</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IV</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15.</w:t>
            </w:r>
          </w:p>
        </w:tc>
        <w:tc>
          <w:tcPr>
            <w:tcW w:w="4040" w:type="dxa"/>
            <w:vAlign w:val="bottom"/>
            <w:gridSpan w:val="15"/>
          </w:tcPr>
          <w:p>
            <w:pPr>
              <w:spacing w:after="0"/>
              <w:rPr>
                <w:rFonts w:ascii="Arial" w:cs="Arial" w:eastAsia="Arial" w:hAnsi="Arial"/>
                <w:sz w:val="18"/>
                <w:szCs w:val="18"/>
                <w:color w:val="0000FF"/>
                <w:w w:val="96"/>
              </w:rPr>
            </w:pPr>
            <w:hyperlink w:anchor="page98">
              <w:r>
                <w:rPr>
                  <w:rFonts w:ascii="Arial" w:cs="Arial" w:eastAsia="Arial" w:hAnsi="Arial"/>
                  <w:sz w:val="18"/>
                  <w:szCs w:val="18"/>
                  <w:color w:val="0000FF"/>
                  <w:w w:val="96"/>
                </w:rPr>
                <w:t>EXHIBITS, FINANCIAL STATEMENT SCHEDULES</w:t>
              </w:r>
            </w:hyperlink>
          </w:p>
        </w:tc>
        <w:tc>
          <w:tcPr>
            <w:tcW w:w="4020" w:type="dxa"/>
            <w:vAlign w:val="bottom"/>
            <w:gridSpan w:val="9"/>
          </w:tcPr>
          <w:p>
            <w:pPr>
              <w:spacing w:after="0"/>
              <w:rPr>
                <w:sz w:val="24"/>
                <w:szCs w:val="24"/>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98">
              <w:r>
                <w:rPr>
                  <w:rFonts w:ascii="Arial" w:cs="Arial" w:eastAsia="Arial" w:hAnsi="Arial"/>
                  <w:sz w:val="18"/>
                  <w:szCs w:val="18"/>
                  <w:color w:val="0000FF"/>
                </w:rPr>
                <w:t>95</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7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94"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This Form 10-K contains forward-looking statements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results of operations, cash flow, sources of revenue, operating and other expenses, unit sales, business strategies, expansion of our business,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1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Form 10-K. Given these uncertainties, you should not place undue reliance on these forward-looking statements.</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Forward-looking statements represent our management’s beliefs and assumptions only as of the date of this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12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2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“Fluidigm,” the Fluidigm logo, “Access Array,” “Biomark,” “C1,” “Callisto,” “CyTOF,” “Delta Gene,” “Digital Array,” “Dynamic Array,” “EP1,” “FC1,” “Flex Six,” “Helios,” “High-Precision 96.96 Genotyping,” “Juno,” “Maxpar,” “MSL,” “Nanoflex” “Open App,” “Polaris,” “Script Builder,” “Script Hub,” “Singular,” “SNP Trace” and “SNP Type” are trademarks or registered trademarks of Fluidigm Corporation. Other service marks, trademarks and trade names referred to in this Form 10-K are the property of their respective owners.</w:t>
      </w:r>
    </w:p>
    <w:p>
      <w:pPr>
        <w:spacing w:after="0" w:line="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1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Unless the context requires otherwise, references in this Annual Report on Form 10-K to “Fluidigm,” the “Company,” “we,” “us,” and “our” refer to Fluidigm Corporation and its subsidiaries.</w:t>
      </w:r>
    </w:p>
    <w:p>
      <w:pPr>
        <w:sectPr>
          <w:pgSz w:w="11900" w:h="16838" w:orient="portrait"/>
          <w:cols w:equalWidth="0" w:num="1">
            <w:col w:w="11400"/>
          </w:cols>
          <w:pgMar w:left="240" w:top="742"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create, manufacture, and market innovative technologies and life science tools focused on the exploration and analysis of single cells, as well as the industrial application of genomics, based upon our core microfluidics and mass cytometry technologies. We sell instruments and consumables, including integrated fluidic circuits, or IFCs, assays, and reagents, to academic institutions, clinical laboratories, and pharmaceutical, biotechnology, and agricultural biotechnology, or Ag-Bio, companies.</w:t>
      </w:r>
    </w:p>
    <w:p>
      <w:pPr>
        <w:spacing w:after="0" w:line="52"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Single-cell analysis is a rapidly-growing field that we believe has the potential to revolutionize basic discovery in biology and lead to new and better ways to diagnose and treat disease. We pioneered a field that is now known as single-cell genomics and, through our acquisition of DVS Sciences, Inc., or DVS, in February 2014, we expanded into the field of single-cell proteomics. Our single-cell biology platform empowers our customers to analyze a large number of individual cells using simplified workflows with increased speed and accuracy at reduced costs. Our products also enable customers to apply the knowledge of biology in industrial or other applied settings that typically utilize low quantity and/or quality samples in high-throughput repeat testing applications.</w:t>
      </w:r>
    </w:p>
    <w:p>
      <w:pPr>
        <w:spacing w:after="0" w:line="5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5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of December 31, 2015, we had sold approximately 1,630 systems to customers in more than 45 countries worldwide. Over 800 systems sold have been designated for single-cell biology research.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current markets for our products include life science research and production genomics.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Single-Cell Biology</w:t>
      </w:r>
      <w:r>
        <w:rPr>
          <w:rFonts w:ascii="Arial" w:cs="Arial" w:eastAsia="Arial" w:hAnsi="Arial"/>
          <w:sz w:val="18"/>
          <w:szCs w:val="18"/>
          <w:color w:val="auto"/>
        </w:rPr>
        <w:t>. Life science research typically involves the analysis of samples containing many thousands of cells of many different types. When</w:t>
      </w:r>
      <w:r>
        <w:rPr>
          <w:rFonts w:ascii="Arial" w:cs="Arial" w:eastAsia="Arial" w:hAnsi="Arial"/>
          <w:sz w:val="18"/>
          <w:szCs w:val="18"/>
          <w:i w:val="1"/>
          <w:iCs w:val="1"/>
          <w:color w:val="auto"/>
        </w:rPr>
        <w:t xml:space="preserve"> </w:t>
      </w:r>
      <w:r>
        <w:rPr>
          <w:rFonts w:ascii="Arial" w:cs="Arial" w:eastAsia="Arial" w:hAnsi="Arial"/>
          <w:sz w:val="18"/>
          <w:szCs w:val="18"/>
          <w:color w:val="auto"/>
        </w:rPr>
        <w:t>such samples are studied using traditional methodologies, the results obtained reflect a rough average of the activity of all of the cells in the sample, which masks critical differences in cell types and between individual cells of the same type. Additionally, in fields such as in-vitro fertilization and stem cell research, the number of cells available for analysis is inherently limited and the small amount of genetic material in a single cell prevents conventional methods from analyzing the activity of more than a few genes.</w:t>
      </w:r>
    </w:p>
    <w:p>
      <w:pPr>
        <w:spacing w:after="0" w:line="53"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Single-cell biology is a rapidly emerging area of life science research that requires specialized tools and techniques to harvest and process individual cells with high sensitivity and reproducibility. Single-cell biology researchers need to conduct a high number of tests on a large number of individual cells, which in combination translates into thousands of experiments that must be accurate, fast, simple, and low cost. Our systems enable researchers to perform gene expression or protein expression analysis on single cells on a scale that is otherwise impractical with conventional systems due to the cost, experimental variability, and the large amount of biological sample required to initiate typical studies.</w:t>
      </w:r>
    </w:p>
    <w:p>
      <w:pPr>
        <w:spacing w:after="0" w:line="37"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i w:val="1"/>
          <w:iCs w:val="1"/>
          <w:color w:val="auto"/>
        </w:rPr>
        <w:t xml:space="preserve">Genomics. </w:t>
      </w:r>
      <w:r>
        <w:rPr>
          <w:rFonts w:ascii="Arial" w:cs="Arial" w:eastAsia="Arial" w:hAnsi="Arial"/>
          <w:sz w:val="17"/>
          <w:szCs w:val="17"/>
          <w:color w:val="auto"/>
        </w:rPr>
        <w:t>One primary area of focus within life science research is genetic analysis, the study of genes and their functions. The hereditary material or</w:t>
      </w:r>
      <w:r>
        <w:rPr>
          <w:rFonts w:ascii="Arial" w:cs="Arial" w:eastAsia="Arial" w:hAnsi="Arial"/>
          <w:sz w:val="17"/>
          <w:szCs w:val="17"/>
          <w:i w:val="1"/>
          <w:iCs w:val="1"/>
          <w:color w:val="auto"/>
        </w:rPr>
        <w:t xml:space="preserve"> </w:t>
      </w:r>
      <w:r>
        <w:rPr>
          <w:rFonts w:ascii="Arial" w:cs="Arial" w:eastAsia="Arial" w:hAnsi="Arial"/>
          <w:sz w:val="17"/>
          <w:szCs w:val="17"/>
          <w:color w:val="auto"/>
        </w:rPr>
        <w:t>nucleic acid of an organism is often referred to as its genome, the protein-encoding regions of which are commonly known as genes. Analysis of variations in genomes, genes, and gene activity in and between organisms can provide valuable insight into their health and functioning. Single-cell genomics is the study of the sequence and expression of genes and their ultimate functions at the individual cell level.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several forms of genetic analysis in use today, including genotyping, gene expression analysis, and DNA sequencing.</w:t>
      </w:r>
    </w:p>
    <w:p>
      <w:pPr>
        <w:spacing w:after="0" w:line="225" w:lineRule="exact"/>
        <w:rPr>
          <w:sz w:val="20"/>
          <w:szCs w:val="20"/>
          <w:color w:val="auto"/>
        </w:rPr>
      </w:pPr>
    </w:p>
    <w:p>
      <w:pPr>
        <w:ind w:left="820" w:right="100" w:hanging="326"/>
        <w:spacing w:after="0" w:line="31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Genotyping involves the analysis of DNA variations across individual genomes. There are multiple forms of variants, including single nucleotide polymorphism, or SNPs, insertion-deletions, and copy number variation. A common application of genotyping focuses on analyzing SNPs to determine whether a SNP or group of SNPs are associated with a particular genetic trait, such as propensity for a disease.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68" w:lineRule="exact"/>
        <w:rPr>
          <w:sz w:val="20"/>
          <w:szCs w:val="20"/>
          <w:color w:val="auto"/>
        </w:rPr>
      </w:pPr>
    </w:p>
    <w:p>
      <w:pPr>
        <w:jc w:val="both"/>
        <w:ind w:left="820" w:right="220" w:hanging="326"/>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expression analysis involves measuring the levels of particular ribonucleic acid sequences known as messenger RNAs, or mRNAs, which have been transcribed from genes. Determining these levels is important because mRNAs are often translated by the cell into proteins, and may affect the activity of the cell or the larger organism.</w:t>
      </w:r>
    </w:p>
    <w:p>
      <w:pPr>
        <w:sectPr>
          <w:pgSz w:w="11900" w:h="16838" w:orient="portrait"/>
          <w:cols w:equalWidth="0" w:num="1">
            <w:col w:w="11380"/>
          </w:cols>
          <w:pgMar w:left="240" w:top="742" w:right="279" w:bottom="1440" w:gutter="0" w:footer="0" w:header="0"/>
        </w:sectPr>
      </w:pPr>
    </w:p>
    <w:bookmarkStart w:id="4" w:name="page5"/>
    <w:bookmarkEnd w:id="4"/>
    <w:p>
      <w:pPr>
        <w:ind w:left="820" w:hanging="326"/>
        <w:spacing w:after="0" w:line="25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DNA sequencing is a process by which researchers are able to determine the particular order of nucleotide bases that comprise all or a portion of a particular gene or genome, and typically improves with target enrichment, such as complex sample preparation and tagging processes. Researchers are increasingly using next-generation DNA sequencers to rapidly and cost-effectively sequence portions of genomes, which is important for the identification of genetic variations that correlate with particular phenotypes.</w:t>
      </w:r>
    </w:p>
    <w:p>
      <w:pPr>
        <w:spacing w:after="0" w:line="13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Gene expression and genotyping are studied through a combination of various technology platforms that characterize gene function and genetic variation. These platforms often rely on polymerase chain reaction, or PCR, amplification to generate exponential copies of a DNA sample to provide sufficient signal to facilitate detection. Real-time quantitative PCR, or real-time qPCR, is a more advanced form of PCR that makes it possible to quantify the number of copies of DNA present in a sample.</w:t>
      </w:r>
    </w:p>
    <w:p>
      <w:pPr>
        <w:spacing w:after="0" w:line="13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i w:val="1"/>
          <w:iCs w:val="1"/>
          <w:color w:val="auto"/>
        </w:rPr>
        <w:t>Proteomics</w:t>
      </w:r>
      <w:r>
        <w:rPr>
          <w:rFonts w:ascii="Arial" w:cs="Arial" w:eastAsia="Arial" w:hAnsi="Arial"/>
          <w:sz w:val="18"/>
          <w:szCs w:val="18"/>
          <w:color w:val="auto"/>
        </w:rPr>
        <w:t>. Another focus within life science research is protein analysis, the study of proteins and their structures and functions. Proteins perform a</w:t>
      </w:r>
      <w:r>
        <w:rPr>
          <w:rFonts w:ascii="Arial" w:cs="Arial" w:eastAsia="Arial" w:hAnsi="Arial"/>
          <w:sz w:val="18"/>
          <w:szCs w:val="18"/>
          <w:i w:val="1"/>
          <w:iCs w:val="1"/>
          <w:color w:val="auto"/>
        </w:rPr>
        <w:t xml:space="preserve"> </w:t>
      </w:r>
      <w:r>
        <w:rPr>
          <w:rFonts w:ascii="Arial" w:cs="Arial" w:eastAsia="Arial" w:hAnsi="Arial"/>
          <w:sz w:val="18"/>
          <w:szCs w:val="18"/>
          <w:color w:val="auto"/>
        </w:rPr>
        <w:t>vast array of functions within living organisms, including catalyzing metabolic reactions, replicating DNA, responding to stimuli, and transporting molecules from one location to another. Protein analysis is required to profile and understand cellular function.</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are several forms of high-throughput protein analysis in use today, including mass spectrometry, traditional flow cytometry, and mass cytometry.</w:t>
      </w:r>
    </w:p>
    <w:p>
      <w:pPr>
        <w:spacing w:after="0" w:line="248" w:lineRule="exact"/>
        <w:rPr>
          <w:sz w:val="20"/>
          <w:szCs w:val="20"/>
          <w:color w:val="auto"/>
        </w:rPr>
      </w:pPr>
    </w:p>
    <w:p>
      <w:pPr>
        <w:ind w:left="820" w:right="40" w:hanging="326"/>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Mass spectrometry is an analytical chemistry technique that measures the mass-to-charge ratio in molecules using external electric and magnetic fields. Mass spectrometry techniques are limited to bulk samples and provide an understanding of global protein dynamics on a tissue or organism level, but does not alone enable researchers to analyze data at a single cell level.</w:t>
      </w:r>
    </w:p>
    <w:p>
      <w:pPr>
        <w:spacing w:after="0" w:line="181" w:lineRule="exact"/>
        <w:rPr>
          <w:rFonts w:ascii="Arial" w:cs="Arial" w:eastAsia="Arial" w:hAnsi="Arial"/>
          <w:sz w:val="18"/>
          <w:szCs w:val="18"/>
          <w:color w:val="auto"/>
        </w:rPr>
      </w:pPr>
    </w:p>
    <w:p>
      <w:pPr>
        <w:ind w:left="820" w:right="280" w:hanging="326"/>
        <w:spacing w:after="0" w:line="255"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Traditional flow cytometry utilizes a suspension of cells in a stream of fluid and passes them through an electronic detection apparatus to allow simultaneous multi-parameter analysis of the physical and chemical characteristics of up to thousands of cells per second. Although traditional flow cytometry technologies are high-throughput with single-cell analysis capabilities, a key limitation is the use of fluorescent dyes to label antibodies for detection. These fluorescent labels have emission spectra that typically overlap, making it challenging to optimize reagents to analyze many protein markers at once. In general, the number of protein targets for conventional flow cytometry is less than about 10 with significant reagent optimization often involved.</w:t>
      </w:r>
    </w:p>
    <w:p>
      <w:pPr>
        <w:spacing w:after="0" w:line="193" w:lineRule="exact"/>
        <w:rPr>
          <w:rFonts w:ascii="Arial" w:cs="Arial" w:eastAsia="Arial" w:hAnsi="Arial"/>
          <w:sz w:val="18"/>
          <w:szCs w:val="18"/>
          <w:color w:val="auto"/>
        </w:rPr>
      </w:pPr>
    </w:p>
    <w:p>
      <w:pPr>
        <w:ind w:left="820" w:right="60" w:hanging="326"/>
        <w:spacing w:after="0" w:line="302"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Mass cytometry is similar to traditional flow cytometry but is based primarily on antibodies using heavy metal isotope labels rather than fluorescent labels for detection of proteins, enabling the significant expansion of the number of parameters analyzed per individual cell versus conventional flow cytometry technologies. With high-throughput, single-cell analysis capabilities, and the ability to analyze more protein markers per individual cell, researchers have more granular information, which allows them to identify and characterize even finer subpopulations of cells.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Production Genomics</w:t>
      </w:r>
    </w:p>
    <w:p>
      <w:pPr>
        <w:spacing w:after="0" w:line="90" w:lineRule="exact"/>
        <w:rPr>
          <w:sz w:val="20"/>
          <w:szCs w:val="20"/>
          <w:color w:val="auto"/>
        </w:rPr>
      </w:pPr>
    </w:p>
    <w:p>
      <w:pPr>
        <w:ind w:right="80" w:firstLine="432"/>
        <w:spacing w:after="0" w:line="334" w:lineRule="auto"/>
        <w:rPr>
          <w:sz w:val="20"/>
          <w:szCs w:val="20"/>
          <w:color w:val="auto"/>
        </w:rPr>
      </w:pPr>
      <w:r>
        <w:rPr>
          <w:rFonts w:ascii="Arial" w:cs="Arial" w:eastAsia="Arial" w:hAnsi="Arial"/>
          <w:sz w:val="16"/>
          <w:szCs w:val="16"/>
          <w:color w:val="auto"/>
        </w:rPr>
        <w:t>Production genomics includes applied markets that utilize biology in an industrial or applied setting and typically involves high-throughput repeat testing applications. Key production genomics customers include Ag-Bio companies, clinical laboratories, biorepositories and biopharmaceutical companies.</w:t>
      </w:r>
    </w:p>
    <w:p>
      <w:pPr>
        <w:spacing w:after="0" w:line="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Agricultural Biotechnology</w:t>
      </w:r>
      <w:r>
        <w:rPr>
          <w:rFonts w:ascii="Arial" w:cs="Arial" w:eastAsia="Arial" w:hAnsi="Arial"/>
          <w:sz w:val="18"/>
          <w:szCs w:val="18"/>
          <w:color w:val="auto"/>
        </w:rPr>
        <w:t>. Ag-Bio applies scientific techniques, including genetic analysis techniques such as SNP genotyping and DNA sequencing,</w:t>
      </w:r>
      <w:r>
        <w:rPr>
          <w:rFonts w:ascii="Arial" w:cs="Arial" w:eastAsia="Arial" w:hAnsi="Arial"/>
          <w:sz w:val="18"/>
          <w:szCs w:val="18"/>
          <w:i w:val="1"/>
          <w:iCs w:val="1"/>
          <w:color w:val="auto"/>
        </w:rPr>
        <w:t xml:space="preserve"> </w:t>
      </w:r>
      <w:r>
        <w:rPr>
          <w:rFonts w:ascii="Arial" w:cs="Arial" w:eastAsia="Arial" w:hAnsi="Arial"/>
          <w:sz w:val="18"/>
          <w:szCs w:val="18"/>
          <w:color w:val="auto"/>
        </w:rPr>
        <w:t>to study and improve desired characteristics in plants, animals, and microorganisms. Genetic analysis techniques have become increasingly useful in Ag-Bio applications, including wildlife population studies, agricultural quality control, and commercial genetic engineering and identification. Ag-Bio customers require systems that can quickly and accurately analyze a large number of samples, such as tissue from livestock populations or seeds from a production lot, in a high-throughput and cost-efficient manner.</w:t>
      </w:r>
    </w:p>
    <w:p>
      <w:pPr>
        <w:spacing w:after="0" w:line="5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Clinical Laboratories</w:t>
      </w:r>
      <w:r>
        <w:rPr>
          <w:rFonts w:ascii="Arial" w:cs="Arial" w:eastAsia="Arial" w:hAnsi="Arial"/>
          <w:sz w:val="18"/>
          <w:szCs w:val="18"/>
          <w:color w:val="auto"/>
        </w:rPr>
        <w:t>. Recent advances in genetic analysis technology are increasingly being used for clinical research applications. Techniques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SNP genotyping, gene expression analysis, targeted DNA sequencing and other genetic correlation studies have been developed to identify disease susceptibility and to diagnose, classify, and monitor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41" w:right="259" w:bottom="1440" w:gutter="0" w:footer="0" w:header="0"/>
        </w:sectPr>
      </w:pPr>
    </w:p>
    <w:bookmarkStart w:id="5" w:name="page6"/>
    <w:bookmarkEnd w:id="5"/>
    <w:p>
      <w:pPr>
        <w:ind w:right="220"/>
        <w:spacing w:after="0" w:line="264" w:lineRule="auto"/>
        <w:rPr>
          <w:sz w:val="20"/>
          <w:szCs w:val="20"/>
          <w:color w:val="auto"/>
        </w:rPr>
      </w:pPr>
      <w:r>
        <w:rPr>
          <w:rFonts w:ascii="Arial" w:cs="Arial" w:eastAsia="Arial" w:hAnsi="Arial"/>
          <w:sz w:val="18"/>
          <w:szCs w:val="18"/>
          <w:color w:val="auto"/>
        </w:rPr>
        <w:t>disease progression. Prognostics and diagnostics based on measuring these genetic markers have the potential to be much more accurate and robust than conventional diagnostics. The validation and translation of prognostics and diagnostics into clinically available tests often requires life science automation systems that are able to measure multiple biomarkers efficiently in a large number of patient samples.</w:t>
      </w:r>
    </w:p>
    <w:p>
      <w:pPr>
        <w:spacing w:after="0" w:line="46" w:lineRule="exact"/>
        <w:rPr>
          <w:sz w:val="20"/>
          <w:szCs w:val="20"/>
          <w:color w:val="auto"/>
        </w:rPr>
      </w:pPr>
    </w:p>
    <w:p>
      <w:pPr>
        <w:jc w:val="both"/>
        <w:ind w:right="380" w:firstLine="432"/>
        <w:spacing w:after="0" w:line="259" w:lineRule="auto"/>
        <w:rPr>
          <w:sz w:val="20"/>
          <w:szCs w:val="20"/>
          <w:color w:val="auto"/>
        </w:rPr>
      </w:pPr>
      <w:r>
        <w:rPr>
          <w:rFonts w:ascii="Arial" w:cs="Arial" w:eastAsia="Arial" w:hAnsi="Arial"/>
          <w:sz w:val="18"/>
          <w:szCs w:val="18"/>
          <w:i w:val="1"/>
          <w:iCs w:val="1"/>
          <w:color w:val="auto"/>
        </w:rPr>
        <w:t>Biorepositories</w:t>
      </w:r>
      <w:r>
        <w:rPr>
          <w:rFonts w:ascii="Arial" w:cs="Arial" w:eastAsia="Arial" w:hAnsi="Arial"/>
          <w:sz w:val="18"/>
          <w:szCs w:val="18"/>
          <w:color w:val="auto"/>
        </w:rPr>
        <w:t>. Advancements in biology have led to an increased dependence on biorepositories to store genetic material for future testing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Flaws in the identity and quality of biorepository specimens are costly and result in erroneous data. To ensure sample integrity, biorepositories require cost-effective, simple, and high-throughput techniques to identify DNA samples and ensure traceability throughout the banking and downstream analytical processes.</w:t>
      </w:r>
    </w:p>
    <w:p>
      <w:pPr>
        <w:spacing w:after="0" w:line="5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 xml:space="preserve">Biopharmaceuticals. </w:t>
      </w:r>
      <w:r>
        <w:rPr>
          <w:rFonts w:ascii="Arial" w:cs="Arial" w:eastAsia="Arial" w:hAnsi="Arial"/>
          <w:sz w:val="18"/>
          <w:szCs w:val="18"/>
          <w:color w:val="auto"/>
        </w:rPr>
        <w:t>Biopharmaceutical companies use production scale genomic and proteomic analytical methods in numerous phases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discovery, development and approval process of a therapeutic agent. These methods also may be used in companion diagnostics to attempt to reduce adverse events and identify patient populations that may more effectively respond to a therapeutic agent.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We market innovative technologies and life-science tools, including analytical and preparatory systems for genomic and proteomic analysis, and consumables, including IFCs, assays, and reagents. Our primary product offerings are summarized in the table below:</w:t>
      </w:r>
    </w:p>
    <w:p>
      <w:pPr>
        <w:sectPr>
          <w:pgSz w:w="11900" w:h="16838" w:orient="portrait"/>
          <w:cols w:equalWidth="0" w:num="1">
            <w:col w:w="11340"/>
          </w:cols>
          <w:pgMar w:left="240" w:top="206" w:right="31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gridSpan w:val="2"/>
          </w:tcPr>
          <w:p>
            <w:pPr>
              <w:ind w:left="1600"/>
              <w:spacing w:after="0"/>
              <w:rPr>
                <w:sz w:val="20"/>
                <w:szCs w:val="20"/>
                <w:color w:val="auto"/>
              </w:rPr>
            </w:pPr>
            <w:r>
              <w:rPr>
                <w:rFonts w:ascii="Arial" w:cs="Arial" w:eastAsia="Arial" w:hAnsi="Arial"/>
                <w:sz w:val="14"/>
                <w:szCs w:val="14"/>
                <w:b w:val="1"/>
                <w:bCs w:val="1"/>
                <w:color w:val="auto"/>
              </w:rPr>
              <w:t>Product</w:t>
            </w:r>
          </w:p>
        </w:tc>
        <w:tc>
          <w:tcPr>
            <w:tcW w:w="4220" w:type="dxa"/>
            <w:vAlign w:val="bottom"/>
          </w:tcPr>
          <w:p>
            <w:pPr>
              <w:ind w:left="1480"/>
              <w:spacing w:after="0"/>
              <w:rPr>
                <w:sz w:val="20"/>
                <w:szCs w:val="20"/>
                <w:color w:val="auto"/>
              </w:rPr>
            </w:pPr>
            <w:r>
              <w:rPr>
                <w:rFonts w:ascii="Arial" w:cs="Arial" w:eastAsia="Arial" w:hAnsi="Arial"/>
                <w:sz w:val="14"/>
                <w:szCs w:val="14"/>
                <w:b w:val="1"/>
                <w:bCs w:val="1"/>
                <w:color w:val="auto"/>
              </w:rPr>
              <w:t>Product Description</w:t>
            </w:r>
          </w:p>
        </w:tc>
      </w:tr>
      <w:tr>
        <w:trPr>
          <w:trHeight w:val="80"/>
        </w:trPr>
        <w:tc>
          <w:tcPr>
            <w:tcW w:w="366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4220" w:type="dxa"/>
            <w:vAlign w:val="bottom"/>
            <w:tcBorders>
              <w:bottom w:val="single" w:sz="8" w:color="auto"/>
            </w:tcBorders>
          </w:tcPr>
          <w:p>
            <w:pPr>
              <w:spacing w:after="0"/>
              <w:rPr>
                <w:sz w:val="6"/>
                <w:szCs w:val="6"/>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Preparatory Instruments</w:t>
            </w:r>
          </w:p>
        </w:tc>
        <w:tc>
          <w:tcPr>
            <w:tcW w:w="4220" w:type="dxa"/>
            <w:vAlign w:val="bottom"/>
          </w:tcPr>
          <w:p>
            <w:pPr>
              <w:spacing w:after="0"/>
              <w:rPr>
                <w:sz w:val="20"/>
                <w:szCs w:val="20"/>
                <w:color w:val="auto"/>
              </w:rPr>
            </w:pPr>
          </w:p>
        </w:tc>
      </w:tr>
      <w:tr>
        <w:trPr>
          <w:trHeight w:val="25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C1 Single-Cell Auto Prep System</w:t>
            </w:r>
          </w:p>
        </w:tc>
        <w:tc>
          <w:tcPr>
            <w:tcW w:w="4220" w:type="dxa"/>
            <w:vAlign w:val="bottom"/>
          </w:tcPr>
          <w:p>
            <w:pPr>
              <w:ind w:left="20"/>
              <w:spacing w:after="0"/>
              <w:rPr>
                <w:sz w:val="20"/>
                <w:szCs w:val="20"/>
                <w:color w:val="auto"/>
              </w:rPr>
            </w:pPr>
            <w:r>
              <w:rPr>
                <w:rFonts w:ascii="Arial" w:cs="Arial" w:eastAsia="Arial" w:hAnsi="Arial"/>
                <w:sz w:val="18"/>
                <w:szCs w:val="18"/>
                <w:color w:val="auto"/>
              </w:rPr>
              <w:t>Sample preparation system that rapidly and reliably</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isolates and processes individual cells for genomic</w:t>
            </w: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analysis.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
        <w:spacing w:after="0"/>
        <w:tabs>
          <w:tab w:leader="none" w:pos="4020" w:val="left"/>
        </w:tabs>
        <w:rPr>
          <w:sz w:val="20"/>
          <w:szCs w:val="20"/>
          <w:color w:val="auto"/>
        </w:rPr>
      </w:pPr>
      <w:r>
        <w:rPr>
          <w:rFonts w:ascii="Arial" w:cs="Arial" w:eastAsia="Arial" w:hAnsi="Arial"/>
          <w:sz w:val="18"/>
          <w:szCs w:val="18"/>
          <w:color w:val="auto"/>
        </w:rPr>
        <w:t>Access Array System</w:t>
      </w:r>
      <w:r>
        <w:rPr>
          <w:sz w:val="20"/>
          <w:szCs w:val="20"/>
          <w:color w:val="auto"/>
        </w:rPr>
        <w:tab/>
      </w:r>
      <w:r>
        <w:rPr>
          <w:rFonts w:ascii="Arial" w:cs="Arial" w:eastAsia="Arial" w:hAnsi="Arial"/>
          <w:sz w:val="15"/>
          <w:szCs w:val="15"/>
          <w:color w:val="auto"/>
        </w:rPr>
        <w:t>Sample preparation system that enables automated PCR-</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based target enrichment, barcoding, and tagging of</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targeted sequencing libraries and facilitates parallel</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amplification of up to 480 amplicons across 48 unique</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samples.</w:t>
      </w:r>
    </w:p>
    <w:p>
      <w:pPr>
        <w:spacing w:after="0" w:line="170" w:lineRule="exact"/>
        <w:rPr>
          <w:sz w:val="20"/>
          <w:szCs w:val="20"/>
          <w:color w:val="auto"/>
        </w:rPr>
      </w:pPr>
    </w:p>
    <w:p>
      <w:pPr>
        <w:ind w:left="180"/>
        <w:spacing w:after="0"/>
        <w:tabs>
          <w:tab w:leader="none" w:pos="4020" w:val="left"/>
        </w:tabs>
        <w:rPr>
          <w:sz w:val="20"/>
          <w:szCs w:val="20"/>
          <w:color w:val="auto"/>
        </w:rPr>
      </w:pPr>
      <w:r>
        <w:rPr>
          <w:rFonts w:ascii="Arial" w:cs="Arial" w:eastAsia="Arial" w:hAnsi="Arial"/>
          <w:sz w:val="18"/>
          <w:szCs w:val="18"/>
          <w:color w:val="auto"/>
        </w:rPr>
        <w:t>Juno System and IFCs</w:t>
      </w:r>
      <w:r>
        <w:rPr>
          <w:sz w:val="20"/>
          <w:szCs w:val="20"/>
          <w:color w:val="auto"/>
        </w:rPr>
        <w:tab/>
      </w:r>
      <w:r>
        <w:rPr>
          <w:rFonts w:ascii="Arial" w:cs="Arial" w:eastAsia="Arial" w:hAnsi="Arial"/>
          <w:sz w:val="16"/>
          <w:szCs w:val="16"/>
          <w:color w:val="auto"/>
        </w:rPr>
        <w:t>System that automates the preparation of samples for</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genomic analysis. The system automates PCR-based</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target enrichment, barcoding, and tagging of targeted</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sequencing libraries utilizing Targeted Sequencing Prep</w:t>
      </w:r>
    </w:p>
    <w:p>
      <w:pPr>
        <w:spacing w:after="0" w:line="32"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chemistry and IFCs. The Targeted Sequencing Prep IFCs</w:t>
      </w:r>
    </w:p>
    <w:p>
      <w:pPr>
        <w:spacing w:after="0" w:line="3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and chemistry facilitate parallel amplification of up to</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5000 amplicons across up to 48 unique samples, or up to</w:t>
      </w:r>
    </w:p>
    <w:p>
      <w:pPr>
        <w:spacing w:after="0" w:line="32"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2500 amplicons across up to 192 unique samples. Juno</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also automates workflows for PCR-based gene</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expression and genotyping, preparing the Flex Six,</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48.48, and 96.96 IFCs for both gene expression and</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genotyping. The Juno genotyping IFC incorporates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preamplification for genotyping of challenging and low-</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concentration DNA samples, genotyping of up to 96</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samples and 96 assays on a single IFC.</w:t>
      </w:r>
    </w:p>
    <w:p>
      <w:pPr>
        <w:spacing w:after="0" w:line="170" w:lineRule="exact"/>
        <w:rPr>
          <w:sz w:val="20"/>
          <w:szCs w:val="20"/>
          <w:color w:val="auto"/>
        </w:rPr>
      </w:pPr>
    </w:p>
    <w:p>
      <w:pPr>
        <w:ind w:left="180"/>
        <w:spacing w:after="0"/>
        <w:tabs>
          <w:tab w:leader="none" w:pos="4020" w:val="left"/>
        </w:tabs>
        <w:rPr>
          <w:sz w:val="20"/>
          <w:szCs w:val="20"/>
          <w:color w:val="auto"/>
        </w:rPr>
      </w:pPr>
      <w:r>
        <w:rPr>
          <w:rFonts w:ascii="Arial" w:cs="Arial" w:eastAsia="Arial" w:hAnsi="Arial"/>
          <w:sz w:val="18"/>
          <w:szCs w:val="18"/>
          <w:color w:val="auto"/>
        </w:rPr>
        <w:t>Callisto System and IFC</w:t>
      </w:r>
      <w:r>
        <w:rPr>
          <w:sz w:val="20"/>
          <w:szCs w:val="20"/>
          <w:color w:val="auto"/>
        </w:rPr>
        <w:tab/>
      </w:r>
      <w:r>
        <w:rPr>
          <w:rFonts w:ascii="Arial" w:cs="Arial" w:eastAsia="Arial" w:hAnsi="Arial"/>
          <w:sz w:val="16"/>
          <w:szCs w:val="16"/>
          <w:color w:val="auto"/>
        </w:rPr>
        <w:t>Integrated high-throughput system and IFC that enable</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automated cell culture and combinatorial dosing on a</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single device.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66675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Single-Cell Targeted Gene Expression, Single-Cell microRNA Analysis, Single-Cell mRNA Sequencing, Single-Cell Targeted DNA Sequencing, Single-Cell Whole Exome Sequencing, and Single-Cell Whole Genome DNA Sequencing, Single-Cell Epigenetics, Single-Cell Protein Expression</w:t>
      </w:r>
    </w:p>
    <w:p>
      <w:pPr>
        <w:spacing w:after="0" w:line="126"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Targeted Resequencing with Next-Generation DNA Sequencing</w:t>
      </w:r>
    </w:p>
    <w:p>
      <w:pPr>
        <w:spacing w:after="0" w:line="200" w:lineRule="exact"/>
        <w:rPr>
          <w:sz w:val="20"/>
          <w:szCs w:val="20"/>
          <w:color w:val="auto"/>
        </w:rPr>
      </w:pPr>
    </w:p>
    <w:p>
      <w:pPr>
        <w:spacing w:after="0" w:line="3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SNP Genotyping and Targeted Resequencing with Next-Generation DNA Sequencing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Stem Cell Reprogramming and Differentiation</w:t>
      </w:r>
    </w:p>
    <w:p>
      <w:pPr>
        <w:spacing w:after="0" w:line="375" w:lineRule="exact"/>
        <w:rPr>
          <w:sz w:val="20"/>
          <w:szCs w:val="20"/>
          <w:color w:val="auto"/>
        </w:rPr>
      </w:pPr>
    </w:p>
    <w:p>
      <w:pPr>
        <w:sectPr>
          <w:pgSz w:w="11900" w:h="16838" w:orient="portrait"/>
          <w:cols w:equalWidth="0" w:num="2">
            <w:col w:w="8240" w:space="360"/>
            <w:col w:w="2740"/>
          </w:cols>
          <w:pgMar w:left="240" w:top="206" w:right="319" w:bottom="1440" w:gutter="0" w:footer="0" w:header="0"/>
          <w:type w:val="continuous"/>
        </w:sectPr>
      </w:pPr>
    </w:p>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240" w:top="206" w:right="31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4020" w:type="dxa"/>
            <w:vAlign w:val="bottom"/>
            <w:gridSpan w:val="2"/>
          </w:tcPr>
          <w:p>
            <w:pPr>
              <w:ind w:left="1600"/>
              <w:spacing w:after="0"/>
              <w:rPr>
                <w:sz w:val="20"/>
                <w:szCs w:val="20"/>
                <w:color w:val="auto"/>
              </w:rPr>
            </w:pPr>
            <w:r>
              <w:rPr>
                <w:rFonts w:ascii="Arial" w:cs="Arial" w:eastAsia="Arial" w:hAnsi="Arial"/>
                <w:sz w:val="14"/>
                <w:szCs w:val="14"/>
                <w:b w:val="1"/>
                <w:bCs w:val="1"/>
                <w:color w:val="auto"/>
              </w:rPr>
              <w:t>Product</w:t>
            </w:r>
          </w:p>
        </w:tc>
        <w:tc>
          <w:tcPr>
            <w:tcW w:w="4220" w:type="dxa"/>
            <w:vAlign w:val="bottom"/>
          </w:tcPr>
          <w:p>
            <w:pPr>
              <w:ind w:left="1480"/>
              <w:spacing w:after="0"/>
              <w:rPr>
                <w:sz w:val="20"/>
                <w:szCs w:val="20"/>
                <w:color w:val="auto"/>
              </w:rPr>
            </w:pPr>
            <w:r>
              <w:rPr>
                <w:rFonts w:ascii="Arial" w:cs="Arial" w:eastAsia="Arial" w:hAnsi="Arial"/>
                <w:sz w:val="14"/>
                <w:szCs w:val="14"/>
                <w:b w:val="1"/>
                <w:bCs w:val="1"/>
                <w:color w:val="auto"/>
              </w:rPr>
              <w:t>Product Description</w:t>
            </w:r>
          </w:p>
        </w:tc>
      </w:tr>
      <w:tr>
        <w:trPr>
          <w:trHeight w:val="80"/>
        </w:trPr>
        <w:tc>
          <w:tcPr>
            <w:tcW w:w="366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4220" w:type="dxa"/>
            <w:vAlign w:val="bottom"/>
            <w:tcBorders>
              <w:bottom w:val="single" w:sz="8" w:color="auto"/>
            </w:tcBorders>
          </w:tcPr>
          <w:p>
            <w:pPr>
              <w:spacing w:after="0"/>
              <w:rPr>
                <w:sz w:val="6"/>
                <w:szCs w:val="6"/>
                <w:color w:val="auto"/>
              </w:rPr>
            </w:pPr>
          </w:p>
        </w:tc>
      </w:tr>
      <w:tr>
        <w:trPr>
          <w:trHeight w:val="358"/>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Preparatory Analytical Instruments</w:t>
            </w:r>
          </w:p>
        </w:tc>
        <w:tc>
          <w:tcPr>
            <w:tcW w:w="4220" w:type="dxa"/>
            <w:vAlign w:val="bottom"/>
          </w:tcPr>
          <w:p>
            <w:pPr>
              <w:spacing w:after="0"/>
              <w:rPr>
                <w:sz w:val="24"/>
                <w:szCs w:val="24"/>
                <w:color w:val="auto"/>
              </w:rPr>
            </w:pPr>
          </w:p>
        </w:tc>
      </w:tr>
      <w:tr>
        <w:trPr>
          <w:trHeight w:val="25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Polaris System and IFC</w:t>
            </w:r>
          </w:p>
        </w:tc>
        <w:tc>
          <w:tcPr>
            <w:tcW w:w="4220" w:type="dxa"/>
            <w:vAlign w:val="bottom"/>
          </w:tcPr>
          <w:p>
            <w:pPr>
              <w:ind w:left="20"/>
              <w:spacing w:after="0"/>
              <w:rPr>
                <w:sz w:val="20"/>
                <w:szCs w:val="20"/>
                <w:color w:val="auto"/>
              </w:rPr>
            </w:pPr>
            <w:r>
              <w:rPr>
                <w:rFonts w:ascii="Arial" w:cs="Arial" w:eastAsia="Arial" w:hAnsi="Arial"/>
                <w:sz w:val="18"/>
                <w:szCs w:val="18"/>
                <w:color w:val="auto"/>
                <w:w w:val="93"/>
              </w:rPr>
              <w:t>System and IFC that incorporate cell selection, isolation,</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6"/>
              </w:rPr>
              <w:t>imaging, dosing, culture, and processing of single cells</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for downstream molecular biology and analysis</w:t>
            </w: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techniques preparation into a single workflow.</w:t>
            </w:r>
          </w:p>
        </w:tc>
      </w:tr>
      <w:tr>
        <w:trPr>
          <w:trHeight w:val="392"/>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Analytical Instruments</w:t>
            </w:r>
          </w:p>
        </w:tc>
        <w:tc>
          <w:tcPr>
            <w:tcW w:w="4220" w:type="dxa"/>
            <w:vAlign w:val="bottom"/>
          </w:tcPr>
          <w:p>
            <w:pPr>
              <w:spacing w:after="0"/>
              <w:rPr>
                <w:sz w:val="24"/>
                <w:szCs w:val="24"/>
                <w:color w:val="auto"/>
              </w:rPr>
            </w:pPr>
          </w:p>
        </w:tc>
      </w:tr>
      <w:tr>
        <w:trPr>
          <w:trHeight w:val="25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Biomark HD System</w:t>
            </w:r>
          </w:p>
        </w:tc>
        <w:tc>
          <w:tcPr>
            <w:tcW w:w="4220" w:type="dxa"/>
            <w:vAlign w:val="bottom"/>
          </w:tcPr>
          <w:p>
            <w:pPr>
              <w:ind w:left="20"/>
              <w:spacing w:after="0"/>
              <w:rPr>
                <w:sz w:val="20"/>
                <w:szCs w:val="20"/>
                <w:color w:val="auto"/>
              </w:rPr>
            </w:pPr>
            <w:r>
              <w:rPr>
                <w:rFonts w:ascii="Arial" w:cs="Arial" w:eastAsia="Arial" w:hAnsi="Arial"/>
                <w:sz w:val="18"/>
                <w:szCs w:val="18"/>
                <w:color w:val="auto"/>
                <w:w w:val="93"/>
              </w:rPr>
              <w:t>Real-time PCR analytical instrument for high-throughput</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gene expression analysis, single-cell targeted gene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expression analysis, microRNA analysis, SNP</w:t>
            </w: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genotyping, and digital PCR.</w:t>
            </w:r>
          </w:p>
        </w:tc>
      </w:tr>
      <w:tr>
        <w:trPr>
          <w:trHeight w:val="37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EP1 System</w:t>
            </w:r>
          </w:p>
        </w:tc>
        <w:tc>
          <w:tcPr>
            <w:tcW w:w="4220" w:type="dxa"/>
            <w:vAlign w:val="bottom"/>
          </w:tcPr>
          <w:p>
            <w:pPr>
              <w:ind w:left="20"/>
              <w:spacing w:after="0"/>
              <w:rPr>
                <w:sz w:val="20"/>
                <w:szCs w:val="20"/>
                <w:color w:val="auto"/>
              </w:rPr>
            </w:pPr>
            <w:r>
              <w:rPr>
                <w:rFonts w:ascii="Arial" w:cs="Arial" w:eastAsia="Arial" w:hAnsi="Arial"/>
                <w:sz w:val="18"/>
                <w:szCs w:val="18"/>
                <w:color w:val="auto"/>
                <w:w w:val="93"/>
              </w:rPr>
              <w:t>End-point PCR analytical instrument that performs high-</w:t>
            </w: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5"/>
              </w:rPr>
              <w:t>throughput SNP genotyping and end-point digital PCR.</w:t>
            </w:r>
          </w:p>
        </w:tc>
      </w:tr>
      <w:tr>
        <w:trPr>
          <w:trHeight w:val="37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Helios/CyTOF 2 System</w:t>
            </w:r>
          </w:p>
        </w:tc>
        <w:tc>
          <w:tcPr>
            <w:tcW w:w="4220" w:type="dxa"/>
            <w:vAlign w:val="bottom"/>
          </w:tcPr>
          <w:p>
            <w:pPr>
              <w:ind w:left="20"/>
              <w:spacing w:after="0"/>
              <w:rPr>
                <w:sz w:val="20"/>
                <w:szCs w:val="20"/>
                <w:color w:val="auto"/>
              </w:rPr>
            </w:pPr>
            <w:r>
              <w:rPr>
                <w:rFonts w:ascii="Arial" w:cs="Arial" w:eastAsia="Arial" w:hAnsi="Arial"/>
                <w:sz w:val="18"/>
                <w:szCs w:val="18"/>
                <w:color w:val="auto"/>
                <w:w w:val="92"/>
              </w:rPr>
              <w:t>Mass cytometry instrument that performs high-parameter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9"/>
              </w:rPr>
              <w:t>single-cell protein analysis by analyzing cells labeled</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with a panel of reagents conjugated to stable metal</w:t>
            </w: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isotopes.</w:t>
            </w:r>
          </w:p>
        </w:tc>
      </w:tr>
      <w:tr>
        <w:trPr>
          <w:trHeight w:val="392"/>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Integrated Fluidic Circuits (IFCs)</w:t>
            </w:r>
          </w:p>
        </w:tc>
        <w:tc>
          <w:tcPr>
            <w:tcW w:w="4220" w:type="dxa"/>
            <w:vAlign w:val="bottom"/>
          </w:tcPr>
          <w:p>
            <w:pPr>
              <w:spacing w:after="0"/>
              <w:rPr>
                <w:sz w:val="24"/>
                <w:szCs w:val="24"/>
                <w:color w:val="auto"/>
              </w:rPr>
            </w:pPr>
          </w:p>
        </w:tc>
      </w:tr>
      <w:tr>
        <w:trPr>
          <w:trHeight w:val="25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C1 IFCs</w:t>
            </w:r>
          </w:p>
        </w:tc>
        <w:tc>
          <w:tcPr>
            <w:tcW w:w="4220" w:type="dxa"/>
            <w:vAlign w:val="bottom"/>
          </w:tcPr>
          <w:p>
            <w:pPr>
              <w:ind w:left="20"/>
              <w:spacing w:after="0"/>
              <w:rPr>
                <w:sz w:val="20"/>
                <w:szCs w:val="20"/>
                <w:color w:val="auto"/>
              </w:rPr>
            </w:pPr>
            <w:r>
              <w:rPr>
                <w:rFonts w:ascii="Arial" w:cs="Arial" w:eastAsia="Arial" w:hAnsi="Arial"/>
                <w:sz w:val="18"/>
                <w:szCs w:val="18"/>
                <w:color w:val="auto"/>
              </w:rPr>
              <w:t>IFCs that capture and prepare individual cells for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genomic analysis, and uses integrated thermal and</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6"/>
              </w:rPr>
              <w:t>pneumatic controls at nanoliter scale to perform all the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steps of the single-cell genomic workflow without</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intervention; designed to maximize cell capture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6"/>
              </w:rPr>
              <w:t>efficiency based on cell size (5-25 micron); available in</w:t>
            </w: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three sizes per application.</w:t>
            </w:r>
          </w:p>
        </w:tc>
      </w:tr>
      <w:tr>
        <w:trPr>
          <w:trHeight w:val="593"/>
        </w:trPr>
        <w:tc>
          <w:tcPr>
            <w:tcW w:w="4020" w:type="dxa"/>
            <w:vAlign w:val="bottom"/>
            <w:gridSpan w:val="2"/>
          </w:tcPr>
          <w:p>
            <w:pPr>
              <w:ind w:left="160"/>
              <w:spacing w:after="0"/>
              <w:rPr>
                <w:sz w:val="20"/>
                <w:szCs w:val="20"/>
                <w:color w:val="auto"/>
              </w:rPr>
            </w:pPr>
            <w:r>
              <w:rPr>
                <w:rFonts w:ascii="Arial" w:cs="Arial" w:eastAsia="Arial" w:hAnsi="Arial"/>
                <w:sz w:val="18"/>
                <w:szCs w:val="18"/>
                <w:color w:val="auto"/>
              </w:rPr>
              <w:t>Access Array IFC</w:t>
            </w:r>
          </w:p>
        </w:tc>
        <w:tc>
          <w:tcPr>
            <w:tcW w:w="4220" w:type="dxa"/>
            <w:vAlign w:val="bottom"/>
          </w:tcPr>
          <w:p>
            <w:pPr>
              <w:ind w:left="20"/>
              <w:spacing w:after="0"/>
              <w:rPr>
                <w:sz w:val="20"/>
                <w:szCs w:val="20"/>
                <w:color w:val="auto"/>
              </w:rPr>
            </w:pPr>
            <w:r>
              <w:rPr>
                <w:rFonts w:ascii="Arial" w:cs="Arial" w:eastAsia="Arial" w:hAnsi="Arial"/>
                <w:sz w:val="18"/>
                <w:szCs w:val="18"/>
                <w:color w:val="auto"/>
                <w:w w:val="94"/>
              </w:rPr>
              <w:t>IFC that facilitates parallel amplification, barcoding, and</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7"/>
              </w:rPr>
              <w:t>tagging of 48 unique samples and designed to enable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recovery of reaction products from the IFC for</w:t>
            </w: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sequencing.</w:t>
            </w:r>
          </w:p>
        </w:tc>
      </w:tr>
      <w:tr>
        <w:trPr>
          <w:trHeight w:val="37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Dynamic Array IFCs</w:t>
            </w:r>
          </w:p>
        </w:tc>
        <w:tc>
          <w:tcPr>
            <w:tcW w:w="4220" w:type="dxa"/>
            <w:vAlign w:val="bottom"/>
          </w:tcPr>
          <w:p>
            <w:pPr>
              <w:ind w:left="20"/>
              <w:spacing w:after="0"/>
              <w:rPr>
                <w:sz w:val="20"/>
                <w:szCs w:val="20"/>
                <w:color w:val="auto"/>
              </w:rPr>
            </w:pPr>
            <w:r>
              <w:rPr>
                <w:rFonts w:ascii="Arial" w:cs="Arial" w:eastAsia="Arial" w:hAnsi="Arial"/>
                <w:sz w:val="18"/>
                <w:szCs w:val="18"/>
                <w:color w:val="auto"/>
                <w:w w:val="96"/>
              </w:rPr>
              <w:t>IFCs based on matrix architecture, allowing users to (i)</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individually assay up to 48 samples against up to 48</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0"/>
              </w:rPr>
              <w:t>assays, (ii) individually assay up to 96 samples against up</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2"/>
              </w:rPr>
              <w:t>to 96 assays, or (iii) individually assay up to 192 samples</w:t>
            </w: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against up to 24 assays.</w:t>
            </w:r>
          </w:p>
        </w:tc>
      </w:tr>
      <w:tr>
        <w:trPr>
          <w:trHeight w:val="37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Digital Array IFCs</w:t>
            </w:r>
          </w:p>
        </w:tc>
        <w:tc>
          <w:tcPr>
            <w:tcW w:w="4220" w:type="dxa"/>
            <w:vAlign w:val="bottom"/>
          </w:tcPr>
          <w:p>
            <w:pPr>
              <w:ind w:left="20"/>
              <w:spacing w:after="0"/>
              <w:rPr>
                <w:sz w:val="20"/>
                <w:szCs w:val="20"/>
                <w:color w:val="auto"/>
              </w:rPr>
            </w:pPr>
            <w:r>
              <w:rPr>
                <w:rFonts w:ascii="Arial" w:cs="Arial" w:eastAsia="Arial" w:hAnsi="Arial"/>
                <w:sz w:val="18"/>
                <w:szCs w:val="18"/>
                <w:color w:val="auto"/>
                <w:w w:val="92"/>
              </w:rPr>
              <w:t>IFCs based on partitioning architecture, allowing users to</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3"/>
              </w:rPr>
              <w:t>divide samples into up to 770 chambers in each of up to</w:t>
            </w: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48 panels for up to 36,960 reactions per IFC.</w:t>
            </w:r>
          </w:p>
        </w:tc>
      </w:tr>
      <w:tr>
        <w:trPr>
          <w:trHeight w:val="37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Flex Six IFC</w:t>
            </w:r>
          </w:p>
        </w:tc>
        <w:tc>
          <w:tcPr>
            <w:tcW w:w="4220" w:type="dxa"/>
            <w:vAlign w:val="bottom"/>
          </w:tcPr>
          <w:p>
            <w:pPr>
              <w:ind w:left="20"/>
              <w:spacing w:after="0"/>
              <w:rPr>
                <w:sz w:val="20"/>
                <w:szCs w:val="20"/>
                <w:color w:val="auto"/>
              </w:rPr>
            </w:pPr>
            <w:r>
              <w:rPr>
                <w:rFonts w:ascii="Arial" w:cs="Arial" w:eastAsia="Arial" w:hAnsi="Arial"/>
                <w:sz w:val="18"/>
                <w:szCs w:val="18"/>
                <w:color w:val="auto"/>
                <w:w w:val="96"/>
              </w:rPr>
              <w:t>IFC that incorporates six 12 X 12 partitions that can be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organized in any configuration, in up to six separate</w:t>
            </w: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experimental runs.</w:t>
            </w:r>
          </w:p>
        </w:tc>
      </w:tr>
      <w:tr>
        <w:trPr>
          <w:trHeight w:val="37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High-Throughput C1 mRNA</w:t>
            </w:r>
          </w:p>
        </w:tc>
        <w:tc>
          <w:tcPr>
            <w:tcW w:w="4220" w:type="dxa"/>
            <w:vAlign w:val="bottom"/>
          </w:tcPr>
          <w:p>
            <w:pPr>
              <w:ind w:left="20"/>
              <w:spacing w:after="0"/>
              <w:rPr>
                <w:sz w:val="20"/>
                <w:szCs w:val="20"/>
                <w:color w:val="auto"/>
              </w:rPr>
            </w:pPr>
            <w:r>
              <w:rPr>
                <w:rFonts w:ascii="Arial" w:cs="Arial" w:eastAsia="Arial" w:hAnsi="Arial"/>
                <w:sz w:val="18"/>
                <w:szCs w:val="18"/>
                <w:color w:val="auto"/>
                <w:w w:val="92"/>
              </w:rPr>
              <w:t>IFC that enables sequencing transcriptomes of up to 800</w:t>
            </w:r>
          </w:p>
        </w:tc>
      </w:tr>
      <w:tr>
        <w:trPr>
          <w:trHeight w:val="230"/>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Sequencing IFC</w:t>
            </w:r>
          </w:p>
        </w:tc>
        <w:tc>
          <w:tcPr>
            <w:tcW w:w="4220" w:type="dxa"/>
            <w:vAlign w:val="bottom"/>
          </w:tcPr>
          <w:p>
            <w:pPr>
              <w:ind w:left="20"/>
              <w:spacing w:after="0"/>
              <w:rPr>
                <w:sz w:val="20"/>
                <w:szCs w:val="20"/>
                <w:color w:val="auto"/>
              </w:rPr>
            </w:pPr>
            <w:r>
              <w:rPr>
                <w:rFonts w:ascii="Arial" w:cs="Arial" w:eastAsia="Arial" w:hAnsi="Arial"/>
                <w:sz w:val="18"/>
                <w:szCs w:val="18"/>
                <w:color w:val="auto"/>
              </w:rPr>
              <w:t>single cells.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ind w:left="100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66675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Functional Genomics Using Single-Cell mRNA Sequencing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SNP Genotyping, Digital PCR, and Gene Expression, including Single-Cell Targeted Gene Expression</w:t>
      </w:r>
    </w:p>
    <w:p>
      <w:pPr>
        <w:spacing w:after="0" w:line="32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SNP Genotyping and Digital PCR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Single-Cell Protein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Single-Cell Targeted Gene Expression, Single-Cell microRNA Analysis, Single-Cell mRNA Sequencing, Single-Cell Targeted DNA Sequencing, Single-Cell Whole Exome DNA Sequencing, and Single-Cell Whole Genome DNA Sequencing</w:t>
      </w:r>
    </w:p>
    <w:p>
      <w:pPr>
        <w:spacing w:after="0" w:line="15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Targeted Sequencing with Next-Generation DNA Sequencing</w:t>
      </w:r>
    </w:p>
    <w:p>
      <w:pPr>
        <w:spacing w:after="0" w:line="200" w:lineRule="exact"/>
        <w:rPr>
          <w:sz w:val="20"/>
          <w:szCs w:val="20"/>
          <w:color w:val="auto"/>
        </w:rPr>
      </w:pPr>
    </w:p>
    <w:p>
      <w:pPr>
        <w:spacing w:after="0" w:line="31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Real-time qPCR, End-Point PCR, SNP Genotyping and Gene Expression, including Single-Cell Targeted Gene Expression</w:t>
      </w:r>
    </w:p>
    <w:p>
      <w:pPr>
        <w:spacing w:after="0" w:line="33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Digital PCR, Copy Number Variation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Mutation Detection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 Expression and SNP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Genotyping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Single-Cell mRNA Sequencing</w:t>
      </w:r>
    </w:p>
    <w:p>
      <w:pPr>
        <w:sectPr>
          <w:pgSz w:w="11900" w:h="16838" w:orient="portrait"/>
          <w:cols w:equalWidth="0" w:num="2">
            <w:col w:w="8240" w:space="360"/>
            <w:col w:w="2740"/>
          </w:cols>
          <w:pgMar w:left="240" w:top="441"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4020" w:type="dxa"/>
            <w:vAlign w:val="bottom"/>
            <w:gridSpan w:val="2"/>
          </w:tcPr>
          <w:p>
            <w:pPr>
              <w:ind w:left="1600"/>
              <w:spacing w:after="0"/>
              <w:rPr>
                <w:sz w:val="20"/>
                <w:szCs w:val="20"/>
                <w:color w:val="auto"/>
              </w:rPr>
            </w:pPr>
            <w:r>
              <w:rPr>
                <w:rFonts w:ascii="Arial" w:cs="Arial" w:eastAsia="Arial" w:hAnsi="Arial"/>
                <w:sz w:val="14"/>
                <w:szCs w:val="14"/>
                <w:b w:val="1"/>
                <w:bCs w:val="1"/>
                <w:color w:val="auto"/>
              </w:rPr>
              <w:t>Product</w:t>
            </w:r>
          </w:p>
        </w:tc>
        <w:tc>
          <w:tcPr>
            <w:tcW w:w="4560" w:type="dxa"/>
            <w:vAlign w:val="bottom"/>
            <w:gridSpan w:val="2"/>
          </w:tcPr>
          <w:p>
            <w:pPr>
              <w:ind w:left="1480"/>
              <w:spacing w:after="0"/>
              <w:rPr>
                <w:sz w:val="20"/>
                <w:szCs w:val="20"/>
                <w:color w:val="auto"/>
              </w:rPr>
            </w:pPr>
            <w:r>
              <w:rPr>
                <w:rFonts w:ascii="Arial" w:cs="Arial" w:eastAsia="Arial" w:hAnsi="Arial"/>
                <w:sz w:val="14"/>
                <w:szCs w:val="14"/>
                <w:b w:val="1"/>
                <w:bCs w:val="1"/>
                <w:color w:val="auto"/>
              </w:rPr>
              <w:t>Product Description</w:t>
            </w:r>
          </w:p>
        </w:tc>
        <w:tc>
          <w:tcPr>
            <w:tcW w:w="2840" w:type="dxa"/>
            <w:vAlign w:val="bottom"/>
          </w:tcPr>
          <w:p>
            <w:pPr>
              <w:ind w:left="1020"/>
              <w:spacing w:after="0"/>
              <w:rPr>
                <w:sz w:val="20"/>
                <w:szCs w:val="20"/>
                <w:color w:val="auto"/>
              </w:rPr>
            </w:pPr>
            <w:r>
              <w:rPr>
                <w:rFonts w:ascii="Arial" w:cs="Arial" w:eastAsia="Arial" w:hAnsi="Arial"/>
                <w:sz w:val="14"/>
                <w:szCs w:val="14"/>
                <w:b w:val="1"/>
                <w:bCs w:val="1"/>
                <w:color w:val="auto"/>
              </w:rPr>
              <w:t>Applications</w:t>
            </w:r>
          </w:p>
        </w:tc>
      </w:tr>
      <w:tr>
        <w:trPr>
          <w:trHeight w:val="80"/>
        </w:trPr>
        <w:tc>
          <w:tcPr>
            <w:tcW w:w="366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42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Assays and Reagents</w:t>
            </w:r>
          </w:p>
        </w:tc>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5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Delta Gene and SNP Type Assays</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w w:val="99"/>
              </w:rPr>
              <w:t>Custom designed assays for specific nucleic acid regions</w:t>
            </w:r>
          </w:p>
        </w:tc>
        <w:tc>
          <w:tcPr>
            <w:tcW w:w="2840" w:type="dxa"/>
            <w:vAlign w:val="bottom"/>
          </w:tcPr>
          <w:p>
            <w:pPr>
              <w:ind w:left="20"/>
              <w:spacing w:after="0"/>
              <w:rPr>
                <w:sz w:val="20"/>
                <w:szCs w:val="20"/>
                <w:color w:val="auto"/>
              </w:rPr>
            </w:pPr>
            <w:r>
              <w:rPr>
                <w:rFonts w:ascii="Arial" w:cs="Arial" w:eastAsia="Arial" w:hAnsi="Arial"/>
                <w:sz w:val="18"/>
                <w:szCs w:val="18"/>
                <w:color w:val="auto"/>
              </w:rPr>
              <w:t>Gene Expression, Single-Cell</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of interest, providing optimized assays, content, and</w:t>
            </w:r>
          </w:p>
        </w:tc>
        <w:tc>
          <w:tcPr>
            <w:tcW w:w="2840" w:type="dxa"/>
            <w:vAlign w:val="bottom"/>
          </w:tcPr>
          <w:p>
            <w:pPr>
              <w:ind w:left="20"/>
              <w:spacing w:after="0"/>
              <w:rPr>
                <w:sz w:val="20"/>
                <w:szCs w:val="20"/>
                <w:color w:val="auto"/>
              </w:rPr>
            </w:pPr>
            <w:r>
              <w:rPr>
                <w:rFonts w:ascii="Arial" w:cs="Arial" w:eastAsia="Arial" w:hAnsi="Arial"/>
                <w:sz w:val="18"/>
                <w:szCs w:val="18"/>
                <w:color w:val="auto"/>
                <w:w w:val="94"/>
              </w:rPr>
              <w:t>Targeted Gene Expression, and SNP</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services to users of Biomark and EP1 systems at lower</w:t>
            </w:r>
          </w:p>
        </w:tc>
        <w:tc>
          <w:tcPr>
            <w:tcW w:w="2840" w:type="dxa"/>
            <w:vAlign w:val="bottom"/>
          </w:tcPr>
          <w:p>
            <w:pPr>
              <w:ind w:left="20"/>
              <w:spacing w:after="0"/>
              <w:rPr>
                <w:sz w:val="20"/>
                <w:szCs w:val="20"/>
                <w:color w:val="auto"/>
              </w:rPr>
            </w:pPr>
            <w:r>
              <w:rPr>
                <w:rFonts w:ascii="Arial" w:cs="Arial" w:eastAsia="Arial" w:hAnsi="Arial"/>
                <w:sz w:val="18"/>
                <w:szCs w:val="18"/>
                <w:color w:val="auto"/>
              </w:rPr>
              <w:t>Genotyping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cost as compared to other commercially available</w:t>
            </w:r>
          </w:p>
        </w:tc>
        <w:tc>
          <w:tcPr>
            <w:tcW w:w="28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chemistries.</w:t>
            </w:r>
          </w:p>
        </w:tc>
        <w:tc>
          <w:tcPr>
            <w:tcW w:w="2840" w:type="dxa"/>
            <w:vAlign w:val="bottom"/>
          </w:tcPr>
          <w:p>
            <w:pPr>
              <w:spacing w:after="0"/>
              <w:rPr>
                <w:sz w:val="20"/>
                <w:szCs w:val="20"/>
                <w:color w:val="auto"/>
              </w:rPr>
            </w:pPr>
          </w:p>
        </w:tc>
      </w:tr>
      <w:tr>
        <w:trPr>
          <w:trHeight w:val="377"/>
        </w:trPr>
        <w:tc>
          <w:tcPr>
            <w:tcW w:w="4020" w:type="dxa"/>
            <w:vAlign w:val="bottom"/>
            <w:gridSpan w:val="2"/>
          </w:tcPr>
          <w:p>
            <w:pPr>
              <w:ind w:left="200"/>
              <w:spacing w:after="0"/>
              <w:rPr>
                <w:sz w:val="20"/>
                <w:szCs w:val="20"/>
                <w:color w:val="auto"/>
              </w:rPr>
            </w:pPr>
            <w:r>
              <w:rPr>
                <w:rFonts w:ascii="Arial" w:cs="Arial" w:eastAsia="Arial" w:hAnsi="Arial"/>
                <w:sz w:val="18"/>
                <w:szCs w:val="18"/>
                <w:color w:val="auto"/>
              </w:rPr>
              <w:t>Access Array Target-Specific Primers and</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w w:val="99"/>
              </w:rPr>
              <w:t>Custom designed amplicon-library preparation assays for</w:t>
            </w:r>
          </w:p>
        </w:tc>
        <w:tc>
          <w:tcPr>
            <w:tcW w:w="2840" w:type="dxa"/>
            <w:vAlign w:val="bottom"/>
          </w:tcPr>
          <w:p>
            <w:pPr>
              <w:ind w:left="20"/>
              <w:spacing w:after="0"/>
              <w:rPr>
                <w:sz w:val="20"/>
                <w:szCs w:val="20"/>
                <w:color w:val="auto"/>
              </w:rPr>
            </w:pPr>
            <w:r>
              <w:rPr>
                <w:rFonts w:ascii="Arial" w:cs="Arial" w:eastAsia="Arial" w:hAnsi="Arial"/>
                <w:sz w:val="18"/>
                <w:szCs w:val="18"/>
                <w:color w:val="auto"/>
              </w:rPr>
              <w:t>Targeted Sequencing with</w:t>
            </w:r>
          </w:p>
        </w:tc>
      </w:tr>
      <w:tr>
        <w:trPr>
          <w:trHeight w:val="216"/>
        </w:trPr>
        <w:tc>
          <w:tcPr>
            <w:tcW w:w="4020" w:type="dxa"/>
            <w:vAlign w:val="bottom"/>
            <w:gridSpan w:val="2"/>
          </w:tcPr>
          <w:p>
            <w:pPr>
              <w:ind w:left="200"/>
              <w:spacing w:after="0"/>
              <w:rPr>
                <w:sz w:val="20"/>
                <w:szCs w:val="20"/>
                <w:color w:val="auto"/>
              </w:rPr>
            </w:pPr>
            <w:r>
              <w:rPr>
                <w:rFonts w:ascii="Arial" w:cs="Arial" w:eastAsia="Arial" w:hAnsi="Arial"/>
                <w:sz w:val="18"/>
                <w:szCs w:val="18"/>
                <w:color w:val="auto"/>
              </w:rPr>
              <w:t>Targeted Sequencing Prep Primers</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use with Access Array IFCs on the Access Array or Juno</w:t>
            </w:r>
          </w:p>
        </w:tc>
        <w:tc>
          <w:tcPr>
            <w:tcW w:w="2840" w:type="dxa"/>
            <w:vAlign w:val="bottom"/>
          </w:tcPr>
          <w:p>
            <w:pPr>
              <w:ind w:left="20"/>
              <w:spacing w:after="0"/>
              <w:rPr>
                <w:sz w:val="20"/>
                <w:szCs w:val="20"/>
                <w:color w:val="auto"/>
              </w:rPr>
            </w:pPr>
            <w:r>
              <w:rPr>
                <w:rFonts w:ascii="Arial" w:cs="Arial" w:eastAsia="Arial" w:hAnsi="Arial"/>
                <w:sz w:val="18"/>
                <w:szCs w:val="18"/>
                <w:color w:val="auto"/>
              </w:rPr>
              <w:t>Next-Generation DNA</w:t>
            </w: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systems.</w:t>
            </w:r>
          </w:p>
        </w:tc>
        <w:tc>
          <w:tcPr>
            <w:tcW w:w="2840" w:type="dxa"/>
            <w:vAlign w:val="bottom"/>
          </w:tcPr>
          <w:p>
            <w:pPr>
              <w:ind w:left="20"/>
              <w:spacing w:after="0"/>
              <w:rPr>
                <w:sz w:val="20"/>
                <w:szCs w:val="20"/>
                <w:color w:val="auto"/>
              </w:rPr>
            </w:pPr>
            <w:r>
              <w:rPr>
                <w:rFonts w:ascii="Arial" w:cs="Arial" w:eastAsia="Arial" w:hAnsi="Arial"/>
                <w:sz w:val="18"/>
                <w:szCs w:val="18"/>
                <w:color w:val="auto"/>
              </w:rPr>
              <w:t>Sequencing</w:t>
            </w:r>
          </w:p>
        </w:tc>
      </w:tr>
      <w:tr>
        <w:trPr>
          <w:trHeight w:val="37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Maxpar Reagents</w:t>
            </w: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Pre-conjugated metal-labeled antibodies for functional</w:t>
            </w:r>
          </w:p>
        </w:tc>
        <w:tc>
          <w:tcPr>
            <w:tcW w:w="2840" w:type="dxa"/>
            <w:vAlign w:val="bottom"/>
          </w:tcPr>
          <w:p>
            <w:pPr>
              <w:ind w:left="20"/>
              <w:spacing w:after="0"/>
              <w:rPr>
                <w:sz w:val="20"/>
                <w:szCs w:val="20"/>
                <w:color w:val="auto"/>
              </w:rPr>
            </w:pPr>
            <w:r>
              <w:rPr>
                <w:rFonts w:ascii="Arial" w:cs="Arial" w:eastAsia="Arial" w:hAnsi="Arial"/>
                <w:sz w:val="18"/>
                <w:szCs w:val="18"/>
                <w:color w:val="auto"/>
              </w:rPr>
              <w:t>Single-Cell Protein Analysis</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and phenotypic profiling of single cells, application</w:t>
            </w:r>
          </w:p>
        </w:tc>
        <w:tc>
          <w:tcPr>
            <w:tcW w:w="284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specific panel kits, and reagents for custom antibody</w:t>
            </w:r>
          </w:p>
        </w:tc>
        <w:tc>
          <w:tcPr>
            <w:tcW w:w="28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60" w:type="dxa"/>
            <w:vAlign w:val="bottom"/>
            <w:gridSpan w:val="2"/>
          </w:tcPr>
          <w:p>
            <w:pPr>
              <w:ind w:left="20"/>
              <w:spacing w:after="0"/>
              <w:rPr>
                <w:sz w:val="20"/>
                <w:szCs w:val="20"/>
                <w:color w:val="auto"/>
              </w:rPr>
            </w:pPr>
            <w:r>
              <w:rPr>
                <w:rFonts w:ascii="Arial" w:cs="Arial" w:eastAsia="Arial" w:hAnsi="Arial"/>
                <w:sz w:val="18"/>
                <w:szCs w:val="18"/>
                <w:color w:val="auto"/>
              </w:rPr>
              <w:t>labeling and nucleic acid staining.</w:t>
            </w:r>
          </w:p>
        </w:tc>
        <w:tc>
          <w:tcPr>
            <w:tcW w:w="2840" w:type="dxa"/>
            <w:vAlign w:val="bottom"/>
          </w:tcPr>
          <w:p>
            <w:pPr>
              <w:spacing w:after="0"/>
              <w:rPr>
                <w:sz w:val="20"/>
                <w:szCs w:val="20"/>
                <w:color w:val="auto"/>
              </w:rPr>
            </w:pPr>
          </w:p>
        </w:tc>
      </w:tr>
    </w:tbl>
    <w:p>
      <w:pPr>
        <w:spacing w:after="0" w:line="200" w:lineRule="exact"/>
        <w:rPr>
          <w:sz w:val="20"/>
          <w:szCs w:val="20"/>
          <w:color w:val="auto"/>
        </w:rPr>
      </w:pPr>
    </w:p>
    <w:p>
      <w:pPr>
        <w:spacing w:after="0" w:line="3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announced the following new products, which we expect will be commercially available in the near future (as indicated below):</w:t>
      </w:r>
    </w:p>
    <w:p>
      <w:pPr>
        <w:sectPr>
          <w:pgSz w:w="11900" w:h="16838" w:orient="portrait"/>
          <w:cols w:equalWidth="0" w:num="1">
            <w:col w:w="11420"/>
          </w:cols>
          <w:pgMar w:left="240" w:top="441" w:right="239" w:bottom="1440" w:gutter="0" w:footer="0" w:header="0"/>
        </w:sect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324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1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Imaging Mass Cytometer (IMC) instrument and reagents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Laser Ablation Module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Maxpar Reagents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Product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New platform instrument that enables simultaneous measurements of more than 35 proteins in complex tissue samples or cell suspensions deposited on a microscopy slide, with spatial resolution provided by analysis of individual one micrometer pixels. The platform consists of a laser ablation module, capable of generating non-overlapping single shot ablation plumes at a frequency of 100 Hz and higher, and Helios system. The laser ablation module is compatible with existing Helios system installations.</w:t>
      </w:r>
    </w:p>
    <w:p>
      <w:pPr>
        <w:spacing w:after="0" w:line="20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instrument and associated reagents are expected to be commercially available in the second half of 2016.</w:t>
      </w:r>
    </w:p>
    <w:p>
      <w:pPr>
        <w:spacing w:after="0" w:line="32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When connected to a Helios system, provides a solution for the growing need to conduct high-parameter imaging to complement existing single-cell genomics and proteomics techniques by providing spatial context.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Expected to be commercially available in the second half of 2016.</w:t>
      </w:r>
    </w:p>
    <w:p>
      <w:pPr>
        <w:spacing w:after="0" w:line="1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Pre-conjugated cadmium isotope-labeled antibodies for functional and phenotypic profiling of single cells, application specific panel kits, and reagents for custom cadmium isotope-antibody labeling and nucleic acid staining.</w:t>
      </w:r>
    </w:p>
    <w:p>
      <w:pPr>
        <w:spacing w:after="0" w:line="188"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color w:val="auto"/>
        </w:rPr>
        <w:t>Expected to be commercially available by the end of 2016.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66675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Research into system biology of solid tumors, such as breast cancer, pancreatic cancer, lung cancer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color w:val="auto"/>
        </w:rPr>
        <w:t>Spatial analysis of complex tissue samples and smeared cells on slides.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Single-Cell Protein Analysis</w:t>
      </w:r>
    </w:p>
    <w:p>
      <w:pPr>
        <w:spacing w:after="0" w:line="1767" w:lineRule="exact"/>
        <w:rPr>
          <w:sz w:val="20"/>
          <w:szCs w:val="20"/>
          <w:color w:val="auto"/>
        </w:rPr>
      </w:pPr>
    </w:p>
    <w:p>
      <w:pPr>
        <w:sectPr>
          <w:pgSz w:w="11900" w:h="16838" w:orient="portrait"/>
          <w:cols w:equalWidth="0" w:num="3">
            <w:col w:w="3340" w:space="700"/>
            <w:col w:w="4160" w:space="400"/>
            <w:col w:w="2820"/>
          </w:cols>
          <w:pgMar w:left="240" w:top="4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1"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Technology</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171"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Our IFCs are manufactured using multi-layer soft lithography technology, or MSL technology, to create valves, chambers, channels, and other fluidic components on our IFCs that allow nanoliter quantities of fluids to be precisely manipulated within the IFC. We have developed commercial manufacturing processes to fabricate valves, channels, vias, and chambers with dimensions in the ten to 100 micron range, at high density and with high yields.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Integrated Fluidic Circuits</w:t>
      </w:r>
    </w:p>
    <w:p>
      <w:pPr>
        <w:spacing w:after="0" w:line="90"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Our IFCs incorporate several different types of technology that together enable us to use MSL technology to rapidly design and deploy new microfluidic applications. The first level of our IFC technology is a library of components that perform basic microfluidic functions, such as pumps, mixers, single-cell capture chambers, separation columns, control logic, and reaction chambers. The second level of our IFC technology comprises the architectures we have designed to exploit our ability to conduct thousands of reactions on a single IFC. The third level of our IFC technology involves the interaction of our IFCs with the actual laboratory environment. Our IFCs are built on specially designed input frames that are compatible with most commonly used laboratory systems.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Instrumentation and Software</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have developed instrumentation technology to load samples and reagents onto our IFCs and to control and monitor reactions within our IFCs. Our line of IFC controllers consists of commercial pneumatic components and both custom and commercial electronics. They apply precise control of multiple pressures to move fluid and control valve states in a microfluidic IFC.</w:t>
      </w:r>
    </w:p>
    <w:p>
      <w:pPr>
        <w:spacing w:after="0" w:line="46"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Our Biomark HD system includes our custom thermal cycler, the FC1 cycler, and a sophisticated fluorescence imaging system. Our EP1 instrument is a fluorescence reader designed for end-point imaging, suitable for genotyping and digital PCR applications. Our C1 system combines the hardware elements of our IFC controllers and FC1 cycler with sophisticated scripting and protocol control software to enable automation of single-cell capture and preparation for subsequent analysis. Certain capabilities of the C1 system have been used to create our Juno system, which serves as a universal controller and cycler for our Dynamic Array IFCs. Our Callisto system integrates environmental regulation for long-term cell culture with the C1 control system. Our Polaris system combines the capabilities of all these instruments by incorporating thermal cycling, IFC control, environmental regulation, and imaging.</w:t>
      </w:r>
    </w:p>
    <w:p>
      <w:pPr>
        <w:spacing w:after="0" w:line="3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mass cytometry instrumentation technology includes a custom-designed inductively-coupled plasma ion source, ion-optical and vacuum systems, and instrument control electronics. With our CyTOF 2 system and our Helios system, which is an enhanced version of our CyTOF 2 system, individual cells are atomized, ionized, and extracted. A time-of-flight mass analyzer separates atomic ions of different mass-to-charge ratios, providing information on temporal distribution of ions.</w:t>
      </w:r>
    </w:p>
    <w:p>
      <w:pPr>
        <w:spacing w:after="0" w:line="5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also developed specialized software to manage and analyze the unusually large amounts of data produced by our systems. Our bioinformatic toolset, the Singular software, facilitates the analysis and visualization of single-cell gene expression data. More recently, we extended the scope of the toolset to include DNA analysis tools. We also developed the C1 Script Builder software to enable customers to take full advantage of the flexibility of C1 IFC architecture by allowing them to program their own control scripts for the C1 system. We offer Fluidigm Cytobank, our cloud-based platform of analytical tools, for use with the Helios/CyTOF 2 systems.</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Assays and Reagents</w:t>
      </w:r>
    </w:p>
    <w:p>
      <w:pPr>
        <w:spacing w:after="0" w:line="9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Delta Gene and SNP Type assay products consist of assay design and custom content delivery systems for gene expression and genotyping, respectively. These offerings provide low-cost alternatives to chemistries such as TaqMan, and allow customers to use IFCs in more flexible ways. PCR assay reagents need to be specific to the gene targets of interest but the process of designing a set of assays may delay the implementation experiments or require the use of expensive pre-designed assays. We have developed a process to provide customers with validated assays for their targets of interest.</w:t>
      </w:r>
    </w:p>
    <w:p>
      <w:pPr>
        <w:spacing w:after="0" w:line="1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also manufacture metal-conjugated antibodies for use with our Helios/CyTOF 2 system to allow detection of up to approximately 37 protein targets simultaneously in a single cell. Our metal-conjugated antibodies are manufactured using metal-chelating polymers, which are produced using proprietary polymerization processes and subsequent post-polymerization modifications.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distribute our systems through our direct sales force and support organizations located in North America, Europe, and Asia-Pacific, and through distributors or sales agents in several European, Latin American, Middle Eastern, and Asia-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02" w:right="259" w:bottom="1440" w:gutter="0" w:footer="0" w:header="0"/>
        </w:sectPr>
      </w:pPr>
    </w:p>
    <w:bookmarkStart w:id="9" w:name="page10"/>
    <w:bookmarkEnd w:id="9"/>
    <w:p>
      <w:pPr>
        <w:ind w:right="600"/>
        <w:spacing w:after="0" w:line="342" w:lineRule="auto"/>
        <w:rPr>
          <w:sz w:val="20"/>
          <w:szCs w:val="20"/>
          <w:color w:val="auto"/>
        </w:rPr>
      </w:pPr>
      <w:r>
        <w:rPr>
          <w:rFonts w:ascii="Arial" w:cs="Arial" w:eastAsia="Arial" w:hAnsi="Arial"/>
          <w:sz w:val="16"/>
          <w:szCs w:val="16"/>
          <w:color w:val="auto"/>
        </w:rPr>
        <w:t>Pacific countries. Our sales and marketing efforts are targeted at laboratory directors and principal investigators at leading companies and academic institutions who need reliable life science automation solutions or enabling new single-cell biology technologies for research or commercial purposes.</w:t>
      </w:r>
    </w:p>
    <w:p>
      <w:pPr>
        <w:spacing w:after="0" w:line="70"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5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December 31, 2015, we had 209 people employed in sales, technical support, and marketing, including 106 sales representatives and applications specialists located in the field.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have sold our instruments to leading academic institutions, clinical laboratories, and pharmaceutical, biotechnology and Ag-Bio companies. No single customer represented more than 10% of our total revenue for 2015, 2014, or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manufacturing operations are primarily located in Singapore and Canada.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proteomics analytical instruments for commercial sale, as well as for internal research and development purposes, are manufactured at our facility in Canada. We are in the process of relocating this facility into a larger building. We also manufacture IFCs for research and development, assays, and reagents at our facilities in South San Francisco, California.</w:t>
      </w:r>
    </w:p>
    <w:p>
      <w:pPr>
        <w:spacing w:after="0" w:line="58"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rely on a limited number of suppliers for certain components and materials used in our products. Key components in our products that are supplied by sole or limited source suppliers include a specialized polymer and other specialized materials from which our IFC cores are fabricated, specialized custom camera lenses, fiber light guides, and other components required for the reader of our Biomark system, specialized pneumatic and electronic components for our C1, Juno, Callisto and Polaris systems, the electron multiplier detector included in, and the nickel sampler cone and certain metal isotopes used with, our Helios/CyTOF 2 system, and certain raw materials for our Delta Gene and SNP Type assays and Access Array Target-Specific primers. The loss of a single or sole source supplier would require significant time and effort to locate and qualify an alternative source of supply, if at all, and could adversely impact our business. For additional information, please see the section entitled “Risk factors” in Part I, Item 1A of this Form 10-K.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We have assembled experienced research and development teams at our South San Francisco, California, Markham, Ontario, Canada, and Singapore locations with the scientific, engineering, software, bioinformatic, and process talent that we believe is required to grow our business.</w:t>
      </w:r>
    </w:p>
    <w:p>
      <w:pPr>
        <w:spacing w:after="0" w:line="1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largest component of our current research and development effort is in the areas of new products and new applications. For example, we have developed a prototype imaging mass cytometer to provide spatial resolution of protein expression in samples at the single-cell level, quantitative measurement using metal isotope tags, and analysis of more than 30 proteins. We also invest significantly in research and development efforts to expand our single-cell biology and production genomics applications. For example, we have developed our Singular bioinformatics tools for analyzing and visualizing single-cell gene expression data; our C1 Open App Program, which enables researchers to develop and share new single-cell applications on the C1 system; and our single-cell whole exome, single-cell whole genome, and high-throughput single-cell mRNA sequencing workflows for use with our C1 system.</w:t>
      </w:r>
    </w:p>
    <w:p>
      <w:pPr>
        <w:spacing w:after="0" w:line="30" w:lineRule="exact"/>
        <w:rPr>
          <w:sz w:val="20"/>
          <w:szCs w:val="20"/>
          <w:color w:val="auto"/>
        </w:rPr>
      </w:pPr>
    </w:p>
    <w:p>
      <w:pPr>
        <w:ind w:right="60" w:firstLine="432"/>
        <w:spacing w:after="0" w:line="334" w:lineRule="auto"/>
        <w:rPr>
          <w:sz w:val="20"/>
          <w:szCs w:val="20"/>
          <w:color w:val="auto"/>
        </w:rPr>
      </w:pPr>
      <w:r>
        <w:rPr>
          <w:rFonts w:ascii="Arial" w:cs="Arial" w:eastAsia="Arial" w:hAnsi="Arial"/>
          <w:sz w:val="16"/>
          <w:szCs w:val="16"/>
          <w:color w:val="auto"/>
        </w:rPr>
        <w:t>The second component of our research and development effort is to continuously develop new manufacturing processes and test methods to drive down manufacturing cost, increase manufacturing throughput, widen fabrication process capability, and support new microfluidic devices and designs.</w:t>
      </w:r>
    </w:p>
    <w:p>
      <w:pPr>
        <w:spacing w:after="0" w:line="1" w:lineRule="exact"/>
        <w:rPr>
          <w:sz w:val="20"/>
          <w:szCs w:val="20"/>
          <w:color w:val="auto"/>
        </w:rPr>
      </w:pPr>
    </w:p>
    <w:p>
      <w:pPr>
        <w:ind w:right="1020" w:firstLine="432"/>
        <w:spacing w:after="0" w:line="277" w:lineRule="auto"/>
        <w:rPr>
          <w:sz w:val="20"/>
          <w:szCs w:val="20"/>
          <w:color w:val="auto"/>
        </w:rPr>
      </w:pPr>
      <w:r>
        <w:rPr>
          <w:rFonts w:ascii="Arial" w:cs="Arial" w:eastAsia="Arial" w:hAnsi="Arial"/>
          <w:sz w:val="18"/>
          <w:szCs w:val="18"/>
          <w:color w:val="auto"/>
        </w:rPr>
        <w:t>Our research and development expenses were $39.3 million, $43.4 million, and $20.0 million in 2015, 2014, and 2013, respectively. As of December 31, 2015, 132 of our employees were engaged in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0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life science research and applied markets are highly competitive and expected to grow more competitive with the increasing knowledge gained from ongoing research and development. We believe that the principal competitive factors in our target markets include cost of capital equipment and supplies; reputation among customers; innovation in product offerings; flexibility and ease of use; accuracy and reproducibility of results; and compatibility with existing laboratory processes, tools, and methods.</w:t>
      </w:r>
    </w:p>
    <w:p>
      <w:pPr>
        <w:spacing w:after="0" w:line="5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compete with both established and development stage life science companies that design, manufacture, and market instruments for gene expression analysis, genotyping, other nucleic acid detection, protein expression analysis, and additional applications. In addition, a number of other companies and academic groups are in the process of developing novel technologies for life science markets. Many of our competitors enjoy several competitive advantages over us, including significantly greater name recognition; greater financial and human resources; broader product lines and product packages; larger sales forces and eCommerce channels; larger and more geographically dispersed customer support organization; substantial intellectual property portfolios; larger and more established customer bases and relationships; greater resources dedicated to marketing efforts; better established and larger scale manufacturing capability; and greater resources and longer experience in research and development. For additional information, please see the section entitled “Risk factors” in Part I, Item 1A of this Form 10-K.</w:t>
      </w:r>
    </w:p>
    <w:p>
      <w:pPr>
        <w:spacing w:after="0" w:line="44" w:lineRule="exact"/>
        <w:rPr>
          <w:sz w:val="20"/>
          <w:szCs w:val="20"/>
          <w:color w:val="auto"/>
        </w:rPr>
      </w:pPr>
    </w:p>
    <w:p>
      <w:pPr>
        <w:ind w:right="340" w:firstLine="432"/>
        <w:spacing w:after="0" w:line="297" w:lineRule="auto"/>
        <w:rPr>
          <w:sz w:val="20"/>
          <w:szCs w:val="20"/>
          <w:color w:val="auto"/>
        </w:rPr>
      </w:pPr>
      <w:r>
        <w:rPr>
          <w:rFonts w:ascii="Arial" w:cs="Arial" w:eastAsia="Arial" w:hAnsi="Arial"/>
          <w:sz w:val="16"/>
          <w:szCs w:val="16"/>
          <w:color w:val="auto"/>
        </w:rPr>
        <w:t>To successfully compete with existing products and future technologies, we need to demonstrate to potential customers that the cost savings and performance of our technologies and products, as well as our customer support capabilities, are superior to those of our competitors. To differentiate our company from other, larger enterprises, we need to introduce new and innovative offerings regularly and maintain a well-staffed commercial team “in the field” to successfully communicate the advantages of our products and overcome potential obstacles to acceptance of our products. In addition, ongoing collaborations and partnerships with key opinion leaders are desirable to demonstrate both innovation and applicability of our products.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Single-Cell Genomics Collaborations</w:t>
      </w:r>
    </w:p>
    <w:p>
      <w:pPr>
        <w:spacing w:after="0" w:line="94" w:lineRule="exact"/>
        <w:rPr>
          <w:sz w:val="20"/>
          <w:szCs w:val="20"/>
          <w:color w:val="auto"/>
        </w:rPr>
      </w:pPr>
    </w:p>
    <w:p>
      <w:pPr>
        <w:ind w:right="340" w:firstLine="432"/>
        <w:spacing w:after="0" w:line="273" w:lineRule="auto"/>
        <w:rPr>
          <w:sz w:val="20"/>
          <w:szCs w:val="20"/>
          <w:color w:val="auto"/>
        </w:rPr>
      </w:pPr>
      <w:r>
        <w:rPr>
          <w:rFonts w:ascii="Arial" w:cs="Arial" w:eastAsia="Arial" w:hAnsi="Arial"/>
          <w:sz w:val="17"/>
          <w:szCs w:val="17"/>
          <w:color w:val="auto"/>
        </w:rPr>
        <w:t>In May 2012, in collaboration with the Broad Institute, we announced the launch of the Single-Cell Genomics initiative, or SCGi, a research center dedicated to accelerating the development of research methods and discoveries in mammalian single-cell genomics. The SCGi facilitates collaborative development by single-cell genomics researchers of novel single-cell, microfluidic approaches for gene expression profiling, RNA/DNA sequencing, and epigenetic analysis, and to develop and disseminate new application workflows, reagents, bioinformatics tools, and data sets to the greater scientific community. The SCGi is located at the Broad Institute in Cambridge, Massachusetts, and features a complete suite of our single-cell tools, protocols, and technologies, most notably the C1 and Biomark HD systems.</w:t>
      </w:r>
    </w:p>
    <w:p>
      <w:pPr>
        <w:spacing w:after="0" w:line="4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December 2012, in collaboration with the Genome Institute of Singapore, or GIS, an institute under the umbrella of the Agency for Science, Technology and Research, we announced the establishment of the Single-Cell ‘Omics Center, or SCOC, the first research center in Asia exclusively dedicated to accelerating the understanding of how individual cells work, and how diagnosis and treatment might be enhanced through insight derived from single cells. The SCOC provides integrated analytics for single-cell genomic applications to the region’s single-cell genomics researchers. The SCOC is located in dedicated laboratory space at GIS facilities in Biopolis, Singapore, and features the full capabilities of our C1 and Biomark HD systems for single-cell targeted gene expression analytics and validation.</w:t>
      </w:r>
    </w:p>
    <w:p>
      <w:pPr>
        <w:spacing w:after="0" w:line="5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December 2014, we announced a collaboration with the Wellcome Trust Sanger Institute - European Bioinformatics Institute Single-Cell Genomics Centre, or SCGC, located on the Wellcome Trust Genome Campus. The SCGC will work with our onsite senior staff to ensure that the SCGC has early access to the latest equipment, workflows, and methods for single-cell genomics and proteomics research. In addition to technology advancements, the collaboration is expected to make single-cell research more accessible to the greater research community by developing and disseminating new workflows, bioinformatics tools, and data sets. The SCGC features our C1 and Biomark HD systems and has access to our CyTOF technology.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w:t>
      </w:r>
    </w:p>
    <w:p>
      <w:pPr>
        <w:spacing w:after="0" w:line="90"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We have developed a portfolio of issued patents and patent applications directed to commercial products and technologies in development. As of December 31, 2015, we owned or licensed over 520 patents and we had approximately 320 pending patent applications worldwide. Our patents have expiration dates ranging from 2016 to 2033.</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entered into licenses for technologies from various companies and academic institutions.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3" w:right="259" w:bottom="1440" w:gutter="0" w:footer="0" w:header="0"/>
        </w:sectPr>
      </w:pPr>
    </w:p>
    <w:bookmarkStart w:id="11" w:name="page12"/>
    <w:bookmarkEnd w:id="11"/>
    <w:p>
      <w:pPr>
        <w:ind w:right="420" w:firstLine="486"/>
        <w:spacing w:after="0" w:line="264" w:lineRule="auto"/>
        <w:rPr>
          <w:sz w:val="20"/>
          <w:szCs w:val="20"/>
          <w:color w:val="auto"/>
        </w:rPr>
      </w:pPr>
      <w:r>
        <w:rPr>
          <w:rFonts w:ascii="Arial" w:cs="Arial" w:eastAsia="Arial" w:hAnsi="Arial"/>
          <w:sz w:val="18"/>
          <w:szCs w:val="18"/>
          <w:i w:val="1"/>
          <w:iCs w:val="1"/>
          <w:color w:val="auto"/>
        </w:rPr>
        <w:t xml:space="preserve">Microfluidic Technologies. </w:t>
      </w:r>
      <w:r>
        <w:rPr>
          <w:rFonts w:ascii="Arial" w:cs="Arial" w:eastAsia="Arial" w:hAnsi="Arial"/>
          <w:sz w:val="18"/>
          <w:szCs w:val="18"/>
          <w:color w:val="auto"/>
        </w:rPr>
        <w:t>Our core microfluidics technology originated at the California Institute of Technology, or Caltech, in the laboratory of</w:t>
      </w:r>
      <w:r>
        <w:rPr>
          <w:rFonts w:ascii="Arial" w:cs="Arial" w:eastAsia="Arial" w:hAnsi="Arial"/>
          <w:sz w:val="18"/>
          <w:szCs w:val="18"/>
          <w:i w:val="1"/>
          <w:iCs w:val="1"/>
          <w:color w:val="auto"/>
        </w:rPr>
        <w:t xml:space="preserve"> </w:t>
      </w:r>
      <w:r>
        <w:rPr>
          <w:rFonts w:ascii="Arial" w:cs="Arial" w:eastAsia="Arial" w:hAnsi="Arial"/>
          <w:sz w:val="18"/>
          <w:szCs w:val="18"/>
          <w:color w:val="auto"/>
        </w:rPr>
        <w:t>Professor Stephen Quake, who is a co-founder of Fluidigm. We license microfluidics technology from Caltech, Harvard University, and Caliper Life Sciences, Inc., which subsequently became a PerkinElmer company, referred to as Caliper.</w:t>
      </w:r>
    </w:p>
    <w:p>
      <w:pPr>
        <w:spacing w:after="0" w:line="46" w:lineRule="exact"/>
        <w:rPr>
          <w:sz w:val="20"/>
          <w:szCs w:val="20"/>
          <w:color w:val="auto"/>
        </w:rPr>
      </w:pPr>
    </w:p>
    <w:p>
      <w:pPr>
        <w:ind w:left="820" w:right="240" w:hanging="245"/>
        <w:spacing w:after="0" w:line="259"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exclusively license from Caltech relevant patent filings relating to developed technologies that enabled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2017 and 2030.</w:t>
      </w:r>
    </w:p>
    <w:p>
      <w:pPr>
        <w:spacing w:after="0" w:line="51" w:lineRule="exact"/>
        <w:rPr>
          <w:rFonts w:ascii="Arial" w:cs="Arial" w:eastAsia="Arial" w:hAnsi="Arial"/>
          <w:sz w:val="18"/>
          <w:szCs w:val="18"/>
          <w:color w:val="auto"/>
        </w:rPr>
      </w:pPr>
    </w:p>
    <w:p>
      <w:pPr>
        <w:jc w:val="both"/>
        <w:ind w:left="820" w:right="220" w:hanging="245"/>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entered into a co-exclusive license agreement with Harvard University for the license of relevant patent filings relating to microfluidic technology. The license agreement will terminate with the last-to-expire of the licensed patents. The U.S. issued patents we have licensed from Harvard University expire between 2019 and 2027.</w:t>
      </w:r>
    </w:p>
    <w:p>
      <w:pPr>
        <w:spacing w:after="0" w:line="46" w:lineRule="exact"/>
        <w:rPr>
          <w:rFonts w:ascii="Arial" w:cs="Arial" w:eastAsia="Arial" w:hAnsi="Arial"/>
          <w:sz w:val="18"/>
          <w:szCs w:val="18"/>
          <w:color w:val="auto"/>
        </w:rPr>
      </w:pPr>
    </w:p>
    <w:p>
      <w:pPr>
        <w:ind w:left="820" w:right="100" w:hanging="245"/>
        <w:spacing w:after="0" w:line="259"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May 2011, we entered into a license agreement with Caliper Life Sciences, Inc., which subsequently became a PerkinElmer company, referred to as Caliper, to license Caliper’s existing patent portfolio in certain fields. The license agreement will terminate with the last-to-expire of the licensed patents. As later amended, the license agreement provides for certain royalty payments until mid-2018 for our existing products at the time of amendment and their future equivalents.</w:t>
      </w:r>
    </w:p>
    <w:p>
      <w:pPr>
        <w:spacing w:after="0" w:line="52"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i w:val="1"/>
          <w:iCs w:val="1"/>
          <w:color w:val="auto"/>
        </w:rPr>
        <w:t xml:space="preserve">Instrumentation and Digital PCR. </w:t>
      </w:r>
      <w:r>
        <w:rPr>
          <w:rFonts w:ascii="Arial" w:cs="Arial" w:eastAsia="Arial" w:hAnsi="Arial"/>
          <w:sz w:val="16"/>
          <w:szCs w:val="16"/>
          <w:color w:val="auto"/>
        </w:rPr>
        <w:t>On June 30, 2011, we settled litigation and entered into a series of patent cross-license and sub-license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Life Technologies Corporation (now part of Thermo Fisher Scientific) and its Applied Biosystems, LLC subsidiary, referred to as Life. The agreements involve a cross-license concerning our imaging readers and other patent filings and certain of Life’s patent families relating to methods and instruments for conducting nucleic acid amplification, such as with PCR; a sub-license that provides us access to certain of Life’s digital PCR patents; and a sublicense that provides Life access to certain of our non-core technology patents licensed from Caltech. In July 2011, pursuant to the terms of the agreements, we paid Life $2.0 million in connection with our exercise of an option to preclude Life from initiating litigation under its patents existing as of June 30, 2011 against our customers for two years and against our company, with respect to our current products and equivalent future products, for four years, subject to certain exceptions. The license agreement will terminate with the last-to-expire of the licensed patents, which is expected to be in 2028.</w:t>
      </w:r>
    </w:p>
    <w:p>
      <w:pPr>
        <w:spacing w:after="0" w:line="3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i w:val="1"/>
          <w:iCs w:val="1"/>
          <w:color w:val="auto"/>
        </w:rPr>
        <w:t xml:space="preserve">Mass Cytometry. </w:t>
      </w:r>
      <w:r>
        <w:rPr>
          <w:rFonts w:ascii="Arial" w:cs="Arial" w:eastAsia="Arial" w:hAnsi="Arial"/>
          <w:sz w:val="17"/>
          <w:szCs w:val="17"/>
          <w:color w:val="auto"/>
        </w:rPr>
        <w:t>Some of the intellectual property rights covering our mass cytometry products were subject to a license agreement, referred to as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License Agreement, between Fluidigm Canada Inc., referred to as Fluidigm Canada, and PerkinElmer Health Sciences, Inc., referred to as Perkin Elmer. Under the Original License Agreement, Fluidigm Canada received an exclusive, royalty bearing, worldwide license to certain patents owned by PerkinElmer in the field of ICP-based mass cytometry, including the analysis of elemental tagged materials in connection therewith, referred to as the Patents, and a non-exclusive license for reagents outside the field of ICP-based mass cytometry. On November 4,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will terminate on the last expiration date of the Patents, currently expected to be in December 2025, unless earlier terminated pursuant to the terms of the license agreement.</w:t>
      </w:r>
    </w:p>
    <w:p>
      <w:pPr>
        <w:spacing w:after="0" w:line="52" w:lineRule="exact"/>
        <w:rPr>
          <w:sz w:val="20"/>
          <w:szCs w:val="20"/>
          <w:color w:val="auto"/>
        </w:rPr>
      </w:pPr>
    </w:p>
    <w:p>
      <w:pPr>
        <w:ind w:right="440" w:firstLine="432"/>
        <w:spacing w:after="0" w:line="334" w:lineRule="auto"/>
        <w:rPr>
          <w:sz w:val="20"/>
          <w:szCs w:val="20"/>
          <w:color w:val="auto"/>
        </w:rPr>
      </w:pPr>
      <w:r>
        <w:rPr>
          <w:rFonts w:ascii="Arial" w:cs="Arial" w:eastAsia="Arial" w:hAnsi="Arial"/>
          <w:sz w:val="16"/>
          <w:szCs w:val="16"/>
          <w:color w:val="auto"/>
        </w:rPr>
        <w:t>Any loss, termination, or adverse modification of our licensed intellectual property rights could have a material adverse effect on our business, operating results, and financial condition. For additional information, please see the section entitled “Risk factors” in Part I, Item 1A of this Form 10-K.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corporate partners, and, when needed, our advisors.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06"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Our products are currently labeled and sold for research purposes only, and we sell them to academic institutions, life sciences and clinical laboratories that conduct research, and pharmaceutical and biotechnology companies for non-diagnostic and non-clinical purposes. Our products are not intended for use in clinical practice in the diagnosis of disease or other conditions, and they are labeled for research use only. Accordingly, they are subject only to limited, specific regulation with respect to labeling by the U.S. Food and Drug Administration, or FDA. In particular, while FDA regulations require that research use only products be labeled, “For Research Use Only. Not for use in diagnostic procedures,” or RUO products, the regulations do not subject such products to the FDA’s broader pre- and post-market controls for medical devices.</w:t>
      </w:r>
    </w:p>
    <w:p>
      <w:pPr>
        <w:spacing w:after="0" w:line="43"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In November 2013, the FDA issued a final guidance document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 that the manufacturer knows its product is being used by customers for diagnostic uses or the manufacturer intends such a use. These circumstances may include, among other things, written or verbal marketing claims regarding a product’s performance in clinical applications and a manufacturer’s provision of technical support for such activities. In the future, certain of our products or related applications could become subject to regulation as medical devices by the FDA. If we wish to label and market our products for use in performing clinical diagnostics, thus subjecting them to regulation by the FDA under premarket and postmarket control as medical devices, unless an exemption applies, we would be required to obtain either prior 510(k) clearance or prior pre-market approval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and legally marketed 510(k) device or a “pre-amendment” class III device for which pre-market approval applications, or PMAs, have not been required by the FDA. This process typically takes from four to twelve months, although it can take longer. Most class I devices are exempted from this 510(k) premarket submission requirement. 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while we obtain premarket clearance or approval from the FDA. There would be no assurance that we could ever obtain such clearance or approval.</w:t>
      </w:r>
    </w:p>
    <w:p>
      <w:pPr>
        <w:spacing w:after="0" w:line="5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some cases, our customers or collaborators may use our RUO products in their own laboratory-developed tests, or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The guidance documents, if and when finalized, may impact the sales of our products and how customers use our products, and may require us to change our business model in order to maintain compliance with these laws.</w:t>
      </w:r>
    </w:p>
    <w:p>
      <w:pPr>
        <w:spacing w:after="0" w:line="5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would become subject to additional FDA requirements if our products are determined to be medical devices or if we elect to seek 510(k) clearance or prior pre-market approval. We would need to continue to invest significant time and other resources to ensure ongoing compliance with FDA quality system regulations and other post-market regulatory requirements. For additional information, please see the section entitled “Risk factors” in Part I, Item 1A of this Form 10-K.</w:t>
      </w:r>
    </w:p>
    <w:p>
      <w:pPr>
        <w:spacing w:after="0" w:line="52"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International sales of medical devices are subject to foreign government regulations, which vary substantially from country to country. 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are subject to many federal, state, local, and foreign environmental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3" w:right="259" w:bottom="1440" w:gutter="0" w:footer="0" w:header="0"/>
        </w:sectPr>
      </w:pPr>
    </w:p>
    <w:bookmarkStart w:id="13" w:name="page14"/>
    <w:bookmarkEnd w:id="13"/>
    <w:p>
      <w:pPr>
        <w:ind w:right="300"/>
        <w:spacing w:after="0" w:line="255" w:lineRule="auto"/>
        <w:rPr>
          <w:sz w:val="20"/>
          <w:szCs w:val="20"/>
          <w:color w:val="auto"/>
        </w:rPr>
      </w:pPr>
      <w:r>
        <w:rPr>
          <w:rFonts w:ascii="Arial" w:cs="Arial" w:eastAsia="Arial" w:hAnsi="Arial"/>
          <w:sz w:val="18"/>
          <w:szCs w:val="18"/>
          <w:color w:val="auto"/>
        </w:rPr>
        <w:t>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may become subject to RoHS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see the section entitled “Risk factors” in Part I, Item 1A of this Form 10-K.</w:t>
      </w:r>
    </w:p>
    <w:p>
      <w:pPr>
        <w:spacing w:after="0" w:line="5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Additionally, 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9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the last three years, a majority of our revenue was generated within the United States and Europe and a majority of our long-lived assets are located within the United States and Singapore. Total product and service revenue received from customers outside the United States totaled $59.3 million, or 52% of our total product and service revenue, in 2015, compared to $56.8 million, or 49% of our total product and service revenue, in 2014, and $33.9 million, or 48% of our total product and service revenue, in 2013. Please see Note 13 to our audited consolidated financial statements for additional information for geographic areas.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In 2011, 2012, and 2014, our product revenue was higher in the fourth quarter of the year than in the first quarter of the next year reflecting numerous factors, including, among others, seasonal variations in customer operations and customer budget and capital spending cycles. Although this was not the case in the fourth quarter of 2013 compared to the first quarter of 2014, this historical trend resumed in 2015 and we expect it to continue.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December 31, 2015, we had 584 employees, of which 132 work in research and development, 86 work in general and administrative, 157 work in manufacturing, and 209 work in sales, technical support, and marketing. None of our employees are represented by a labor union or are the subject of a collective bargaining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We make available on our website, free of charge, our Annual Report on Form 10-K, Quarterly Reports on Form 10-Q, Current Reports on Form 8-K, and any amendments to those reports, as soon as reasonably practicable after we electronically file such material with, or furnish it to, the Securities and Exchange Commission, or SEC. Our SEC reports can be accessed through the investor relations page of our website located at http://investors.fluidigm.com/sec.cfm. Additionally, a copy of this Annual Report on Form 10-K is located at the SEC’s Public Reference Room at 100 F Street, NE, Washington, D.C. 20549. Information on the operation of the Public Reference Room can be obtained by calling the SEC at 1-800-SEC-0330.</w:t>
      </w:r>
    </w:p>
    <w:p>
      <w:pPr>
        <w:spacing w:after="0" w:line="4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We webcast our earnings calls and certain events we participate in or host with members of the investment community on our investor relations page of our website. Corporate governance information, including our board committee charters, code of ethics, and corporate governance principles, is also available on our investor relations page of our website located at http://investors.fluidigm.com/corporate-governance.cfm.</w:t>
      </w:r>
    </w:p>
    <w:p>
      <w:pPr>
        <w:spacing w:after="0" w:line="3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In addition to SEC filings, press releases, public conference calls, and webcasts, we use our website (www.fluidigm.com), corporate Twitter account (@Fluidigm), Facebook page (https://www.facebook.com/Fluidigm),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06" w:right="259" w:bottom="1440" w:gutter="0" w:footer="0" w:header="0"/>
        </w:sectPr>
      </w:pPr>
    </w:p>
    <w:bookmarkStart w:id="14" w:name="page15"/>
    <w:bookmarkEnd w:id="14"/>
    <w:p>
      <w:pPr>
        <w:ind w:right="40"/>
        <w:spacing w:after="0" w:line="257" w:lineRule="auto"/>
        <w:rPr>
          <w:sz w:val="20"/>
          <w:szCs w:val="20"/>
          <w:color w:val="auto"/>
        </w:rPr>
      </w:pPr>
      <w:r>
        <w:rPr>
          <w:rFonts w:ascii="Arial" w:cs="Arial" w:eastAsia="Arial" w:hAnsi="Arial"/>
          <w:sz w:val="18"/>
          <w:szCs w:val="18"/>
          <w:color w:val="auto"/>
        </w:rPr>
        <w:t>LinkedIn page (https://www.linkedin.com/company/fluidigm-corporation) as channels of distribution of information about our company, our products, our planned financial and other announcements, our attendance at upcoming investor and industry conferences, and other matters. It is possible that the information we post on our website and through these social media accounts could be deemed material information.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5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contents of our website and the information we post through social media are not a part of, and are not incorporated by reference into, this Annual Report on Form 10-K or any other report or document we file with the SEC. Any references to our websites are intended to be inactive textual references only.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names, ages (as of February 10, 2016) and positions of our executive officers: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tcPr>
          <w:p>
            <w:pPr>
              <w:jc w:val="center"/>
              <w:ind w:left="772"/>
              <w:spacing w:after="0"/>
              <w:rPr>
                <w:sz w:val="20"/>
                <w:szCs w:val="20"/>
                <w:color w:val="auto"/>
              </w:rPr>
            </w:pPr>
            <w:r>
              <w:rPr>
                <w:rFonts w:ascii="Arial" w:cs="Arial" w:eastAsia="Arial" w:hAnsi="Arial"/>
                <w:sz w:val="14"/>
                <w:szCs w:val="14"/>
                <w:b w:val="1"/>
                <w:bCs w:val="1"/>
                <w:color w:val="auto"/>
                <w:w w:val="90"/>
              </w:rPr>
              <w:t>Age</w:t>
            </w:r>
          </w:p>
        </w:tc>
        <w:tc>
          <w:tcPr>
            <w:tcW w:w="6640" w:type="dxa"/>
            <w:vAlign w:val="bottom"/>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255"/>
        </w:trPr>
        <w:tc>
          <w:tcPr>
            <w:tcW w:w="2740" w:type="dxa"/>
            <w:vAlign w:val="bottom"/>
          </w:tcPr>
          <w:p>
            <w:pPr>
              <w:spacing w:after="0"/>
              <w:rPr>
                <w:sz w:val="20"/>
                <w:szCs w:val="20"/>
                <w:color w:val="auto"/>
              </w:rPr>
            </w:pPr>
            <w:r>
              <w:rPr>
                <w:rFonts w:ascii="Arial" w:cs="Arial" w:eastAsia="Arial" w:hAnsi="Arial"/>
                <w:sz w:val="18"/>
                <w:szCs w:val="18"/>
                <w:color w:val="auto"/>
              </w:rPr>
              <w:t>Gajus V. Worthington</w:t>
            </w:r>
          </w:p>
        </w:tc>
        <w:tc>
          <w:tcPr>
            <w:tcW w:w="1500" w:type="dxa"/>
            <w:vAlign w:val="bottom"/>
          </w:tcPr>
          <w:p>
            <w:pPr>
              <w:jc w:val="center"/>
              <w:ind w:left="752"/>
              <w:spacing w:after="0"/>
              <w:rPr>
                <w:sz w:val="20"/>
                <w:szCs w:val="20"/>
                <w:color w:val="auto"/>
              </w:rPr>
            </w:pPr>
            <w:r>
              <w:rPr>
                <w:rFonts w:ascii="Arial" w:cs="Arial" w:eastAsia="Arial" w:hAnsi="Arial"/>
                <w:sz w:val="18"/>
                <w:szCs w:val="18"/>
                <w:color w:val="auto"/>
                <w:w w:val="89"/>
              </w:rPr>
              <w:t>46</w:t>
            </w:r>
          </w:p>
        </w:tc>
        <w:tc>
          <w:tcPr>
            <w:tcW w:w="6640" w:type="dxa"/>
            <w:vAlign w:val="bottom"/>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Vikram Jog</w:t>
            </w:r>
          </w:p>
        </w:tc>
        <w:tc>
          <w:tcPr>
            <w:tcW w:w="1500" w:type="dxa"/>
            <w:vAlign w:val="bottom"/>
          </w:tcPr>
          <w:p>
            <w:pPr>
              <w:jc w:val="center"/>
              <w:ind w:left="752"/>
              <w:spacing w:after="0"/>
              <w:rPr>
                <w:sz w:val="20"/>
                <w:szCs w:val="20"/>
                <w:color w:val="auto"/>
              </w:rPr>
            </w:pPr>
            <w:r>
              <w:rPr>
                <w:rFonts w:ascii="Arial" w:cs="Arial" w:eastAsia="Arial" w:hAnsi="Arial"/>
                <w:sz w:val="18"/>
                <w:szCs w:val="18"/>
                <w:color w:val="auto"/>
                <w:w w:val="89"/>
              </w:rPr>
              <w:t>59</w:t>
            </w:r>
          </w:p>
        </w:tc>
        <w:tc>
          <w:tcPr>
            <w:tcW w:w="664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Robert C. Jones</w:t>
            </w:r>
          </w:p>
        </w:tc>
        <w:tc>
          <w:tcPr>
            <w:tcW w:w="1500" w:type="dxa"/>
            <w:vAlign w:val="bottom"/>
          </w:tcPr>
          <w:p>
            <w:pPr>
              <w:jc w:val="center"/>
              <w:ind w:left="752"/>
              <w:spacing w:after="0"/>
              <w:rPr>
                <w:sz w:val="20"/>
                <w:szCs w:val="20"/>
                <w:color w:val="auto"/>
              </w:rPr>
            </w:pPr>
            <w:r>
              <w:rPr>
                <w:rFonts w:ascii="Arial" w:cs="Arial" w:eastAsia="Arial" w:hAnsi="Arial"/>
                <w:sz w:val="18"/>
                <w:szCs w:val="18"/>
                <w:color w:val="auto"/>
                <w:w w:val="89"/>
              </w:rPr>
              <w:t>61</w:t>
            </w:r>
          </w:p>
        </w:tc>
        <w:tc>
          <w:tcPr>
            <w:tcW w:w="6640" w:type="dxa"/>
            <w:vAlign w:val="bottom"/>
          </w:tcPr>
          <w:p>
            <w:pPr>
              <w:ind w:left="220"/>
              <w:spacing w:after="0"/>
              <w:rPr>
                <w:sz w:val="20"/>
                <w:szCs w:val="20"/>
                <w:color w:val="auto"/>
              </w:rPr>
            </w:pPr>
            <w:r>
              <w:rPr>
                <w:rFonts w:ascii="Arial" w:cs="Arial" w:eastAsia="Arial" w:hAnsi="Arial"/>
                <w:sz w:val="18"/>
                <w:szCs w:val="18"/>
                <w:color w:val="auto"/>
              </w:rPr>
              <w:t>Chief Technology Officer, Genomics</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Steven C. McPhail</w:t>
            </w:r>
          </w:p>
        </w:tc>
        <w:tc>
          <w:tcPr>
            <w:tcW w:w="1500" w:type="dxa"/>
            <w:vAlign w:val="bottom"/>
          </w:tcPr>
          <w:p>
            <w:pPr>
              <w:jc w:val="center"/>
              <w:ind w:left="752"/>
              <w:spacing w:after="0"/>
              <w:rPr>
                <w:sz w:val="20"/>
                <w:szCs w:val="20"/>
                <w:color w:val="auto"/>
              </w:rPr>
            </w:pPr>
            <w:r>
              <w:rPr>
                <w:rFonts w:ascii="Arial" w:cs="Arial" w:eastAsia="Arial" w:hAnsi="Arial"/>
                <w:sz w:val="18"/>
                <w:szCs w:val="18"/>
                <w:color w:val="auto"/>
                <w:w w:val="89"/>
              </w:rPr>
              <w:t>62</w:t>
            </w:r>
          </w:p>
        </w:tc>
        <w:tc>
          <w:tcPr>
            <w:tcW w:w="6640" w:type="dxa"/>
            <w:vAlign w:val="bottom"/>
          </w:tcPr>
          <w:p>
            <w:pPr>
              <w:ind w:left="220"/>
              <w:spacing w:after="0"/>
              <w:rPr>
                <w:sz w:val="20"/>
                <w:szCs w:val="20"/>
                <w:color w:val="auto"/>
              </w:rPr>
            </w:pPr>
            <w:r>
              <w:rPr>
                <w:rFonts w:ascii="Arial" w:cs="Arial" w:eastAsia="Arial" w:hAnsi="Arial"/>
                <w:sz w:val="18"/>
                <w:szCs w:val="18"/>
                <w:color w:val="auto"/>
              </w:rPr>
              <w:t>General Manager, Production Genomics</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William M. Smith</w:t>
            </w:r>
          </w:p>
        </w:tc>
        <w:tc>
          <w:tcPr>
            <w:tcW w:w="1500" w:type="dxa"/>
            <w:vAlign w:val="bottom"/>
          </w:tcPr>
          <w:p>
            <w:pPr>
              <w:jc w:val="center"/>
              <w:ind w:left="752"/>
              <w:spacing w:after="0"/>
              <w:rPr>
                <w:sz w:val="20"/>
                <w:szCs w:val="20"/>
                <w:color w:val="auto"/>
              </w:rPr>
            </w:pPr>
            <w:r>
              <w:rPr>
                <w:rFonts w:ascii="Arial" w:cs="Arial" w:eastAsia="Arial" w:hAnsi="Arial"/>
                <w:sz w:val="18"/>
                <w:szCs w:val="18"/>
                <w:color w:val="auto"/>
                <w:w w:val="89"/>
              </w:rPr>
              <w:t>64</w:t>
            </w:r>
          </w:p>
        </w:tc>
        <w:tc>
          <w:tcPr>
            <w:tcW w:w="6640" w:type="dxa"/>
            <w:vAlign w:val="bottom"/>
          </w:tcPr>
          <w:p>
            <w:pPr>
              <w:ind w:left="220"/>
              <w:spacing w:after="0"/>
              <w:rPr>
                <w:sz w:val="20"/>
                <w:szCs w:val="20"/>
                <w:color w:val="auto"/>
              </w:rPr>
            </w:pPr>
            <w:r>
              <w:rPr>
                <w:rFonts w:ascii="Arial" w:cs="Arial" w:eastAsia="Arial" w:hAnsi="Arial"/>
                <w:sz w:val="18"/>
                <w:szCs w:val="18"/>
                <w:color w:val="auto"/>
              </w:rPr>
              <w:t>Executive Vice President, Legal Affairs, General Counsel, and Secretary</w:t>
            </w: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Mai Chan (Grace) Yow</w:t>
            </w:r>
          </w:p>
        </w:tc>
        <w:tc>
          <w:tcPr>
            <w:tcW w:w="1500" w:type="dxa"/>
            <w:vAlign w:val="bottom"/>
          </w:tcPr>
          <w:p>
            <w:pPr>
              <w:jc w:val="center"/>
              <w:ind w:left="752"/>
              <w:spacing w:after="0"/>
              <w:rPr>
                <w:sz w:val="20"/>
                <w:szCs w:val="20"/>
                <w:color w:val="auto"/>
              </w:rPr>
            </w:pPr>
            <w:r>
              <w:rPr>
                <w:rFonts w:ascii="Arial" w:cs="Arial" w:eastAsia="Arial" w:hAnsi="Arial"/>
                <w:sz w:val="18"/>
                <w:szCs w:val="18"/>
                <w:color w:val="auto"/>
                <w:w w:val="89"/>
              </w:rPr>
              <w:t>57</w:t>
            </w:r>
          </w:p>
        </w:tc>
        <w:tc>
          <w:tcPr>
            <w:tcW w:w="6640" w:type="dxa"/>
            <w:vAlign w:val="bottom"/>
          </w:tcPr>
          <w:p>
            <w:pPr>
              <w:ind w:left="220"/>
              <w:spacing w:after="0"/>
              <w:rPr>
                <w:sz w:val="20"/>
                <w:szCs w:val="20"/>
                <w:color w:val="auto"/>
              </w:rPr>
            </w:pPr>
            <w:r>
              <w:rPr>
                <w:rFonts w:ascii="Arial" w:cs="Arial" w:eastAsia="Arial" w:hAnsi="Arial"/>
                <w:sz w:val="18"/>
                <w:szCs w:val="18"/>
                <w:color w:val="auto"/>
                <w:w w:val="92"/>
              </w:rPr>
              <w:t>Executive Vice President, Worldwide Manufacturing and Managing Director of Fluidigm</w:t>
            </w:r>
          </w:p>
        </w:tc>
      </w:tr>
      <w:tr>
        <w:trPr>
          <w:trHeight w:val="230"/>
        </w:trPr>
        <w:tc>
          <w:tcPr>
            <w:tcW w:w="2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40" w:type="dxa"/>
            <w:vAlign w:val="bottom"/>
          </w:tcPr>
          <w:p>
            <w:pPr>
              <w:ind w:left="220"/>
              <w:spacing w:after="0"/>
              <w:rPr>
                <w:sz w:val="20"/>
                <w:szCs w:val="20"/>
                <w:color w:val="auto"/>
              </w:rPr>
            </w:pPr>
            <w:r>
              <w:rPr>
                <w:rFonts w:ascii="Arial" w:cs="Arial" w:eastAsia="Arial" w:hAnsi="Arial"/>
                <w:sz w:val="18"/>
                <w:szCs w:val="18"/>
                <w:color w:val="auto"/>
              </w:rPr>
              <w:t>Singapore Pte. Ltd.</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Marc Unger, Ph.D.</w:t>
            </w:r>
          </w:p>
        </w:tc>
        <w:tc>
          <w:tcPr>
            <w:tcW w:w="1500" w:type="dxa"/>
            <w:vAlign w:val="bottom"/>
          </w:tcPr>
          <w:p>
            <w:pPr>
              <w:jc w:val="center"/>
              <w:ind w:left="752"/>
              <w:spacing w:after="0"/>
              <w:rPr>
                <w:sz w:val="20"/>
                <w:szCs w:val="20"/>
                <w:color w:val="auto"/>
              </w:rPr>
            </w:pPr>
            <w:r>
              <w:rPr>
                <w:rFonts w:ascii="Arial" w:cs="Arial" w:eastAsia="Arial" w:hAnsi="Arial"/>
                <w:sz w:val="18"/>
                <w:szCs w:val="18"/>
                <w:color w:val="auto"/>
                <w:w w:val="89"/>
              </w:rPr>
              <w:t>45</w:t>
            </w:r>
          </w:p>
        </w:tc>
        <w:tc>
          <w:tcPr>
            <w:tcW w:w="6640" w:type="dxa"/>
            <w:vAlign w:val="bottom"/>
          </w:tcPr>
          <w:p>
            <w:pPr>
              <w:ind w:left="220"/>
              <w:spacing w:after="0"/>
              <w:rPr>
                <w:sz w:val="20"/>
                <w:szCs w:val="20"/>
                <w:color w:val="auto"/>
              </w:rPr>
            </w:pPr>
            <w:r>
              <w:rPr>
                <w:rFonts w:ascii="Arial" w:cs="Arial" w:eastAsia="Arial" w:hAnsi="Arial"/>
                <w:sz w:val="18"/>
                <w:szCs w:val="18"/>
                <w:color w:val="auto"/>
              </w:rPr>
              <w:t>Executive Vice President, Research and Development and Marketing</w:t>
            </w:r>
          </w:p>
        </w:tc>
      </w:tr>
    </w:tbl>
    <w:p>
      <w:pPr>
        <w:spacing w:after="0" w:line="175"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i w:val="1"/>
          <w:iCs w:val="1"/>
          <w:color w:val="auto"/>
        </w:rPr>
        <w:t xml:space="preserve">Gajus V. Worthington </w:t>
      </w:r>
      <w:r>
        <w:rPr>
          <w:rFonts w:ascii="Arial" w:cs="Arial" w:eastAsia="Arial" w:hAnsi="Arial"/>
          <w:sz w:val="18"/>
          <w:szCs w:val="18"/>
          <w:color w:val="auto"/>
        </w:rPr>
        <w:t>is a co-founder of Fluidigm and has served as our President, Chief Executive Officer and a director since our inception in June</w:t>
      </w:r>
      <w:r>
        <w:rPr>
          <w:rFonts w:ascii="Arial" w:cs="Arial" w:eastAsia="Arial" w:hAnsi="Arial"/>
          <w:sz w:val="18"/>
          <w:szCs w:val="18"/>
          <w:i w:val="1"/>
          <w:iCs w:val="1"/>
          <w:color w:val="auto"/>
        </w:rPr>
        <w:t xml:space="preserve"> </w:t>
      </w:r>
      <w:r>
        <w:rPr>
          <w:rFonts w:ascii="Arial" w:cs="Arial" w:eastAsia="Arial" w:hAnsi="Arial"/>
          <w:sz w:val="18"/>
          <w:szCs w:val="18"/>
          <w:color w:val="auto"/>
        </w:rPr>
        <w:t>1999. From May 1994 to April 1999, Mr. Worthington held various staff and management positions at Actel Corporation, a public semiconductor company that was acquired by Microsemi Corporation in 2010. Mr. Worthington received a B.S. in Physics and an M.S. in Electrical Engineering from Stanford University.</w:t>
      </w:r>
    </w:p>
    <w:p>
      <w:pPr>
        <w:spacing w:after="0" w:line="13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i w:val="1"/>
          <w:iCs w:val="1"/>
          <w:color w:val="auto"/>
        </w:rPr>
        <w:t xml:space="preserve">Vikram Jog </w:t>
      </w:r>
      <w:r>
        <w:rPr>
          <w:rFonts w:ascii="Arial" w:cs="Arial" w:eastAsia="Arial" w:hAnsi="Arial"/>
          <w:sz w:val="18"/>
          <w:szCs w:val="18"/>
          <w:color w:val="auto"/>
        </w:rPr>
        <w:t>has served as our Chief Financial Officer since February 2008. From April 2005 to February 2008, Mr. Jog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for XDx, Inc. (now CareDx, 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3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 xml:space="preserve">Robert C. Jones </w:t>
      </w:r>
      <w:r>
        <w:rPr>
          <w:rFonts w:ascii="Arial" w:cs="Arial" w:eastAsia="Arial" w:hAnsi="Arial"/>
          <w:sz w:val="18"/>
          <w:szCs w:val="18"/>
          <w:color w:val="auto"/>
        </w:rPr>
        <w:t>has served as our Chief Technology Officer, Genomics since August 2015. Previously, Mr. Jones served as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from August 2005 to July 2015. From August 1984 to July 2005, Mr. Jones held various managerial and research and development positions at Applied Biosystems, a laboratory equipment and supplies manufacturer that was a division of Applera Corporation, including: Senior Vice President Research and Development from April 2001 to August 2005; Vice President and General Manager Informatics Division from 1998 to 2001; and Vice President PCR Business Unit from 1994 to 1998. Mr. Jones received a BSEE in Electrical Engineering and an MSEE in Computer Engineering from the University of Washington.</w:t>
      </w:r>
    </w:p>
    <w:p>
      <w:pPr>
        <w:spacing w:after="0" w:line="13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 xml:space="preserve">Steven C. McPhail </w:t>
      </w:r>
      <w:r>
        <w:rPr>
          <w:rFonts w:ascii="Arial" w:cs="Arial" w:eastAsia="Arial" w:hAnsi="Arial"/>
          <w:sz w:val="18"/>
          <w:szCs w:val="18"/>
          <w:color w:val="auto"/>
        </w:rPr>
        <w:t>has served as our General Manager, Production Genomics since May 2015. From February 2003 to August 2012, Mr. McPhail was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of Expression Analysis, Inc., a genomic services company that was acquired by Quintiles Transnational Corporation in August 2012, where Mr. McPhail was President of the post-acquisition operation until March 2015. Prior to Expression Analysis, Inc., Mr. McPhail held various staff and management positions at companies in the diagnostic, biotechnology, and medical device markets, including ArgoMed Inc., Xanthon, Inc., TriPath Imaging Inc., Dynex Technologies, Inc., and Abbott Laboratories. Mr. McPhail serves on the Board of Visitors of NC Children's Hospital and on the Board of Trustees of the Carolinas chapter of the Crohn's and Colitis Foundation of America. Mr. McPhail received a B.S. in Biology from San Diego State University.</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William M. Smith </w:t>
      </w:r>
      <w:r>
        <w:rPr>
          <w:rFonts w:ascii="Arial" w:cs="Arial" w:eastAsia="Arial" w:hAnsi="Arial"/>
          <w:sz w:val="16"/>
          <w:szCs w:val="16"/>
          <w:color w:val="auto"/>
        </w:rPr>
        <w:t>has served as our Executive Vice President, Legal Affairs since February 2012, and as General Counsel and our Secretary since May</w:t>
      </w:r>
    </w:p>
    <w:p>
      <w:pPr>
        <w:spacing w:after="0" w:line="4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2000. From May 2000 to February 2012, Mr. Smith served as our Vice President, Legal Affairs and served as a director from May 2000 to April 2008. Mr. Smith served as an associate and then as a partner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06" w:right="299" w:bottom="1440" w:gutter="0" w:footer="0" w:header="0"/>
        </w:sectPr>
      </w:pPr>
    </w:p>
    <w:bookmarkStart w:id="15" w:name="page16"/>
    <w:bookmarkEnd w:id="15"/>
    <w:p>
      <w:pPr>
        <w:ind w:right="240"/>
        <w:spacing w:after="0" w:line="277" w:lineRule="auto"/>
        <w:rPr>
          <w:sz w:val="20"/>
          <w:szCs w:val="20"/>
          <w:color w:val="auto"/>
        </w:rPr>
      </w:pPr>
      <w:r>
        <w:rPr>
          <w:rFonts w:ascii="Arial" w:cs="Arial" w:eastAsia="Arial" w:hAnsi="Arial"/>
          <w:sz w:val="18"/>
          <w:szCs w:val="18"/>
          <w:color w:val="auto"/>
        </w:rPr>
        <w:t>at the law firm of Townsend and Townsend and Crew, LLP from 1985 through April 2008. Mr. Smith received a J.D. and an M.P.A. from the University of Southern California and a B.A. in Biology from the University of California, San Diego.</w:t>
      </w:r>
    </w:p>
    <w:p>
      <w:pPr>
        <w:spacing w:after="0" w:line="116"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i w:val="1"/>
          <w:iCs w:val="1"/>
          <w:color w:val="auto"/>
        </w:rPr>
        <w:t xml:space="preserve">Mai Chan (Grace) Yow </w:t>
      </w:r>
      <w:r>
        <w:rPr>
          <w:rFonts w:ascii="Arial" w:cs="Arial" w:eastAsia="Arial" w:hAnsi="Arial"/>
          <w:sz w:val="18"/>
          <w:szCs w:val="18"/>
          <w:color w:val="auto"/>
        </w:rPr>
        <w:t>has served as Executive Vice President, Worldwide Manufacturing of Fluidigm Singapore Pte. Ltd., our Singapore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February 2012, and as Managing Director of Fluidigm Singapore Pte. Ltd. since March 2006. Ms. Yow served as Vice President, Worldwide Manufacturing, from March 2006 to January 2012.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13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Marc Unger, Ph.D.</w:t>
      </w:r>
      <w:r>
        <w:rPr>
          <w:rFonts w:ascii="Arial" w:cs="Arial" w:eastAsia="Arial" w:hAnsi="Arial"/>
          <w:sz w:val="18"/>
          <w:szCs w:val="18"/>
          <w:color w:val="auto"/>
        </w:rPr>
        <w:t>, has served has our Executive Vice President of Research and Development and Marketing since January 2014. Dr. Unger first</w:t>
      </w:r>
      <w:r>
        <w:rPr>
          <w:rFonts w:ascii="Arial" w:cs="Arial" w:eastAsia="Arial" w:hAnsi="Arial"/>
          <w:sz w:val="18"/>
          <w:szCs w:val="18"/>
          <w:i w:val="1"/>
          <w:iCs w:val="1"/>
          <w:color w:val="auto"/>
        </w:rPr>
        <w:t xml:space="preserve"> </w:t>
      </w:r>
      <w:r>
        <w:rPr>
          <w:rFonts w:ascii="Arial" w:cs="Arial" w:eastAsia="Arial" w:hAnsi="Arial"/>
          <w:sz w:val="18"/>
          <w:szCs w:val="18"/>
          <w:color w:val="auto"/>
        </w:rPr>
        <w:t>joined Fluidigm in 2002 as our Director of Microfluidic Research and Development. Dr. Unger also has served as our Director of Research and Development from 2003 to 2007, Chief Scientific Officer from 2007 to 2012, and Chief Technology Officer from 2012 to 2013. Dr. Unger received a Ph.D. in Physical Chemistry from the California Institute of Technology and a B.S. in Chemistry from Union College.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10-K. If any of the risks or uncertainties we face were to occur, the trading price of our securities could decline, and you may lose all or part of your investment.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42"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and 2014, we experienced higher sales in the fourth quarter than in the first quarter of the next fiscal year. Although this was not the case in the fourth quarter of 2013 compared to the first quarter of 2014, this seasonal historical trend resumed in 2015, and we expect it to continue. Additionally, for the quarters ended March 31, 2015 and June 30, 2015, we experienced year-over-year revenue growth rates that were substantially lower than revenue growth rates experienced in other periods since our initial public offering, and we experienced a year-over-year decline in revenue for the quarter ended September 30, 2015, and for the year ended December 31,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market, sell, and deliver products to our customers in a timely and cost-effective manner;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7" w:right="259" w:bottom="1440" w:gutter="0" w:footer="0" w:header="0"/>
        </w:sectPr>
      </w:pPr>
    </w:p>
    <w:bookmarkStart w:id="16" w:name="page17"/>
    <w:bookmarkEnd w:id="16"/>
    <w:p>
      <w:pPr>
        <w:ind w:firstLine="405"/>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maintain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75"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Roche Diagnostics Corporation, Sony Corporation, Thermo Fisher Scientific Inc., and WaferGen Bio-systems, Inc. have products that compete in certain segments of the market in which we sell our products. In addition, we have recently experienced increased competition in the single-cell biology market, including new product releases from Becton, Dickinson and Company, 10X Genomics, Inc. and WaferGen Bio-systems, Inc., as well as an announced exclusive partnership between Illumina, Inc. and Bio-Rad Laboratories, Inc.</w:t>
      </w:r>
    </w:p>
    <w:p>
      <w:pPr>
        <w:spacing w:after="0" w:line="181"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application of our technologies to single-cell biology (across genomics and proteomics) and production genomics applications are emerging market opportunities. We believe these opportunities will take several years to develop or mature and we cannot be certain that these market opportunities will develop as we expect. The future growth of the single-cell biology market and the success of our products depend on many factors beyond our control, including recognition and acceptance by the scientific community, and the growth, prevalence, and costs of competing methods of genetic and protein analysis. If the market for single-cell biology and production genomics do not develop as we expect, our business may be adversely affected. Additionally, our success in these markets may depend to a large extent on our ability to successfully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89"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24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w:t>
      </w:r>
    </w:p>
    <w:p>
      <w:pPr>
        <w:spacing w:after="0" w:line="14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7" w:right="259" w:bottom="1440" w:gutter="0" w:footer="0" w:header="0"/>
        </w:sectPr>
      </w:pPr>
    </w:p>
    <w:bookmarkStart w:id="18" w:name="page19"/>
    <w:bookmarkEnd w:id="18"/>
    <w:p>
      <w:pPr>
        <w:jc w:val="both"/>
        <w:ind w:right="160"/>
        <w:spacing w:after="0" w:line="312" w:lineRule="auto"/>
        <w:rPr>
          <w:sz w:val="20"/>
          <w:szCs w:val="20"/>
          <w:color w:val="auto"/>
        </w:rPr>
      </w:pPr>
      <w:r>
        <w:rPr>
          <w:rFonts w:ascii="Arial" w:cs="Arial" w:eastAsia="Arial" w:hAnsi="Arial"/>
          <w:sz w:val="16"/>
          <w:szCs w:val="16"/>
          <w:color w:val="auto"/>
        </w:rPr>
        <w:t>development activities. Any delay or failure by us to develop and release new products or product enhancements would have a substantial adverse effect on our business and results of operations. We are in the process of relocating our manufacturing facility for Helios/CyTOF 2 and other proteomics products in Canada, which could result in delays or disruptions in product development and which could have an adverse affect on our revenues or operating results.</w:t>
      </w:r>
    </w:p>
    <w:p>
      <w:pPr>
        <w:spacing w:after="0" w:line="14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recently experienced a performance issue with respect to certain IFCs used in our C1 systems due to the presence of more than one cell in an IFC chamber. We are currently working to redesign such IFCs. Although we have announced our current expectation that redesigned IFCs will be available in the second quarter of 2016, we may experience unexpected delays or product development challenges that could affect the timing or our ability to release redesigned IFCs that adequately address these performance issues.</w:t>
      </w:r>
    </w:p>
    <w:p>
      <w:pPr>
        <w:spacing w:after="0" w:line="16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9" w:name="page20"/>
    <w:bookmarkEnd w:id="19"/>
    <w:p>
      <w:pPr>
        <w:ind w:right="42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spacing w:after="0" w:line="18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laboratories that use our technology to develop tests,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169"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manufacture all of our genomics analytical and preparatory instruments and integrated fluidic circuits, or IFCs, for commercial sale at our facility in Singapore, our proteomics analytical instruments for commercial sale at our facility in Canada, and our assays and reagents for commercial sale at our facility in South San Francisco. No other manufacturing facilities are currently available to us, particularly facilities of the size and scope required by our Singapore and Canada operations. Our facilities and the equipment we use to manufacture our instruments, IFCs, assays, and reagents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 We are in the process of relocating our manufacturing facility for Helios/CyTOF 2 and other proteomics products in Canada, which could result in delays or disruptions in manufacturing and which could have an adverse effect on our revenues or operating results.</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0" w:name="page21"/>
    <w:bookmarkEnd w:id="20"/>
    <w:p>
      <w:pPr>
        <w:ind w:right="20"/>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During the years 2015, 2014, and 2013, approximately 52%, 49%, and 48%, respectively, of our product and service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ind w:left="820" w:right="260" w:hanging="326"/>
        <w:spacing w:after="0" w:line="26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for the years ended December 31, 2015, 2014, and 2013, we experienced foreign currency losses of $1.6 million, $1.1 million, and $0.5 million, respectively. Fluctuations in currency exchange rates could have an adverse impact on our financial results in the future.</w:t>
      </w:r>
    </w:p>
    <w:p>
      <w:pPr>
        <w:spacing w:after="0" w:line="16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ind w:right="28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20" w:hanging="320"/>
        <w:spacing w:after="0" w:line="264"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30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Helios/CyTOF 2 systems and certain metal isotopes used with the Helios/CyTOF 2 systems are purchased from sole source suppliers.</w:t>
      </w:r>
    </w:p>
    <w:p>
      <w:pPr>
        <w:spacing w:after="0" w:line="170" w:lineRule="exact"/>
        <w:rPr>
          <w:rFonts w:ascii="Arial" w:cs="Arial" w:eastAsia="Arial" w:hAnsi="Arial"/>
          <w:sz w:val="18"/>
          <w:szCs w:val="18"/>
          <w:color w:val="auto"/>
        </w:rPr>
      </w:pPr>
    </w:p>
    <w:p>
      <w:pPr>
        <w:ind w:left="760" w:right="14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nickel sampler cone used with the Helios/CyTOF 2 systems is purchased from single source suppliers and is available from a limited number of sources.</w:t>
      </w:r>
    </w:p>
    <w:p>
      <w:pPr>
        <w:spacing w:after="0" w:line="170" w:lineRule="exact"/>
        <w:rPr>
          <w:rFonts w:ascii="Arial" w:cs="Arial" w:eastAsia="Arial" w:hAnsi="Arial"/>
          <w:sz w:val="18"/>
          <w:szCs w:val="18"/>
          <w:color w:val="auto"/>
        </w:rPr>
      </w:pPr>
    </w:p>
    <w:p>
      <w:pPr>
        <w:ind w:left="760" w:right="52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28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70" w:lineRule="exact"/>
        <w:rPr>
          <w:rFonts w:ascii="Arial" w:cs="Arial" w:eastAsia="Arial" w:hAnsi="Arial"/>
          <w:sz w:val="18"/>
          <w:szCs w:val="18"/>
          <w:color w:val="auto"/>
        </w:rPr>
      </w:pPr>
    </w:p>
    <w:p>
      <w:pPr>
        <w:ind w:left="760" w:right="18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laboratories that use our technology to develop tests,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2" w:name="page23"/>
    <w:bookmarkEnd w:id="22"/>
    <w:p>
      <w:pPr>
        <w:ind w:right="18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biology and production genomics,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We have a limited operating history and have incurred significant losses in each fiscal year since our inception, including net losses of $53.3 million, $52.8 million, and $16.5 million during the years 2015, 2014, and 2013, respectively. As of December 31, 2015, we had an accumulated deficit of $363.5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growth, and we expect these expenses will increase in future periods. We also expect that our selling, general, and administrative expenses will continue to increase due to the additional operational costs associated with the growth of our business.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252"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As of December 31, 2015, we had approximately $202.9 million of goodwill and net intangible assets, net of amortization, of approximately $104.1 million and $98.8 million, respectively. These assets represent a significant portion of the assets recorded on our consolidated balance sheet and relate primarily to our acquisition of DVS in February 2014. In addition, if in the future we acquire additional businesses, technologies, or other intangible assets, a substantial portion of the value of such assets may be recorded as goodwill or intangible assets.</w:t>
      </w:r>
    </w:p>
    <w:p>
      <w:pPr>
        <w:spacing w:after="0" w:line="17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ind w:right="100"/>
        <w:spacing w:after="0" w:line="277" w:lineRule="auto"/>
        <w:rPr>
          <w:sz w:val="20"/>
          <w:szCs w:val="20"/>
          <w:color w:val="auto"/>
        </w:rPr>
      </w:pPr>
      <w:r>
        <w:rPr>
          <w:rFonts w:ascii="Arial" w:cs="Arial" w:eastAsia="Arial" w:hAnsi="Arial"/>
          <w:sz w:val="18"/>
          <w:szCs w:val="18"/>
          <w:color w:val="auto"/>
        </w:rPr>
        <w:t>effect on our operating results and net asset value in the quarter in which we recognize the impairment charge. We cannot provide assurances that we will not in the future be required to recognize impairment charges.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w:t>
      </w:r>
    </w:p>
    <w:p>
      <w:pPr>
        <w:spacing w:after="0" w:line="24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65" w:lineRule="exact"/>
        <w:rPr>
          <w:sz w:val="20"/>
          <w:szCs w:val="20"/>
          <w:color w:val="auto"/>
        </w:rPr>
      </w:pPr>
    </w:p>
    <w:p>
      <w:pPr>
        <w:ind w:right="320" w:firstLine="432"/>
        <w:spacing w:after="0" w:line="276" w:lineRule="auto"/>
        <w:rPr>
          <w:sz w:val="20"/>
          <w:szCs w:val="20"/>
          <w:color w:val="auto"/>
        </w:rPr>
      </w:pPr>
      <w:r>
        <w:rPr>
          <w:rFonts w:ascii="Arial" w:cs="Arial" w:eastAsia="Arial" w:hAnsi="Arial"/>
          <w:sz w:val="17"/>
          <w:szCs w:val="17"/>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69"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4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products, our Biomark, EP1, and Helios/CyTOF 2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8"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ind w:right="120"/>
        <w:spacing w:after="0" w:line="277" w:lineRule="auto"/>
        <w:rPr>
          <w:sz w:val="20"/>
          <w:szCs w:val="20"/>
          <w:color w:val="auto"/>
        </w:rPr>
      </w:pPr>
      <w:r>
        <w:rPr>
          <w:rFonts w:ascii="Arial" w:cs="Arial" w:eastAsia="Arial" w:hAnsi="Arial"/>
          <w:sz w:val="17"/>
          <w:szCs w:val="17"/>
          <w:b w:val="1"/>
          <w:bCs w:val="1"/>
          <w:color w:val="auto"/>
        </w:rPr>
        <w:t>Being regulated as a medical device manufacturer by the U.S. Food and Drug Administration, or FDA, and foreign regulatory authorities, and seeking approval and/or clearance for our products, will take significant time and expense and may not result in FDA clearance or approval for the intended uses we believe are commercially attractive. If our products are successfully approved and/or cleared, we will be subject to ongoing and extensive regulatory requirements, which would increase our costs and divert resources away from other projects. If we fail to comply with these requirements, our business and financial condition could be adversely impacted.</w:t>
      </w:r>
    </w:p>
    <w:p>
      <w:pPr>
        <w:spacing w:after="0" w:line="172"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and pharmaceutical, biotechnology, and Ag-Bio companies for research purposes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8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have announced our plan to register with the FDA as a medical device manufacturer and list some of our products with the FDA pursuant to an FDA Class I listing for general purpose laboratory equipment. We currently expect to make initial filing in the near term. While this regulatory classification is exempt from certain FDA requirements, such as the need to submit a premarket notification commonly known as a 510(k), and most of the requirements of the FDA’s Quality System Regulations, or QSRs, we will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7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addition, we plan to submit 510(k) premarket notifications to the FDA to obtain FDA clearance of certain of our products on a selected basis. Although we plan to submit 510(k) applications for certain of our products, it is possible that the FDA will take the position that a more burdensome premarket application, such as a premarket approval application or a de novo application is required for some of our products. If such applications are required, greater time and investment would be required to obtain FDA approval. Even if the FDA agrees that a 510(k) is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may be denied for some or all of our products. Even if we were to obtain regulatory approval or clearance, it may not be for the uses we believe are important or commercially attractive.</w:t>
      </w:r>
    </w:p>
    <w:p>
      <w:pPr>
        <w:spacing w:after="0" w:line="192"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If we receive regulatory clearance or approval for our products, we will be subject to ongoing FDA obligations and continued regulatory oversight and review, including the general controls listed above and the FDA’s QSRs for our manufacturing operations. In addition, we may be required to obtain a new 510(k) clearance before we can introduce subsequent modifications or improvements to our products. We may also be subject to additional FDA post-marketing obligations, any or all of which would increase our costs and divert resources away from other projects. If we are not able to maintain regulatory compliance with applicable laws, we may be prohibited from marketing our products for use as, or in the performance of, clinical diagnostics and/or may be subject to enforcement actions, including warning letters and adverse publicity, fines, injunctions, and civil penalties; recall or seizure of products; operating restrictions; and criminal prosecution.</w:t>
      </w:r>
    </w:p>
    <w:p>
      <w:pPr>
        <w:spacing w:after="0" w:line="284"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intend to seek similar regulatory clearance or approval for our products in countries outside of the United States. Sales of our products outside the United States will be subject to foreign regulatory requirements, which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will need to comply with the Medical Device Directive 93/42 EEC, which is required to market medical devices in the European Union. We also intend to seek certification under ISO 13485, the European Quality Standard applicable to medical device manufacturers.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5" w:name="page26"/>
    <w:bookmarkEnd w:id="25"/>
    <w:p>
      <w:pPr>
        <w:jc w:val="both"/>
        <w:ind w:right="30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diagnostics currently on the market. The FDA held a public workshop and accepted comments on the two draft guidance documents and is currently assessing next steps for implementing the framework for regulating LDTs. At the same time, various legislative proposals have been floated that would take differing approaches to the regulation of LDTs. It is also possible that companies or associations will attempt to bring litigation against the FDA arguing that the FDA lacks legal authority over LDTs. We cannot predict how these various efforts will be resolved, how FDA will regulate LDTs in the future, or how that regulatory system will impact our business.</w:t>
      </w:r>
    </w:p>
    <w:p>
      <w:pPr>
        <w:spacing w:after="0" w:line="1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161" w:lineRule="exact"/>
        <w:rPr>
          <w:sz w:val="20"/>
          <w:szCs w:val="20"/>
          <w:color w:val="auto"/>
        </w:rPr>
      </w:pPr>
    </w:p>
    <w:p>
      <w:pPr>
        <w:ind w:right="72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20" w:lineRule="exact"/>
        <w:rPr>
          <w:sz w:val="20"/>
          <w:szCs w:val="20"/>
          <w:color w:val="auto"/>
        </w:rPr>
      </w:pPr>
    </w:p>
    <w:p>
      <w:pPr>
        <w:ind w:right="100" w:firstLine="432"/>
        <w:spacing w:after="0" w:line="287"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may become subject to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6" w:name="page27"/>
    <w:bookmarkEnd w:id="26"/>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760" w:hanging="320"/>
        <w:spacing w:after="0"/>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jc w:val="center"/>
        <w:ind w:left="400" w:right="5740" w:firstLine="40"/>
        <w:spacing w:after="0" w:line="563" w:lineRule="auto"/>
        <w:tabs>
          <w:tab w:leader="none" w:pos="765" w:val="left"/>
        </w:tabs>
        <w:numPr>
          <w:ilvl w:val="1"/>
          <w:numId w:val="12"/>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68" w:lineRule="exact"/>
        <w:rPr>
          <w:sz w:val="20"/>
          <w:szCs w:val="20"/>
          <w:color w:val="auto"/>
        </w:rPr>
      </w:pPr>
    </w:p>
    <w:p>
      <w:pPr>
        <w:ind w:left="720" w:right="440" w:hanging="320"/>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ectPr>
          <w:pgSz w:w="11900" w:h="16838" w:orient="portrait"/>
          <w:cols w:equalWidth="0" w:num="1">
            <w:col w:w="11400"/>
          </w:cols>
          <w:pgMar w:left="240" w:top="125" w:right="259" w:bottom="1440" w:gutter="0" w:footer="0" w:header="0"/>
        </w:sectPr>
      </w:pPr>
    </w:p>
    <w:bookmarkStart w:id="27" w:name="page28"/>
    <w:bookmarkEnd w:id="27"/>
    <w:p>
      <w:pPr>
        <w:ind w:right="60" w:firstLine="405"/>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plan to restructure our European intercompany transactions, which is likely to increase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upon final adjudication of any disputes could have a material impact on our results of operations and financial position.</w:t>
      </w:r>
    </w:p>
    <w:p>
      <w:pPr>
        <w:spacing w:after="0" w:line="18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68"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ectPr>
          <w:pgSz w:w="11900" w:h="16838" w:orient="portrait"/>
          <w:cols w:equalWidth="0" w:num="1">
            <w:col w:w="11420"/>
          </w:cols>
          <w:pgMar w:left="240" w:top="341" w:right="239" w:bottom="1440" w:gutter="0" w:footer="0" w:header="0"/>
        </w:sectPr>
      </w:pPr>
    </w:p>
    <w:bookmarkStart w:id="28" w:name="page29"/>
    <w:bookmarkEnd w:id="28"/>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22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8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believe our facilities located in Singapore, Canada, and California, are sufficient to meet our short-term manufacturing needs. The current lease for our manufacturing facility in Singapore expires in June 2022. In the event that we need to add to our existing manufacturing space in Singapore or move our manufacturing facility to a new location in Singapore, such a move will involve significant expense and efforts in connection with the establishment of new clean rooms and the recommissioning of key manufacturing equipment. The current lease for our facility in Canada expires in April 2016. In August 2015, we entered into a lease for new office, laboratory and warehouse space in Canada and expect to relocate our Canada operations to the new space in April 2016. A move of any of our manufacturing facilities may delay or otherwise adversely affect our manufacturing activities and business.</w:t>
      </w:r>
    </w:p>
    <w:p>
      <w:pPr>
        <w:spacing w:after="0" w:line="165" w:lineRule="exact"/>
        <w:rPr>
          <w:sz w:val="20"/>
          <w:szCs w:val="20"/>
          <w:color w:val="auto"/>
        </w:rPr>
      </w:pPr>
    </w:p>
    <w:p>
      <w:pPr>
        <w:ind w:right="64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6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9" w:name="page30"/>
    <w:bookmarkEnd w:id="29"/>
    <w:p>
      <w:pPr>
        <w:ind w:right="200"/>
        <w:spacing w:after="0" w:line="277" w:lineRule="auto"/>
        <w:rPr>
          <w:sz w:val="20"/>
          <w:szCs w:val="20"/>
          <w:color w:val="auto"/>
        </w:rPr>
      </w:pPr>
      <w:r>
        <w:rPr>
          <w:rFonts w:ascii="Arial" w:cs="Arial" w:eastAsia="Arial" w:hAnsi="Arial"/>
          <w:sz w:val="18"/>
          <w:szCs w:val="18"/>
          <w:color w:val="auto"/>
        </w:rPr>
        <w:t>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6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25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of America, referred to as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5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GAAP under SEC regulations and those who are required to follow International Financial Reporting Standards outside of the United States. These efforts by the FASB and IASB may result in different accounting principles under GAAP that may result in materially different financial results for us in areas including, but not limited to, principles for recognizing revenue and lease accounting. Additionally, significant changes to GAAP resulting from the FASB’s and IASB’s efforts may require that we change how we process, analyze and report financial information and that we change financial reporting controls.</w:t>
      </w:r>
    </w:p>
    <w:p>
      <w:pPr>
        <w:spacing w:after="0" w:line="189"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one or more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25" w:right="299" w:bottom="1440" w:gutter="0" w:footer="0" w:header="0"/>
        </w:sectPr>
      </w:pPr>
    </w:p>
    <w:bookmarkStart w:id="30" w:name="page31"/>
    <w:bookmarkEnd w:id="30"/>
    <w:p>
      <w:pPr>
        <w:ind w:right="120"/>
        <w:spacing w:after="0" w:line="312" w:lineRule="auto"/>
        <w:rPr>
          <w:sz w:val="20"/>
          <w:szCs w:val="20"/>
          <w:color w:val="auto"/>
        </w:rPr>
      </w:pPr>
      <w:r>
        <w:rPr>
          <w:rFonts w:ascii="Arial" w:cs="Arial" w:eastAsia="Arial" w:hAnsi="Arial"/>
          <w:sz w:val="16"/>
          <w:szCs w:val="16"/>
          <w:color w:val="auto"/>
        </w:rPr>
        <w:t>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4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8"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Inc. and collectively referred to as Life), asserting that our Biomark system for gene expression analysis infringes upon U.S. Patent No. 6,814,934, or the ‘934 patent, and its foreign counterparts in Europe and Canada. In June 2011, we resolved this dispute by entering into license agreements with Life which, among other matters, granted us a non-exclusive license to the ‘934 patent and its foreign counterparts.</w:t>
      </w:r>
    </w:p>
    <w:p>
      <w:pPr>
        <w:spacing w:after="0" w:line="180"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t>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83"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Although no claims against us are currently pending, we have in the past received notices from third parties alleging potential disclosures of confidential information.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a third party competitor recently initiated litigation against a newly hired Fluidigm employee alleging, among other claims, misappropriation of proprietary information and breach of contractual and fiduciary obligations to the third party. Although we are not currently a party to this litigation, we cannot provide assurances that the third party will not bring claims against Fluidigm with respect to this employee or other employees that we have hired or may hire who were previously associated with the third party. If we fail in defending such claims, in addition to paying monetary damages or the potential for injunctive relief against us, in some instances we may lose valuable intellectual property rights. A loss of key research personnel work product could hamper or prevent our ability to commercialize certain potential products or a loss or inability to hire key marketing, sales or research and development personnel could adversely affect our future product development, sales and revenues, any of which could severely harm our business. Even if we are successful in defending against these claims, litigation could result in substantial costs and be a distraction to management.</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We have had prior discussions with Nodality to reinstate the license agreement. We cannot provide assurances that we will be able to reinstate the license agreement with Nodality or secure a new license agreement with Nodality or other third parties on acceptable terms, if at all.</w:t>
      </w:r>
    </w:p>
    <w:p>
      <w:pPr>
        <w:spacing w:after="0" w:line="182"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jc w:val="both"/>
        <w:ind w:right="200"/>
        <w:spacing w:after="0" w:line="279" w:lineRule="auto"/>
        <w:rPr>
          <w:sz w:val="20"/>
          <w:szCs w:val="20"/>
          <w:color w:val="auto"/>
        </w:rPr>
      </w:pPr>
      <w:r>
        <w:rPr>
          <w:rFonts w:ascii="Arial" w:cs="Arial" w:eastAsia="Arial" w:hAnsi="Arial"/>
          <w:sz w:val="17"/>
          <w:szCs w:val="17"/>
          <w:color w:val="auto"/>
        </w:rPr>
        <w:t>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2015, we had 28,844,206 shares of common stock outstanding, and stockholders holding at least 5% of our stock, individually or with affiliated persons or entities, collectively beneficially owned or controlled approximately 58%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the life science, Ag-Bio, and clinical research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8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3" w:right="239" w:bottom="1440" w:gutter="0" w:footer="0" w:header="0"/>
        </w:sectPr>
      </w:pPr>
    </w:p>
    <w:bookmarkStart w:id="34" w:name="page35"/>
    <w:bookmarkEnd w:id="34"/>
    <w:p>
      <w:pPr>
        <w:ind w:right="60"/>
        <w:spacing w:after="0" w:line="264" w:lineRule="auto"/>
        <w:rPr>
          <w:sz w:val="20"/>
          <w:szCs w:val="20"/>
          <w:color w:val="auto"/>
        </w:rPr>
      </w:pPr>
      <w:r>
        <w:rPr>
          <w:rFonts w:ascii="Arial" w:cs="Arial" w:eastAsia="Arial" w:hAnsi="Arial"/>
          <w:sz w:val="18"/>
          <w:szCs w:val="18"/>
          <w:color w:val="auto"/>
        </w:rPr>
        <w:t>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225" w:lineRule="exact"/>
        <w:rPr>
          <w:sz w:val="20"/>
          <w:szCs w:val="20"/>
          <w:color w:val="auto"/>
        </w:rPr>
      </w:pPr>
    </w:p>
    <w:p>
      <w:pPr>
        <w:ind w:left="5620" w:right="2400" w:hanging="5207"/>
        <w:spacing w:after="0" w:line="782"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 32</w:t>
      </w:r>
    </w:p>
    <w:p>
      <w:pPr>
        <w:spacing w:after="0" w:line="1"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ectPr>
          <w:pgSz w:w="11900" w:h="16838" w:orient="portrait"/>
          <w:cols w:equalWidth="0" w:num="1">
            <w:col w:w="11400"/>
          </w:cols>
          <w:pgMar w:left="240" w:top="125" w:right="259" w:bottom="1440" w:gutter="0" w:footer="0" w:header="0"/>
        </w:sectPr>
      </w:pPr>
    </w:p>
    <w:bookmarkStart w:id="35" w:name="page36"/>
    <w:bookmarkEnd w:id="35"/>
    <w:p>
      <w:pPr>
        <w:ind w:left="660" w:hanging="247"/>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41" w:right="259" w:bottom="1440" w:gutter="0" w:footer="0" w:header="0"/>
        </w:sectPr>
      </w:pPr>
    </w:p>
    <w:bookmarkStart w:id="36" w:name="page37"/>
    <w:bookmarkEnd w:id="36"/>
    <w:p>
      <w:pPr>
        <w:spacing w:after="0" w:line="272" w:lineRule="auto"/>
        <w:rPr>
          <w:sz w:val="20"/>
          <w:szCs w:val="20"/>
          <w:color w:val="auto"/>
        </w:rPr>
      </w:pPr>
      <w:r>
        <w:rPr>
          <w:rFonts w:ascii="Arial" w:cs="Arial" w:eastAsia="Arial" w:hAnsi="Arial"/>
          <w:sz w:val="17"/>
          <w:szCs w:val="17"/>
          <w:color w:val="auto"/>
        </w:rPr>
        <w:t>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Holders of the notes have the right to require us to repurchase all or a portion of their notes on certain dates or upon the occurrence of a fundamental change at a repurchase price equal to 100% of the principal amount of the notes to be repurchased, plus accrued and unpaid interest, if any. We may not have enough available cash or be able to obtain financing at the time we are required to make repurchases of notes surrendered therefor.</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166" w:lineRule="exact"/>
        <w:rPr>
          <w:sz w:val="20"/>
          <w:szCs w:val="20"/>
          <w:color w:val="auto"/>
        </w:rPr>
      </w:pPr>
    </w:p>
    <w:p>
      <w:pPr>
        <w:ind w:right="24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225" w:lineRule="exact"/>
        <w:rPr>
          <w:sz w:val="20"/>
          <w:szCs w:val="20"/>
          <w:color w:val="auto"/>
        </w:rPr>
      </w:pPr>
    </w:p>
    <w:p>
      <w:pPr>
        <w:ind w:left="760" w:right="440" w:hanging="320"/>
        <w:spacing w:after="0" w:line="308"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68" w:lineRule="exact"/>
        <w:rPr>
          <w:sz w:val="20"/>
          <w:szCs w:val="20"/>
          <w:color w:val="auto"/>
        </w:rPr>
      </w:pPr>
    </w:p>
    <w:p>
      <w:pPr>
        <w:ind w:left="760" w:right="40" w:hanging="320"/>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ectPr>
          <w:pgSz w:w="11900" w:h="16838" w:orient="portrait"/>
          <w:cols w:equalWidth="0" w:num="1">
            <w:col w:w="11420"/>
          </w:cols>
          <w:pgMar w:left="240" w:top="125" w:right="239" w:bottom="1440" w:gutter="0" w:footer="0" w:header="0"/>
        </w:sectPr>
      </w:pPr>
    </w:p>
    <w:bookmarkStart w:id="37" w:name="page38"/>
    <w:bookmarkEnd w:id="37"/>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184"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42"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16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193"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34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16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166"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lease approximately 94,000 square feet of office and laboratory space at our headquarters in South San Francisco, California under a lease that expires in April 2020. The leases for approximately 42,000 square feet of manufacturing and office space at our facility in Singapore will expire in June 2022. Additionally, we lease office, laboratory, and manufacturing space in Markham, Ontario, Canada and Sunnyvale, California under leases that expire in April 2016 and July 2016, respectively. We are currently relocating our Canada operations to a new facility in the Ontario, Canada area that has approximately 41,145 square feet of office, laboratory and warehouse space. The lease for the new facility expires 10 years from April 1, 2016. As of December 31, 2015, we also leased office space in Japan, China, and France, with various expiration dates through April 2018. We believe that our existing office, laboratory, and manufacturing space, together with additional space and facilities available on commercially reasonable terms, will be sufficient to meet our current needs through 2016. In addition, we believe that our properties are in good condition and are adequate and suitable for their purposes.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37"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742"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49" w:lineRule="exact"/>
        <w:rPr>
          <w:sz w:val="20"/>
          <w:szCs w:val="20"/>
          <w:color w:val="auto"/>
        </w:rPr>
      </w:pPr>
    </w:p>
    <w:p>
      <w:pPr>
        <w:ind w:left="740" w:right="540" w:hanging="728"/>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Our Common Stock; Dividends</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common stock began trading on the NASDAQ Global Select Market under the symbol “FLDM” on February 10, 2011. The following table sets forth the range of high and low closing sales prices of our common stock for the periods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2015</w:t>
            </w: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0"/>
              </w:rPr>
              <w:t>$45.54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$33.27</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Second Quarter</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$44.47</w:t>
            </w:r>
          </w:p>
        </w:tc>
        <w:tc>
          <w:tcPr>
            <w:tcW w:w="100" w:type="dxa"/>
            <w:vAlign w:val="bottom"/>
          </w:tcPr>
          <w:p>
            <w:pPr>
              <w:spacing w:after="0"/>
              <w:rPr>
                <w:sz w:val="21"/>
                <w:szCs w:val="21"/>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$23.39</w:t>
            </w: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0"/>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$8.11</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Fourth Quarter</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$11.95</w:t>
            </w:r>
          </w:p>
        </w:tc>
        <w:tc>
          <w:tcPr>
            <w:tcW w:w="100" w:type="dxa"/>
            <w:vAlign w:val="bottom"/>
          </w:tcPr>
          <w:p>
            <w:pPr>
              <w:spacing w:after="0"/>
              <w:rPr>
                <w:sz w:val="21"/>
                <w:szCs w:val="21"/>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$7.38</w:t>
            </w:r>
          </w:p>
        </w:tc>
      </w:tr>
      <w:tr>
        <w:trPr>
          <w:trHeight w:val="392"/>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2014</w:t>
            </w: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0"/>
              </w:rPr>
              <w:t>$48.89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$36.70</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Second Quarter</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$45.72</w:t>
            </w:r>
          </w:p>
        </w:tc>
        <w:tc>
          <w:tcPr>
            <w:tcW w:w="100" w:type="dxa"/>
            <w:vAlign w:val="bottom"/>
          </w:tcPr>
          <w:p>
            <w:pPr>
              <w:spacing w:after="0"/>
              <w:rPr>
                <w:sz w:val="21"/>
                <w:szCs w:val="21"/>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$25.46</w:t>
            </w: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8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0"/>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$24.50</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Fourth Quarter</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90"/>
              </w:rPr>
              <w:t>$33.73</w:t>
            </w:r>
          </w:p>
        </w:tc>
        <w:tc>
          <w:tcPr>
            <w:tcW w:w="100" w:type="dxa"/>
            <w:vAlign w:val="bottom"/>
          </w:tcPr>
          <w:p>
            <w:pPr>
              <w:spacing w:after="0"/>
              <w:rPr>
                <w:sz w:val="21"/>
                <w:szCs w:val="21"/>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$22.06</w:t>
            </w:r>
          </w:p>
        </w:tc>
      </w:tr>
    </w:tbl>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had approximately 99 stockholders of record as of February 10, 2016; however, because many of our outstanding shares are held in accounts with brokers and other institutions, we believe we have more beneficial owners. We have never declared or paid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Fluidigm Corporation under the Securities Act or the Exchange Act.</w:t>
      </w:r>
    </w:p>
    <w:p>
      <w:pPr>
        <w:spacing w:after="0" w:line="2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following graph shows a comparison from February 10, 2011 (the date our common stock commenced trading on the NASDAQ Global Select Market) through December 31, 2015 of the cumulative total return for our common stock, the NASDAQ Composite Total Return Index and the NASDAQ US Benchmark Medical Equipment Index, each of which assumes an initial investment of $100 and reinvestment of all dividends.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848985" cy="3970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397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thereto appearing elsewhere in this Form 10-K. We have derived the consolidated statement of operations data for the years ended December 31, 2015, 2014, and 2013 and consolidated balance sheet data as of December 31, 2015 and 2014 from audited consolidated financial statements included elsewhere in this Form 10-K. The consolidated statement of operations data for the fiscal years ended December 31, 2012 and December 31, 2011 and the consolidated balance sheet data as of December 31, 2013, December 31, 2012, and December 31, 2011 were derived from audited consolidated financial statements that are not included in this Form 10-K.</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2"/>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3"/>
                <w:szCs w:val="13"/>
                <w:color w:val="auto"/>
              </w:rPr>
            </w:pPr>
          </w:p>
        </w:tc>
        <w:tc>
          <w:tcPr>
            <w:tcW w:w="104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3"/>
                <w:szCs w:val="13"/>
                <w:color w:val="auto"/>
              </w:rPr>
            </w:pPr>
          </w:p>
        </w:tc>
        <w:tc>
          <w:tcPr>
            <w:tcW w:w="104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3"/>
                <w:szCs w:val="13"/>
                <w:color w:val="auto"/>
              </w:rPr>
            </w:pPr>
          </w:p>
        </w:tc>
        <w:tc>
          <w:tcPr>
            <w:tcW w:w="10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3"/>
                <w:szCs w:val="13"/>
                <w:color w:val="auto"/>
              </w:rPr>
            </w:pPr>
          </w:p>
        </w:tc>
        <w:tc>
          <w:tcPr>
            <w:tcW w:w="1000" w:type="dxa"/>
            <w:vAlign w:val="bottom"/>
          </w:tcPr>
          <w:p>
            <w:pPr>
              <w:jc w:val="right"/>
              <w:ind w:right="53"/>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50"/>
        </w:trPr>
        <w:tc>
          <w:tcPr>
            <w:tcW w:w="5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20" w:type="dxa"/>
            <w:vAlign w:val="bottom"/>
            <w:gridSpan w:val="5"/>
          </w:tcPr>
          <w:p>
            <w:pPr>
              <w:jc w:val="center"/>
              <w:ind w:right="113"/>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114,712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116,456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71,183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52,334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42,865</w:t>
            </w:r>
          </w:p>
        </w:tc>
      </w:tr>
      <w:tr>
        <w:trPr>
          <w:trHeight w:val="27"/>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(50,155)</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(51,836)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(18,653)</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(18,071)</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(53,315)</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(52,830)</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(16,526)</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(19,024)</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(32,370)</w:t>
            </w:r>
          </w:p>
        </w:tc>
      </w:tr>
      <w:tr>
        <w:trPr>
          <w:trHeight w:val="27"/>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(0.65)</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(0.86)</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 and long-term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101,465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142,800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86,286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83,677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54,967</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Working capital (1)</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123,433</w:t>
            </w: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133,440</w:t>
            </w:r>
          </w:p>
        </w:tc>
        <w:tc>
          <w:tcPr>
            <w:tcW w:w="2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89,354</w:t>
            </w:r>
          </w:p>
        </w:tc>
        <w:tc>
          <w:tcPr>
            <w:tcW w:w="2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91,500</w:t>
            </w: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51,873</w:t>
            </w:r>
          </w:p>
        </w:tc>
      </w:tr>
      <w:tr>
        <w:trPr>
          <w:trHeight w:val="27"/>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371,061</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407,559</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116,915</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113,732</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79,326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195,684</w:t>
            </w: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195,455</w:t>
            </w:r>
          </w:p>
        </w:tc>
        <w:tc>
          <w:tcPr>
            <w:tcW w:w="2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10,138</w:t>
            </w:r>
          </w:p>
        </w:tc>
      </w:tr>
      <w:tr>
        <w:trPr>
          <w:trHeight w:val="27"/>
        </w:trPr>
        <w:tc>
          <w:tcPr>
            <w:tcW w:w="5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114,901</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150,419</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96,414</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100,657</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56,897</w:t>
            </w:r>
          </w:p>
        </w:tc>
      </w:tr>
      <w:tr>
        <w:trPr>
          <w:trHeight w:val="27"/>
        </w:trPr>
        <w:tc>
          <w:tcPr>
            <w:tcW w:w="5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Working capital excludes deferred revenue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together with our consolidated financial statements and the notes to those statements included elsewhere in this Form 10-K. This discussion contains forward-looking statements based on our current expectations, assumptions, estimates and projections about Fluidigm and our industry. These forward-looking statements involve risks and uncertainties. Our actual results could differ materially from those indicated in these forward-looking statements as a result of certain factors, as more fully described in “Risk factors” in Item 1A of this Form 10-K, in this Item 7, and elsewhere in this Form 10-K. Except as may be required by law, we undertake no obligation to update publicly any forward-looking statements for any reason, even if new information becomes available or other events occur in the future.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or IFCs, assays, and reagents, to academic institutions, clinical laboratories, and pharmaceutical, biotechnology, and agricultural biotechnology, or Ag-Bio, companies.</w:t>
      </w:r>
    </w:p>
    <w:p>
      <w:pPr>
        <w:spacing w:after="0" w:line="133"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and Canada. Our facility in Singapore manufactures our genomic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fabricated at our Singapore facility. Our proteomics analytical instruments are manufactured at our facility in Canada. We also manufacture IFCs for research and development, assays, and reagents at our facilities in South San Francisco, California.</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February 13, 2014, we completed our acquisition of DVS Sciences, Inc., or DVS, for $199.9 million.</w:t>
      </w:r>
    </w:p>
    <w:p>
      <w:pPr>
        <w:spacing w:after="0" w:line="17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Our total revenue was $71.2 million in 2013, $116.5 million in 2014, and $114.7 million in 2015. We have incurred significant net losses since our inception in 1999 and, as of December 31, 2015, our accumulated deficit was $363.5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consolidated financial statements and the related notes included elsewhere in this Form 10-K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24" w:lineRule="exact"/>
        <w:rPr>
          <w:sz w:val="20"/>
          <w:szCs w:val="20"/>
          <w:color w:val="auto"/>
        </w:rPr>
      </w:pPr>
    </w:p>
    <w:p>
      <w:pPr>
        <w:ind w:right="480" w:firstLine="432"/>
        <w:spacing w:after="0" w:line="286" w:lineRule="auto"/>
        <w:rPr>
          <w:sz w:val="20"/>
          <w:szCs w:val="20"/>
          <w:color w:val="auto"/>
        </w:rPr>
      </w:pPr>
      <w:r>
        <w:rPr>
          <w:rFonts w:ascii="Arial" w:cs="Arial" w:eastAsia="Arial" w:hAnsi="Arial"/>
          <w:sz w:val="17"/>
          <w:szCs w:val="17"/>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 Our accounting policies are more fully described in Note 2 of the notes to our audited consolidated financial statements.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generate revenue from sales of our products and services, license agreements, and government grants. Our product revenue consists of sales of instruments and consumables, including IFCs, assays, and other reagents. Our service revenue consists of sales of post-warranty service contracts, preventive maintenance plans, instrument parts, installation, and training.</w:t>
      </w:r>
    </w:p>
    <w:p>
      <w:pPr>
        <w:spacing w:after="0" w:line="127"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recognize revenue when persuasive evidence of an arrangement exists, delivery has occurred or services have been rendered, the price to the customer is fixed or determinable, and collectability is reasonably assured. Revenue from the sales of our products that are not part of multiple element arrangements are recognized when no significant obligation remains undelivered and collection is reasonably assured, which is generally when delivery has occurred. Delivery occurs when there is a transfer of title and risk of loss passes to the customer. Payments received in advance of revenue recognition are classified as deferred revenue in the consolidated balance sheet.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4" w:name="page45"/>
    <w:bookmarkEnd w:id="44"/>
    <w:p>
      <w:pPr>
        <w:ind w:right="200" w:firstLine="432"/>
        <w:spacing w:after="0" w:line="259" w:lineRule="auto"/>
        <w:rPr>
          <w:sz w:val="20"/>
          <w:szCs w:val="20"/>
          <w:color w:val="auto"/>
        </w:rPr>
      </w:pPr>
      <w:r>
        <w:rPr>
          <w:rFonts w:ascii="Arial" w:cs="Arial" w:eastAsia="Arial" w:hAnsi="Arial"/>
          <w:sz w:val="18"/>
          <w:szCs w:val="18"/>
          <w:color w:val="auto"/>
        </w:rPr>
        <w:t>The evaluation of these revenue recognition criteria requires significant management judgment. For instance, we use judgment to assess collectability based on factors such as the customer’s creditworthiness and past collection history, if applicable. If we determine that collection is not reasonably assured, revenue recognition is deferred until receipt of payment. We also use judgment to assess whether a price is fixed or determinable by, among other things, reviewing contractual terms and conditions related to payment.</w:t>
      </w:r>
    </w:p>
    <w:p>
      <w:pPr>
        <w:spacing w:after="0" w:line="13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Certain of our sales contracts involve the delivery of multiple products or services within contractually binding arrangements. Multiple-deliverable sales transactions typically consist of the sale and delivery of one or more instruments and consumables together with one or more of our installation, training and/or customer support services.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w:t>
      </w:r>
    </w:p>
    <w:p>
      <w:pPr>
        <w:spacing w:after="0" w:line="13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For sales contracts that include multiple deliverables, we allocate the contract consideration at the inception of the contract to each unit of accounting based upon their relative selling prices. We may use our best estimate of selling price for individual deliverables when vendor specific objective evidence or third-party evidence is unavailable. A delivered item is considered to be a separate unit of accounting when it has value to the customer on a stand-alone basis.</w:t>
      </w:r>
    </w:p>
    <w:p>
      <w:pPr>
        <w:spacing w:after="0" w:line="1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products are typically delivered within a short time frame, generally within one to three months, of the contract date. Service contracts are entered into for terms of one to three years, following the expiration of the warranty period.</w:t>
      </w:r>
    </w:p>
    <w:p>
      <w:pPr>
        <w:spacing w:after="0" w:line="116"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Our products are generally sold without the right of return. Accruals are provided for estimated warranty expenses at the time the associated revenue is recognized. We use judgment to estimate these accruals and, if we were to experience an increase in warranty claims or if costs of servicing our products under warranty were greater than our estimates, our cost of product revenue could be adversely affected in future periods.</w:t>
      </w:r>
    </w:p>
    <w:p>
      <w:pPr>
        <w:spacing w:after="0" w:line="111" w:lineRule="exact"/>
        <w:rPr>
          <w:sz w:val="20"/>
          <w:szCs w:val="20"/>
          <w:color w:val="auto"/>
        </w:rPr>
      </w:pPr>
    </w:p>
    <w:p>
      <w:pPr>
        <w:ind w:right="420" w:firstLine="432"/>
        <w:spacing w:after="0" w:line="312" w:lineRule="auto"/>
        <w:rPr>
          <w:sz w:val="20"/>
          <w:szCs w:val="20"/>
          <w:color w:val="auto"/>
        </w:rPr>
      </w:pPr>
      <w:r>
        <w:rPr>
          <w:rFonts w:ascii="Arial" w:cs="Arial" w:eastAsia="Arial" w:hAnsi="Arial"/>
          <w:sz w:val="16"/>
          <w:szCs w:val="16"/>
          <w:color w:val="auto"/>
        </w:rPr>
        <w:t>We have entered into license agreements with third parties that generally provide us with up-front and periodic milestone payments. Revenue from license agreements is generally recognized when received, upfront payments are generally recognized over the term of the underlying agreement and milestone payments are generally recognized based upon the achievement of the milestones as defined in the agreement.</w:t>
      </w:r>
    </w:p>
    <w:p>
      <w:pPr>
        <w:spacing w:after="0" w:line="93"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We have received grants from various governmental entities for research and related activities. Grants provide us with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we have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1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Changes in judgments and estimates regarding application of these revenue recognition guidelines as well as changes in facts and circumstances could result in a change in the timing or amount of revenue recognized in future periods.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measure the cost of employee services received in exchange for an award of equity instruments, including stock options and restricted stock units, based on the grant date fair value of the award. The fair value of options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 Stock-based compensation cost for restricted stock units granted to employees is measured based on the closing fair market value of our common stock on the date of grant.</w:t>
      </w:r>
    </w:p>
    <w:p>
      <w:pPr>
        <w:spacing w:after="0" w:line="13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board of directors sets the terms, conditions, and restrictions related to the grant of stock options and restricted stock units, including the number of shares underlying the grants and the vesting criteria. With respect to performance-based stock options, depending on the extent to which the vesting criteria are met, our board of directors determines the number of shares that vest under the grants.</w:t>
      </w:r>
    </w:p>
    <w:p>
      <w:pPr>
        <w:spacing w:after="0" w:line="12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resulting costs of our equity awards, net of estimated forfeitures, are recognized over the period during which an employee is required to provide service in exchange for the award, usually a time-based vesting period. We amortize the fair value of stock-based compensation on a straight-line basis over the requisite service periods. For performance-based stock options, we recognize stock-based compensation over the requisite service periods using the accelerated attribution method.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08" w:right="239" w:bottom="1440" w:gutter="0" w:footer="0" w:header="0"/>
        </w:sectPr>
      </w:pPr>
    </w:p>
    <w:bookmarkStart w:id="45" w:name="page46"/>
    <w:bookmarkEnd w:id="45"/>
    <w:p>
      <w:pPr>
        <w:jc w:val="both"/>
        <w:ind w:right="60" w:firstLine="432"/>
        <w:spacing w:after="0" w:line="273" w:lineRule="auto"/>
        <w:rPr>
          <w:sz w:val="20"/>
          <w:szCs w:val="20"/>
          <w:color w:val="auto"/>
        </w:rPr>
      </w:pPr>
      <w:r>
        <w:rPr>
          <w:rFonts w:ascii="Arial" w:cs="Arial" w:eastAsia="Arial" w:hAnsi="Arial"/>
          <w:sz w:val="17"/>
          <w:szCs w:val="17"/>
          <w:color w:val="auto"/>
        </w:rPr>
        <w:t>Our common stock has a limited trading history because our common stock was not publicly traded until our initial public offering, or IPO, in February 2011. Accordingly, the expected volatility of our common stock is derived from the historical volatilities of several unrelated public companies within the life science industry. When selecting our industry peer companies, we consider our stage of development, size, and financial leverage. These historical volatilities are weighted and combined to produce a single volatility factor. The risk-free interest rate is based on the U.S. Treasury yield in effect at the time of grant for zero coupon U.S. Treasury notes with maturities approximately equal to each grant’s expected life. We estimate the expected lives of employee options using the “simplified” method as the midpoint of the expected time-to-vest and the contractual term.</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calculated fair value of our stock options could change significantly if we determine that another method is more reasonable, or if another method for calculating these input assumptions is prescribed by authoritative guidance. Higher volatility and longer expected lives result in an increase in stock-based compensation expense determined at the date of grant. Stock-based compensation expense affects our cost of product revenue, research and development expense, and selling, general and administrative expense.</w:t>
      </w:r>
    </w:p>
    <w:p>
      <w:pPr>
        <w:spacing w:after="0" w:line="133"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estimate our forfeiture rate based on an analysis of our actual forfeitures and we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was insignificant during 2015, 2014, and 2013. We will continue to use judgment in evaluating the expected term, volatility, and forfeiture rate related to our stock-based compensation.</w:t>
      </w:r>
    </w:p>
    <w:p>
      <w:pPr>
        <w:spacing w:after="0" w:line="1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Also required to compute the fair value calculation of options is the fair value of the underlying common stock. We grant stock options at exercise prices not less than the fair value of our common stock at the date of grant. Prior to our IPO, our board of directors obtained contemporaneous valuations from an unrelated third-party valuation firm to determine the estimated fair value of common stock. There is inherent uncertainty in these estimates and if we or the valuation firm had made different assumptions, the amount of our stock-based compensation expense, net loss, and net loss per share amounts could have been significantly different. Following the completion of our IPO in February 2011, the fair value of options granted is based on the closing price of our common stock on the date of grant as quoted on the NASDAQ Global Select Market.</w:t>
      </w:r>
    </w:p>
    <w:p>
      <w:pPr>
        <w:spacing w:after="0" w:line="12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Historically, certain of our stock options were granted to officers with vesting acceleration features based upon the achievement of certain performance milestones. The timing of the attainment of these milestones affected the timing of expense recognition since we recognize compensation expense only for the portion of stock options that are expected to vest.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recorded stock-based compensation of $16.8 million, $20.9 million, and $6.4 million during 2015, 2014, and 2013, respectively.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we have $29.8 million of total unrecognized compensation cost related to stock-based compensation arrangements that is expected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 over an average period of 2.6 years.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We use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generally consists of tax expense/benefit related to current period earnings/losses. As part of the process of preparing our consolidated financial statements, we 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These deferred tax assets primarily consist of net operating loss carryforwards, research and development tax credits, and stock-based compensation. We intend to maintain such valuation allowance until sufficient evidence exists to support its reduction. Our deferred tax liabilities primarily consist of book and tax basis differences in fixed assets and acquired identifiable intangible assets. We make estimates and judgments about our future taxable income that are based on assumptions that are consistent with our plans and estimates. Should the actual amounts differ from our estimates, the amount of our valuation allowance could be materially impacted. Changes in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08" w:right="239" w:bottom="1440" w:gutter="0" w:footer="0" w:header="0"/>
        </w:sectPr>
      </w:pPr>
    </w:p>
    <w:bookmarkStart w:id="46" w:name="page47"/>
    <w:bookmarkEnd w:id="46"/>
    <w:p>
      <w:pPr>
        <w:ind w:right="420"/>
        <w:spacing w:after="0" w:line="277" w:lineRule="auto"/>
        <w:rPr>
          <w:sz w:val="20"/>
          <w:szCs w:val="20"/>
          <w:color w:val="auto"/>
        </w:rPr>
      </w:pPr>
      <w:r>
        <w:rPr>
          <w:rFonts w:ascii="Arial" w:cs="Arial" w:eastAsia="Arial" w:hAnsi="Arial"/>
          <w:sz w:val="18"/>
          <w:szCs w:val="18"/>
          <w:color w:val="auto"/>
        </w:rPr>
        <w:t>these estimates may result in significant increases or decreases to our tax provision in a period in which such estimates are changed, which in turn would affect net income or loss.</w:t>
      </w:r>
    </w:p>
    <w:p>
      <w:pPr>
        <w:spacing w:after="0" w:line="116"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will be reflected in the income tax provision.</w:t>
      </w:r>
    </w:p>
    <w:p>
      <w:pPr>
        <w:spacing w:after="0" w:line="93"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We have not provided for U.S. federal and state income taxes on any of our non-U.S. subsidiaries’ undistributed earnings as of December 31, 2015 because such earnings are intended to be indefinitely reinvested. Upon distribution of such earnings in the form of dividends or otherwise, we believe there will be no material U.S. federal and state income tax liability as there are sufficient amount of tax losses or other attributes. Undistributed earnings of our foreign subsidiaries amounted to approximately $0.9 million, as of December 31, 2015. If these earning were to be repatriated, approximately $27,000 of withholding taxes may be due. However, since such subsidiaries’ earnings are permanently reinvested, no related deferred tax liabilities were accrued as of December 31, 2015.</w:t>
      </w:r>
    </w:p>
    <w:p>
      <w:pPr>
        <w:spacing w:after="0" w:line="139"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Effective January 1, 2010, we obtained approval for Pioneer Tax Status in Singapore. The Pioneer Tax Status allowed a full exemption from Singapore corporate tax related to contract manufacturing activities through the effective period subject to the achievement of certain milestones. Effective January 1, 2015, our Pioneer Tax Status was replaced by a Development and Expansion Incentive, which provides a reduced tax rate for qualifying income in Singapore through 2019, if certain milestones are met. Due to available capital allowances, we have not benefited from the tax exemption or from the reduced tax rate through December 31, 2015, and may not benefit from the incentive if we do not achieve the required milestones in future years.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record adjustments to inventory for potentially excess, obsolete, slow-moving, or impaired goods in order to state inventory at its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 including Goodwill</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Screening for and assessing whether impairment indicators exist, or if events or changes in circumstances have occurred, including a decline in our stock price or market capitalization, declines in our market shares or revenue, operating fundamentals, rapid changes in technology, competition, general economic conditions or other matters, requires significant judgment. An impairment charge may occur as a result of future goodwill and intangible asset impairment tests. The decreases in revenue and stock price that have occurred and may occur in the future could make such impairment more likely to result. If impairment is deemed to exist, we would write-down the recorded value of these intangible assets to their fair values. If and when these write-downs occur, they could harm our results of operations.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the carrying value of the net assets, goodwill is not considered impaired and no further analysis is required. If the carrying value of the net assets exceeds the fair value of the reporting unit, then the second step of the impairment test must be performed in order to determine the implied fair value of the goodwill. If the carrying value of the goodwill exceeds the implied fair value, then an impairment loss equal to the difference would be recorded.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27" w:right="239" w:bottom="1440" w:gutter="0" w:footer="0" w:header="0"/>
        </w:sectPr>
      </w:pPr>
    </w:p>
    <w:bookmarkStart w:id="47" w:name="page48"/>
    <w:bookmarkEnd w:id="47"/>
    <w:p>
      <w:pPr>
        <w:ind w:right="60" w:firstLine="405"/>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presents our historical consolidated statements of operations data for the years ended December 31, 2015, 2014, and 2013, and as a percentage of total revenue for the respective years ($ in thousands):</w:t>
      </w:r>
    </w:p>
    <w:p>
      <w:pPr>
        <w:spacing w:after="0" w:line="338"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5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2013</w:t>
            </w: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114,712</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116,456</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71,183</w:t>
            </w:r>
          </w:p>
        </w:tc>
        <w:tc>
          <w:tcPr>
            <w:tcW w:w="8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43,001</w:t>
            </w:r>
          </w:p>
        </w:tc>
        <w:tc>
          <w:tcPr>
            <w:tcW w:w="12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39,511</w:t>
            </w:r>
          </w:p>
        </w:tc>
        <w:tc>
          <w:tcPr>
            <w:tcW w:w="100" w:type="dxa"/>
            <w:vAlign w:val="bottom"/>
          </w:tcPr>
          <w:p>
            <w:pPr>
              <w:spacing w:after="0"/>
              <w:rPr>
                <w:sz w:val="21"/>
                <w:szCs w:val="21"/>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18,538</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w:t>
            </w:r>
          </w:p>
        </w:tc>
      </w:tr>
      <w:tr>
        <w:trPr>
          <w:trHeight w:val="27"/>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 revenue</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1,666</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39,264</w:t>
            </w:r>
          </w:p>
        </w:tc>
        <w:tc>
          <w:tcPr>
            <w:tcW w:w="12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43,423</w:t>
            </w:r>
          </w:p>
        </w:tc>
        <w:tc>
          <w:tcPr>
            <w:tcW w:w="100" w:type="dxa"/>
            <w:vAlign w:val="bottom"/>
          </w:tcPr>
          <w:p>
            <w:pPr>
              <w:spacing w:after="0"/>
              <w:rPr>
                <w:sz w:val="21"/>
                <w:szCs w:val="21"/>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19,953</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28</w:t>
            </w:r>
          </w:p>
        </w:tc>
      </w:tr>
      <w:tr>
        <w:trPr>
          <w:trHeight w:val="27"/>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82,959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71,324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48,412</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68</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1,267</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w:t>
            </w:r>
          </w:p>
        </w:tc>
      </w:tr>
      <w:tr>
        <w:trPr>
          <w:trHeight w:val="27"/>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Acquisition-related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10,696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Gain on escrow settlement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(3,986)</w:t>
            </w:r>
          </w:p>
        </w:tc>
        <w:tc>
          <w:tcPr>
            <w:tcW w:w="12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164,867</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168,292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89,836</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126</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(50,155)</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(51,836)</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(18,653)</w:t>
            </w: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(26)</w:t>
            </w:r>
          </w:p>
        </w:tc>
      </w:tr>
      <w:tr>
        <w:trPr>
          <w:trHeight w:val="27"/>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(14)</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Gain from sale of investment in Verinata</w:t>
            </w: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rPr>
              <w:t>1,777</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w:t>
            </w:r>
          </w:p>
        </w:tc>
      </w:tr>
      <w:tr>
        <w:trPr>
          <w:trHeight w:val="27"/>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501</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(54,790)</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(57,705)</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(16,389)</w:t>
            </w: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w:t>
            </w:r>
          </w:p>
        </w:tc>
      </w:tr>
      <w:tr>
        <w:trPr>
          <w:trHeight w:val="27"/>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4,875</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(137)</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(53,315)</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(52,830)</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(16,526)</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generate revenue primarily from sales of our products and services. Our product revenue consists of sales of instruments and consumables, including IFCs, assays, and other reagents. Our service revenue consists of post-warranty service contracts, preventive maintenance plans, instrument parts, installation and training. We have entered into license agreements and have received government grants to conduct research and development activities.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5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w w:val="96"/>
              </w:rPr>
              <w:t>Year Ended December 31,</w:t>
            </w:r>
          </w:p>
        </w:tc>
        <w:tc>
          <w:tcPr>
            <w:tcW w:w="76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$58,455</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$60,233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$36,044</w:t>
            </w:r>
          </w:p>
        </w:tc>
      </w:tr>
      <w:tr>
        <w:trPr>
          <w:trHeight w:val="27"/>
        </w:trPr>
        <w:tc>
          <w:tcPr>
            <w:tcW w:w="8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43,685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29,145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102,140</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107,071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65,189</w:t>
            </w:r>
          </w:p>
        </w:tc>
      </w:tr>
      <w:tr>
        <w:trPr>
          <w:trHeight w:val="27"/>
        </w:trPr>
        <w:tc>
          <w:tcPr>
            <w:tcW w:w="8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12,315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License revenue</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327</w:t>
            </w:r>
          </w:p>
        </w:tc>
      </w:tr>
      <w:tr>
        <w:trPr>
          <w:trHeight w:val="27"/>
        </w:trPr>
        <w:tc>
          <w:tcPr>
            <w:tcW w:w="8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revenue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$114,712</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$116,456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8"/>
              </w:rPr>
              <w:t>$71,183</w:t>
            </w:r>
          </w:p>
        </w:tc>
      </w:tr>
      <w:tr>
        <w:trPr>
          <w:trHeight w:val="27"/>
        </w:trPr>
        <w:tc>
          <w:tcPr>
            <w:tcW w:w="8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table presents our total product and service revenue by geography and as a percentage of total product and service revenue by geography of our customers for each period presented (in thousands):</w:t>
      </w:r>
    </w:p>
    <w:p>
      <w:pPr>
        <w:sectPr>
          <w:pgSz w:w="11900" w:h="16838" w:orient="portrait"/>
          <w:cols w:equalWidth="0" w:num="1">
            <w:col w:w="11420"/>
          </w:cols>
          <w:pgMar w:left="240" w:top="909"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909" w:right="2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394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w w:val="83"/>
              </w:rPr>
              <w:t>2013</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$59,133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$36,308</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Europe</w:t>
            </w:r>
          </w:p>
        </w:tc>
        <w:tc>
          <w:tcPr>
            <w:tcW w:w="1180" w:type="dxa"/>
            <w:vAlign w:val="bottom"/>
          </w:tcPr>
          <w:p>
            <w:pPr>
              <w:jc w:val="right"/>
              <w:spacing w:after="0"/>
              <w:rPr>
                <w:sz w:val="20"/>
                <w:szCs w:val="20"/>
                <w:color w:val="auto"/>
              </w:rPr>
            </w:pPr>
            <w:r>
              <w:rPr>
                <w:rFonts w:ascii="Arial" w:cs="Arial" w:eastAsia="Arial" w:hAnsi="Arial"/>
                <w:sz w:val="18"/>
                <w:szCs w:val="18"/>
                <w:color w:val="auto"/>
              </w:rPr>
              <w:t>36,772</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33,045</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18,472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12,878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Japan</w:t>
            </w:r>
          </w:p>
        </w:tc>
        <w:tc>
          <w:tcPr>
            <w:tcW w:w="1180" w:type="dxa"/>
            <w:vAlign w:val="bottom"/>
          </w:tcPr>
          <w:p>
            <w:pPr>
              <w:jc w:val="right"/>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6,639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5,569</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3940" w:type="dxa"/>
            <w:vAlign w:val="bottom"/>
          </w:tcPr>
          <w:p>
            <w:pPr>
              <w:ind w:left="380"/>
              <w:spacing w:after="0"/>
              <w:rPr>
                <w:sz w:val="20"/>
                <w:szCs w:val="20"/>
                <w:color w:val="auto"/>
              </w:rPr>
            </w:pPr>
            <w:r>
              <w:rPr>
                <w:rFonts w:ascii="Arial" w:cs="Arial" w:eastAsia="Arial" w:hAnsi="Arial"/>
                <w:sz w:val="18"/>
                <w:szCs w:val="18"/>
                <w:color w:val="auto"/>
              </w:rPr>
              <w:t>Total product and service revenue</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$114,455</w:t>
            </w:r>
          </w:p>
        </w:tc>
        <w:tc>
          <w:tcPr>
            <w:tcW w:w="120" w:type="dxa"/>
            <w:vAlign w:val="bottom"/>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$115,915</w:t>
            </w:r>
          </w:p>
        </w:tc>
        <w:tc>
          <w:tcPr>
            <w:tcW w:w="10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$70,198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9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license and grant revenue is primarily generated in the United States.</w:t>
      </w:r>
    </w:p>
    <w:p>
      <w:pPr>
        <w:spacing w:after="0" w:line="1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customers include academic research institutions, clinical laboratories, and pharmaceutical, biotechnology and Ag-Bio companies worldwide. Product and service revenue, excluding license and grant revenue, from our five largest customers in each of the periods presented comprised 13%, 15%, and 18% of total product and service revenue in 2015, 2014, and 2013,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December 31, 2014</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Total revenue decreased by $1.7 million, or 1.5%, to $114.7 million for 2015, compared to $116.5 million for 2014 primarily due to a decrease of $4.9 million in product revenue, partially offset by a $3.5 million increase in service revenue. Unfavorable foreign exchange rates, primarily between the U.S. dollar and Euro, adversely affected total revenue by approximately $5.0 million, or 15% in 2015. Continued weakness in foreign currencies, particularly the Euro, relative to the U.S. dollar would be expected to have an adverse effect on our revenue.</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revenue decreased by $4.9 million, or 5%, to $102.1 million for 2015, compared to $107.1 million for 2014.</w:t>
      </w:r>
    </w:p>
    <w:p>
      <w:pPr>
        <w:spacing w:after="0" w:line="171"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Instrument revenue decreased by $1.8 million, or 3%, to $58.4 million for 2015, primarily due to decreases in unit sales of core genomic analytical systems, which include BioMark, C1 and Access Array, and, to a lesser extent, lower average selling prices, partially offset by growth in unit sales of Helios/CyTOF2 systems with relatively higher selling prices compared to core genomic systems, and contributions from new products including Juno and Polaris. Unfavorable foreign exchange rates adversely affected instrument revenue by $3.6 million, or 6% in 2015 compared to 2014.</w:t>
      </w:r>
    </w:p>
    <w:p>
      <w:pPr>
        <w:spacing w:after="0" w:line="100"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Consumables revenue decreased by $3.2 million, or 7%, to $43.7 million for 2015, primarily due to decreases in IFC unit volumes from production genomics applications, as well as the negative effects of foreign exchange rates, which reduced consumables revenue by $2.3 million or 5% in 2015.</w:t>
      </w:r>
    </w:p>
    <w:p>
      <w:pPr>
        <w:spacing w:after="0" w:line="7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Annualized IFC pull-through for our genomics analytical systems was within our revised range of $25,000 to $35,000 per system per year, compared to a range of $40,000 to $50,000 per system per year in 2014. In 2015, annualized IFC pull-through for our genomics preparatory systems was within our expected range of $15,000 to $25,000 per system per year, and consumables pull-through for our proteomics analytical systems was within our historical range of $50,000 to $70,000 per system. IFC pull-through is determined by dividing the applicable IFC revenue for a specific period by the number of genomics analytical or preparatory systems, as applicable, in our installed base at the beginning of the period. Similarly, consumables pull-through for proteomics analytical systems is determined by dividing the related consumables revenue for a specific period by the number of proteomics analytical systems in our installed base at the beginning of the period. The IFC and consumables pull-through amounts are annualized by multiplying the pull-through amounts by a ratio, the numerator of which equals 12 and the denominator of which equals the number of months in the specific period.</w:t>
      </w:r>
    </w:p>
    <w:p>
      <w:pPr>
        <w:spacing w:after="0" w:line="11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currently expect total product revenue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 In addition, our revenue declined from fiscal 2014 to 2015, and we cannot provide assurance concerning future revenue growth, if any.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ind w:right="160" w:firstLine="243"/>
        <w:spacing w:after="0" w:line="264" w:lineRule="auto"/>
        <w:rPr>
          <w:sz w:val="20"/>
          <w:szCs w:val="20"/>
          <w:color w:val="auto"/>
        </w:rPr>
      </w:pPr>
      <w:r>
        <w:rPr>
          <w:rFonts w:ascii="Arial" w:cs="Arial" w:eastAsia="Arial" w:hAnsi="Arial"/>
          <w:sz w:val="18"/>
          <w:szCs w:val="18"/>
          <w:color w:val="auto"/>
        </w:rPr>
        <w:t>Service revenue increased by $3.5 million, or 40%, to $12.3 million for 2015, primarily due to increased sales of post-warranty service contracts and increased installation and training for our Helios/CyTOF2 systems. Service revenue for prior periods, which was previously recorded in instrument revenue, has been reclassified to conform to the current period presentation.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30" w:right="239" w:bottom="1440" w:gutter="0" w:footer="0" w:header="0"/>
        </w:sectPr>
      </w:pPr>
    </w:p>
    <w:bookmarkStart w:id="49" w:name="page50"/>
    <w:bookmarkEnd w:id="49"/>
    <w:p>
      <w:pPr>
        <w:ind w:left="260"/>
        <w:spacing w:after="0"/>
        <w:rPr>
          <w:sz w:val="20"/>
          <w:szCs w:val="20"/>
          <w:color w:val="auto"/>
        </w:rPr>
      </w:pPr>
      <w:r>
        <w:rPr>
          <w:rFonts w:ascii="Arial" w:cs="Arial" w:eastAsia="Arial" w:hAnsi="Arial"/>
          <w:sz w:val="18"/>
          <w:szCs w:val="18"/>
          <w:b w:val="1"/>
          <w:bCs w:val="1"/>
          <w:i w:val="1"/>
          <w:iCs w:val="1"/>
          <w:color w:val="auto"/>
        </w:rPr>
        <w:t>Grant and License Revenue</w:t>
      </w:r>
    </w:p>
    <w:p>
      <w:pPr>
        <w:spacing w:after="0" w:line="225" w:lineRule="exact"/>
        <w:rPr>
          <w:sz w:val="20"/>
          <w:szCs w:val="20"/>
          <w:color w:val="auto"/>
        </w:rPr>
      </w:pPr>
    </w:p>
    <w:p>
      <w:pPr>
        <w:ind w:right="80" w:firstLine="243"/>
        <w:spacing w:after="0" w:line="259" w:lineRule="auto"/>
        <w:rPr>
          <w:sz w:val="20"/>
          <w:szCs w:val="20"/>
          <w:color w:val="auto"/>
        </w:rPr>
      </w:pPr>
      <w:r>
        <w:rPr>
          <w:rFonts w:ascii="Arial" w:cs="Arial" w:eastAsia="Arial" w:hAnsi="Arial"/>
          <w:sz w:val="18"/>
          <w:szCs w:val="18"/>
          <w:color w:val="auto"/>
        </w:rPr>
        <w:t>Grant revenue consists of a grant from the California Institute for Regenerative Medicine (CIRM). Grant revenue was $0.2 million in 2014. There was no grant revenue in 2015. Our CIRM grant was awarded in 2011 in the amount of $1.9 million to be earned over a three-year period, which ended in April 2014. The CIRM grant revenue was recognized as the related research and development services were performed and costs associated with the grants were recognized as research and development expense during the period incurred.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License revenue was $0.3 million in each of 2015 and 2014.</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 of product and service revenue and product and service margins for each period presented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8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22"/>
                <w:szCs w:val="22"/>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2014</w:t>
            </w:r>
          </w:p>
        </w:tc>
      </w:tr>
      <w:tr>
        <w:trPr>
          <w:trHeight w:val="250"/>
        </w:trPr>
        <w:tc>
          <w:tcPr>
            <w:tcW w:w="8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43,001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39,511</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8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3,338</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75"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Cost of service includes direct labor hours, overhead and instrument parts. Costs related to license and grant revenue are included in research and development expense.</w:t>
      </w:r>
    </w:p>
    <w:p>
      <w:pPr>
        <w:spacing w:after="0" w:line="13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Cost of product revenue increased by $3.5 million, or 9%, to $43.0 million for 2015 from $39.5 million for 2014. Cost of product revenue for 2015 includes $11.2 million of amortization of acquired intangible assets resulting from our acquisition of DVS. Cost of product revenue for 2014 includes $10.7 million of amortization of developed technology and inventory fair value write-up resulting from our acquisition of DVS. Overall cost of product revenue as a percentage of product revenue was 42% and 37% for 2015 and 2014, including 11% and 10% related to these charges, respectively. Product margins declined 5 percentage points primarily due to lower consumables capacity utilization, lower instrument selling prices, higher acquisition-related amortization costs and higher IFC inventory reserves related to product transitions.</w:t>
      </w:r>
    </w:p>
    <w:p>
      <w:pPr>
        <w:spacing w:after="0" w:line="139"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Cost of service revenue increased by $0.3 million, or 9%, to $3.6 million for 2015 from $3.3 million for 2014. Cost of service revenue as a percentage of service revenue was 29% and 38% for 2015 and 2014, respectively. Service margin increased nine percentage points during 2015 compared to 2014, mainly due to increased post-warranty service contract revenue combined with relatively lower growth in service costs.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43,423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82,959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71,324</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Gain on escrow settlement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118,237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125,443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50" w:name="page51"/>
    <w:bookmarkEnd w:id="50"/>
    <w:p>
      <w:pPr>
        <w:ind w:right="240"/>
        <w:spacing w:after="0" w:line="277" w:lineRule="auto"/>
        <w:rPr>
          <w:sz w:val="20"/>
          <w:szCs w:val="20"/>
          <w:color w:val="auto"/>
        </w:rPr>
      </w:pPr>
      <w:r>
        <w:rPr>
          <w:rFonts w:ascii="Arial" w:cs="Arial" w:eastAsia="Arial" w:hAnsi="Arial"/>
          <w:sz w:val="18"/>
          <w:szCs w:val="18"/>
          <w:color w:val="auto"/>
        </w:rPr>
        <w:t>research and development since our inception. Our research and development efforts have focused primarily on enhancing our technologies and supporting development and commercialization of new and existing products and services.</w:t>
      </w:r>
    </w:p>
    <w:p>
      <w:pPr>
        <w:spacing w:after="0" w:line="11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Research and development expense decreased by $4.2 million, or 10%, to $39.3 million for 2015, compared to $43.4 million for 2014. The decrease in research and development expense was primarily due to a decrease in stock-based compensation expenses of $5.6 million resulting from the vesting in 2014 of a substantial portion of equity awards in connection with the DVS acquisition according to the vesting terms, partially offset by an increase in compensation-related costs of $0.7 million and an increase in facilities costs of $0.6 million.</w:t>
      </w:r>
    </w:p>
    <w:p>
      <w:pPr>
        <w:spacing w:after="0" w:line="13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that these expenses will increase in future periods.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Selling, general and administrative expense increased $11.6 million, or 16%, to $83.0 million for 2015, compared to $71.3 million for 2014. The increase was primarily due to higher headcount and compensation-related costs of $4.1 million, including an increase of $1.3 million in stock-based compensation; increased legal costs of $3.0 million and other outside services costs of $2.2 million, and increased facilities costs of $1.1 million. The increase in selling, general and administrative expense was mainly driven by continued investments in our global commercial infrastructure.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Acquisition-Related Expenses</w:t>
      </w:r>
    </w:p>
    <w:p>
      <w:pPr>
        <w:spacing w:after="0" w:line="90"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Acquisition-related expenses were $10.7 million for 2014 and primarily included accelerated vesting of certain DVS restricted stock and options, and consulting, legal, and investment banking fees relating to our acquisition of DVS. There were no acquisition-related expenses in 2015.</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Gain on Escrow Settlement</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Approximately 885,000 shares of Fluidigm common stock were deposited into escrow, or Escrowed Shares, in connection with our acquisition of DVS in February 2014. The Escrowed Shares comprised a portion of the merger consideration and were being held in escrow to secure indemnification obligations under the merger agreement. Under the terms of the merger agreement, fifty percent (50.0%) of the aggregate shares subject to the indemnification escrow were eligible for release on March 13, 2015, or the Initial Release Date, and the balance of the shares were eligible for release on August 13, 2015, provided that in each case shares would have continued to be held in escrow in amounts that we reasonably determined in good faith to be necessary to satisfy any claims for which we had delivered a notice of claim which had not been fully resolved between us and the representative of the former stockholders of DVS, or Stockholder Representative. Prior to the Initial Release Date, we submitted escrow claim notices under the terms of the merger agreement, which were objected to by the Stockholder Representative. In July 2015, we entered into a settlement agreement with the Stockholder Representative regarding the claims pursuant to which the parties agreed to release approximately 80% of the Escrowed Shares to the former stockholders of DVS, and the remaining approximately 20% of the Escrowed Shares, or 170,107 shares, to us, which were canceled and returned to the status of authorized and unissued shares. On the settlement date, the 170,107 shares had a value of approximately $4.0 million, which was recorded to gain on escrow settlement during the quarter ended September 30, 2015.</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Year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332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(5,869)</w:t>
            </w:r>
          </w:p>
        </w:tc>
      </w:tr>
      <w:tr>
        <w:trPr>
          <w:trHeight w:val="27"/>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accrue interest at a rate of 2.75% per year, payable semi-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27" w:right="239" w:bottom="1440" w:gutter="0" w:footer="0" w:header="0"/>
        </w:sectPr>
      </w:pPr>
    </w:p>
    <w:bookmarkStart w:id="51" w:name="page52"/>
    <w:bookmarkEnd w:id="51"/>
    <w:p>
      <w:pPr>
        <w:ind w:right="660"/>
        <w:spacing w:after="0" w:line="277" w:lineRule="auto"/>
        <w:rPr>
          <w:sz w:val="20"/>
          <w:szCs w:val="20"/>
          <w:color w:val="auto"/>
        </w:rPr>
      </w:pPr>
      <w:r>
        <w:rPr>
          <w:rFonts w:ascii="Arial" w:cs="Arial" w:eastAsia="Arial" w:hAnsi="Arial"/>
          <w:sz w:val="18"/>
          <w:szCs w:val="18"/>
          <w:color w:val="auto"/>
        </w:rPr>
        <w:t>annually in arrears on February 1 and August 1 of each year, commencing August 1, 2014. The Notes will mature on February 1, 2034, unless earlier converted, redeemed, or repurchased in accordance with the terms of the Notes.</w:t>
      </w:r>
    </w:p>
    <w:p>
      <w:pPr>
        <w:spacing w:after="0" w:line="116"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Interest expense increased to $5.8 million for 2015, compared to $5.3 million for 2014 due to the accrual of interest under the terms of the Note, as compared to a partial comparable period in 2014.</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from Sale of Investment in Verinata</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December 2015. In March 2013, we received cash proceeds of $3.1 million in exchange for our ownership interest in Verinata, resulting in a gain of $1.8 million. During 2014, we received cash proceeds of $0.3 million from the escrow account related to the acquisition. We recorded these amounts as "Gain from sale of investment in Verinata" in the accompanying consolidated statements of operations for the years ended December 31, 2013 and 2014. The final milestones related to the sale of Verinata to Illumina were met in December 2015 and, accordingly, we recorded our share of these milestone payment obligations in the amount of $2.3 million in Other Assets and Gain from sale of investment in Verinata in the accompanying consolidated statement of operations for the year ended December 31, 2015. In January 2016, we received payment of this amount.</w:t>
      </w:r>
    </w:p>
    <w:p>
      <w:pPr>
        <w:spacing w:after="0" w:line="12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Other expense, net increased by $1.1 million for 2015, compared to $0.9 million for 2014, primarily due to losses from revaluation of certain foreign currency denominated assets and liabilities during 2015.</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7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recorded a tax benefit of $1.5 million, or an effective tax rate benefit of 2.6%, for the year ended December 31, 2015. This tax benefit was primarily attributable to the amortization of our acquisition-related deferred tax liability, partially offset by net income tax expense from our foreign operations and unrecognized tax benefits. We recorded a tax benefit of $4.9 million for the year ended December 31, 2014, which was primarily attributable to the amortization of our acquisition-related deferred tax liability and net income tax benefit from our foreign operations and release of valuation allowance on California deferred tax assets, as a result of the deferred tax liability related to its acquired intellectual property.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2014 and December 31, 2013</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Total revenue increased by $45.3 million, or 64%, to $116.5 million for 2014, compared to $71.2 million for 2013 primarily due to an overall growth in our business, including revenue growth for both instruments and consumables. Revenue from the sale of Helios/CyTOF 2 systems and related consumables following our acquisition of DVS Sciences, Inc., or DVS, in February 2014, contributed $20.7 million to total revenue in 2014. This growth in revenues was negatively impacted by generally unfavorable foreign exchange rate trends for the year 2014 and in particular during the fourth quarter of 2014. The unfavorable impact on revenues was approximately 3% during the fourth quarter of 2014.</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revenue increased by $45.7 million, or 65%, to $115.9 million for 2014, compared to $70.2 million for 2013.</w:t>
      </w:r>
    </w:p>
    <w:p>
      <w:pPr>
        <w:spacing w:after="0" w:line="17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Instrument revenue increased by $28.0 million, or 68%, primarily driven by sales of our Helios/CyTOF 2 systems which we commenced selling upon the acquisition of DVS, and net increases in unit sales of our preparatory systems, which include the C1 Single-Cell Auto Prep system, and to a lesser extent, net increases in unit sales of our analytical systems. Instrument revenue growth, excluding contribution from the acquired Helios/CyTOF 2 system, was 30% for 2014 compared to 2013.</w:t>
      </w:r>
    </w:p>
    <w:p>
      <w:pPr>
        <w:spacing w:after="0" w:line="133" w:lineRule="exact"/>
        <w:rPr>
          <w:sz w:val="20"/>
          <w:szCs w:val="20"/>
          <w:color w:val="auto"/>
        </w:rPr>
      </w:pPr>
    </w:p>
    <w:p>
      <w:pPr>
        <w:jc w:val="both"/>
        <w:ind w:right="400" w:firstLine="432"/>
        <w:spacing w:after="0" w:line="312" w:lineRule="auto"/>
        <w:rPr>
          <w:sz w:val="20"/>
          <w:szCs w:val="20"/>
          <w:color w:val="auto"/>
        </w:rPr>
      </w:pPr>
      <w:r>
        <w:rPr>
          <w:rFonts w:ascii="Arial" w:cs="Arial" w:eastAsia="Arial" w:hAnsi="Arial"/>
          <w:sz w:val="16"/>
          <w:szCs w:val="16"/>
          <w:color w:val="auto"/>
        </w:rPr>
        <w:t>Consumables revenue increased by $17.7 million, or 61%, primarily due to growth in overall IFC unit volume, driven mainly by increased sales to production genomics customers, and to a lesser extent, contribution from the acquired antibody consumables sales and increased sales to other genomics customers. Consumables revenue growth, excluding revenue attributable to the acquired operations of DVS, was 44% for 2014 compared to 2013.</w:t>
      </w:r>
    </w:p>
    <w:p>
      <w:pPr>
        <w:spacing w:after="0" w:line="9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Annualized IFC pull-through for our genomics analytical and preparatory systems was within our historical range of $40,000 to $50,000 per system and $10,000 to $15,000 per system, respectively. Annualized consumables pull-through for our proteomics analytical systems was above its historical range of $50,000 to $70,000 per system. IFC pull-through is determined by dividing the applicable IFC revenue for a specific period by the number of genomics analytical or preparatory systems, as applicable, in our installed base at the beginning of the period. Similarly, consumables pull-through for proteomics analytical systems is determined by dividing the related consumables revenue for a specific period by the number of proteomics analytical systems in our installed base at the beginning of the period. The IFC and consumables pull-through amounts are annualized by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746" w:right="259" w:bottom="1440" w:gutter="0" w:footer="0" w:header="0"/>
        </w:sectPr>
      </w:pPr>
    </w:p>
    <w:bookmarkStart w:id="52" w:name="page53"/>
    <w:bookmarkEnd w:id="52"/>
    <w:p>
      <w:pPr>
        <w:ind w:right="80"/>
        <w:spacing w:after="0" w:line="277" w:lineRule="auto"/>
        <w:rPr>
          <w:sz w:val="20"/>
          <w:szCs w:val="20"/>
          <w:color w:val="auto"/>
        </w:rPr>
      </w:pPr>
      <w:r>
        <w:rPr>
          <w:rFonts w:ascii="Arial" w:cs="Arial" w:eastAsia="Arial" w:hAnsi="Arial"/>
          <w:sz w:val="18"/>
          <w:szCs w:val="18"/>
          <w:color w:val="auto"/>
        </w:rPr>
        <w:t>multiplying the pull-through amounts by a ratio, the numerator of which equals 12 and the denominator of which equals the number of months in the specific period.</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ind w:right="600" w:firstLine="243"/>
        <w:spacing w:after="0" w:line="264" w:lineRule="auto"/>
        <w:rPr>
          <w:sz w:val="20"/>
          <w:szCs w:val="20"/>
          <w:color w:val="auto"/>
        </w:rPr>
      </w:pPr>
      <w:r>
        <w:rPr>
          <w:rFonts w:ascii="Arial" w:cs="Arial" w:eastAsia="Arial" w:hAnsi="Arial"/>
          <w:sz w:val="18"/>
          <w:szCs w:val="18"/>
          <w:color w:val="auto"/>
        </w:rPr>
        <w:t>Service revenue increased by $3.8 million, or 77%, to $8.8 million for 2014, attributable primarily to sales of service and installation contracts in connection with the sale of Helios/CyTOF 2 systems as a result of the DVS acquisition. An increase in the sale of post-warranty service contracts also contributed to the increase in service revenue.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Grant and License Revenue</w:t>
      </w:r>
    </w:p>
    <w:p>
      <w:pPr>
        <w:spacing w:after="0" w:line="171" w:lineRule="exact"/>
        <w:rPr>
          <w:sz w:val="20"/>
          <w:szCs w:val="20"/>
          <w:color w:val="auto"/>
        </w:rPr>
      </w:pPr>
    </w:p>
    <w:p>
      <w:pPr>
        <w:ind w:right="80" w:firstLine="243"/>
        <w:spacing w:after="0" w:line="259" w:lineRule="auto"/>
        <w:rPr>
          <w:sz w:val="20"/>
          <w:szCs w:val="20"/>
          <w:color w:val="auto"/>
        </w:rPr>
      </w:pPr>
      <w:r>
        <w:rPr>
          <w:rFonts w:ascii="Arial" w:cs="Arial" w:eastAsia="Arial" w:hAnsi="Arial"/>
          <w:sz w:val="18"/>
          <w:szCs w:val="18"/>
          <w:color w:val="auto"/>
        </w:rPr>
        <w:t>Grant revenue consists of a grant from CIRM. Grant revenue was $0.2 million and $0.7 million in 2014 and 2013, respectively. Our CIRM grant was awarded in 2011 in the amount of $1.9 million to be earned over a three-year period, which ended in April 2014. The CIRM grant revenue is recognized as the related research and development services are performed and costs associated with the grants are recognized as research and development expense during the period incurred.</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License revenue was $0.3 million in each of 2014 and 2013.</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cost of total product and service revenue and product and service margin for each period presented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1036"/>
              <w:spacing w:after="0"/>
              <w:rPr>
                <w:sz w:val="20"/>
                <w:szCs w:val="20"/>
                <w:color w:val="auto"/>
              </w:rPr>
            </w:pPr>
            <w:r>
              <w:rPr>
                <w:rFonts w:ascii="Arial" w:cs="Arial" w:eastAsia="Arial" w:hAnsi="Arial"/>
                <w:sz w:val="14"/>
                <w:szCs w:val="14"/>
                <w:b w:val="1"/>
                <w:bCs w:val="1"/>
                <w:color w:val="auto"/>
              </w:rPr>
              <w:t>Year Ended</w:t>
            </w:r>
          </w:p>
        </w:tc>
      </w:tr>
      <w:tr>
        <w:trPr>
          <w:trHeight w:val="152"/>
        </w:trPr>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ind w:right="278"/>
              <w:spacing w:after="0" w:line="153" w:lineRule="exact"/>
              <w:rPr>
                <w:sz w:val="20"/>
                <w:szCs w:val="20"/>
                <w:color w:val="auto"/>
              </w:rPr>
            </w:pPr>
            <w:r>
              <w:rPr>
                <w:rFonts w:ascii="Arial" w:cs="Arial" w:eastAsia="Arial" w:hAnsi="Arial"/>
                <w:sz w:val="14"/>
                <w:szCs w:val="14"/>
                <w:b w:val="1"/>
                <w:bCs w:val="1"/>
                <w:color w:val="auto"/>
                <w:w w:val="98"/>
              </w:rPr>
              <w:t>December 31,</w:t>
            </w:r>
          </w:p>
        </w:tc>
        <w:tc>
          <w:tcPr>
            <w:tcW w:w="260" w:type="dxa"/>
            <w:vAlign w:val="bottom"/>
          </w:tcPr>
          <w:p>
            <w:pPr>
              <w:spacing w:after="0"/>
              <w:rPr>
                <w:sz w:val="13"/>
                <w:szCs w:val="13"/>
                <w:color w:val="auto"/>
              </w:rPr>
            </w:pPr>
          </w:p>
        </w:tc>
        <w:tc>
          <w:tcPr>
            <w:tcW w:w="12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3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2013</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39,511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18,538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3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3,338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1,666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75"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Cost of product revenue includes manufacturing costs incurred in the production process, including component materials, labor and overhead, installation, packaging, and delivery costs. In addition, cost of product revenue includes royalty costs for licensed technologies included in our products, warranty, provisions for slow-moving and obsolete inventory, and stock-based compensation expense. Cost of service revenue includes direct labor hours, overhead and instrument parts. Costs related to license and grant revenue are included in research and development expense.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Cost of product revenue increased by $21.0 million, or 113%, to $39.5 million for 2014 from $18.5 million for 2013. Cost of product revenue</w:t>
      </w:r>
    </w:p>
    <w:p>
      <w:pPr>
        <w:spacing w:after="0" w:line="3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for 2014 includes $10.7 million of amortization of acquired intangible assets and inventory fair-value write-up resulting from our acquisition of DVS with no corresponding charges in 2013. Cost of product revenue as a percentage of product revenue was 37% (including 10 percentage points related primarily to amortization of acquired intangible assets and inventory fair-value write-up) and 28% for 2014 and 2013, respectively.</w:t>
      </w:r>
    </w:p>
    <w:p>
      <w:pPr>
        <w:spacing w:after="0" w:line="173"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Excluding the impact of the acquisition-related amortization costs, overall product margins improved by one percentage point as the product margins for both our instruments and consumables increased, offset by a shift in the sales mix from consumables to instruments, which have comparatively lower product margins.</w:t>
      </w:r>
    </w:p>
    <w:p>
      <w:pPr>
        <w:spacing w:after="0" w:line="18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Cost of service revenue increased by $1.7 million, or 101%, to $3.3 million in 2014. The increase in cost of service revenue was primarily due to supporting additional service contracts from our acquisition of DVS in 2014 as compared to the comparable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909" w:right="239" w:bottom="1440" w:gutter="0" w:footer="0" w:header="0"/>
        </w:sectPr>
      </w:pPr>
    </w:p>
    <w:bookmarkStart w:id="53" w:name="page54"/>
    <w:bookmarkEnd w:id="53"/>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Year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19,953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71,324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48,412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Acquisition-related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10,696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67"/>
        </w:trPr>
        <w:tc>
          <w:tcPr>
            <w:tcW w:w="88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6"/>
        </w:trPr>
        <w:tc>
          <w:tcPr>
            <w:tcW w:w="88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125,443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69,632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Research and development expense was $43.4 million for 2014, an increase of $23.5 million, or 118%, compared to $20.2 million for 2013. The increase in research and development expense was primarily due to an increase in headcount and other compensation-related costs of $15.5 million, an increase in lab supplies and equipment costs of $5.1 million, increase in facilities-related expense of $1.7 million, and an increase in outside services of $1.1 million. These increased costs were primarily driven by the acquisition of DVS and in support of our development and commercialization of new and existing products and services.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3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Selling, general and administrative expense increased $22.9 million, or 47%, to $71.3 million for 2014, compared to $48.4 million for 2013. The increase was primarily attributable to higher headcount and other compensation-related costs of $13.2 million, increases in legal, accounting and other professional services of $5.6 million, trade shows and other marketing expenses of $2.2 million, integration expenses of $1.3 million, and other expenses of $0.6 million. These increases were primarily driven by the acquisition of DVS, the expansion of worldwide commercial capabilities and, to a lesser extent, general and administrative expense to support our growth.</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90"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12"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Pursuant to the terms of a patent cross license agreement with Life,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as of September 30, 2013 and on January 30, 2014, we paid Life the amount due while reserving our rights with respect to the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Acquisition-Related Expenses</w:t>
      </w:r>
    </w:p>
    <w:p>
      <w:pPr>
        <w:spacing w:after="0" w:line="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Acquisition-related expenses were $10.7 million for 2014 and primarily included accelerated vesting of certain DVS restricted stock and options, and consulting, legal, and investment banking fees in our acquisition of DVS.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6" w:right="239" w:bottom="1440" w:gutter="0" w:footer="0" w:header="0"/>
        </w:sectPr>
      </w:pPr>
    </w:p>
    <w:bookmarkStart w:id="54" w:name="page55"/>
    <w:bookmarkEnd w:id="54"/>
    <w:p>
      <w:pPr>
        <w:ind w:left="220"/>
        <w:spacing w:after="0"/>
        <w:rPr>
          <w:sz w:val="20"/>
          <w:szCs w:val="20"/>
          <w:color w:val="auto"/>
        </w:rPr>
      </w:pPr>
      <w:r>
        <w:rPr>
          <w:rFonts w:ascii="Arial" w:cs="Arial" w:eastAsia="Arial" w:hAnsi="Arial"/>
          <w:sz w:val="18"/>
          <w:szCs w:val="18"/>
          <w:b w:val="1"/>
          <w:bCs w:val="1"/>
          <w:i w:val="1"/>
          <w:iCs w:val="1"/>
          <w:color w:val="auto"/>
        </w:rPr>
        <w:t>Interest Expense, Gain from Sale of Investment in Verinata, and Other Income and Expense, Net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Year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1,777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2,264</w:t>
            </w:r>
          </w:p>
        </w:tc>
      </w:tr>
      <w:tr>
        <w:trPr>
          <w:trHeight w:val="27"/>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On February 4, 2014, we closed an underwritten public offering of $201.3 million aggregate principal amount of our 2.75% Senior Convertible Notes due 2034.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expense increased to $5.3 million for 2014, compared to $14,000 for 2013, due to interest expense under the terms of the Notes, which were issued in the first quarter of 2014, and amortization of debt discount related to the Notes.</w:t>
      </w:r>
    </w:p>
    <w:p>
      <w:pPr>
        <w:spacing w:after="0" w:line="19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 February 2013, Illumina, Inc. acquired Verinata Health, Inc., or Verinata, for $350 million in cash and up to an additional $100 million in milestone payments through 2015. In March 2013, we received cash proceeds of $3.1 million in exchange for our ownership interest in Verinata, resulting in a gain of $1.8 million. During 2014, we received cash proceeds of $0.3 million from the escrow account related to the acquisition. We recorded proceeds as "Gain from sale of investment in Verinata" in the accompanying consolidated statements of operations for the year ended December 31, 2014.</w:t>
      </w:r>
    </w:p>
    <w:p>
      <w:pPr>
        <w:spacing w:after="0" w:line="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expense, net increased by $1.4 million for the year ended December 31, 2014 compared to other income, net of $0.5 million for the year ended December 31, 2013. In 2013, the income was due primarily to a gain resulting from settlement of litigation filed by us against NanoString Technologies, Inc. In 2014, the other expense is primarily due to the foreign exchange losses resulting mainly from unfavorable changes in the Euro and Japanese Yen exchange rates relative to the U.S. dollar.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recorded a tax benefit of $4.9 million, or an effective tax rate benefit of 8.5%, for the year ended December 31, 2014. The tax benefit for the year ended December 31, 2014 was primarily attributable to the amortization of our acquisition-related deferred tax liability and net income tax benefit from our foreign operations and release of valuation allowance on California deferred tax assets, as a result of the deferred tax liability related to its acquired intellectual property. We recorded tax expense of $0.1 million for the year ended December 31,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December 31, 2015, our principal sources of liquidity consisted of $29.1 million of cash and cash equivalents and $72.3 million of short-term and long-term investments. As of December 31, 2015, our working capital (excluding deferred revenue) totaled $123.4 million.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4720" w:type="dxa"/>
            <w:vAlign w:val="bottom"/>
            <w:tcBorders>
              <w:bottom w:val="single" w:sz="8" w:color="CCEEFF"/>
            </w:tcBorders>
          </w:tcPr>
          <w:p>
            <w:pPr>
              <w:spacing w:after="0"/>
              <w:rPr>
                <w:sz w:val="22"/>
                <w:szCs w:val="22"/>
                <w:color w:val="auto"/>
              </w:rPr>
            </w:pPr>
          </w:p>
        </w:tc>
        <w:tc>
          <w:tcPr>
            <w:tcW w:w="30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flow summary</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(34,696)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(1,591)</w:t>
            </w:r>
          </w:p>
        </w:tc>
      </w:tr>
      <w:tr>
        <w:trPr>
          <w:trHeight w:val="27"/>
        </w:trPr>
        <w:tc>
          <w:tcPr>
            <w:tcW w:w="47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(27,565)</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200,326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5,806</w:t>
            </w:r>
          </w:p>
        </w:tc>
      </w:tr>
      <w:tr>
        <w:trPr>
          <w:trHeight w:val="27"/>
        </w:trPr>
        <w:tc>
          <w:tcPr>
            <w:tcW w:w="47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(23,388)</w:t>
            </w:r>
          </w:p>
        </w:tc>
      </w:tr>
      <w:tr>
        <w:trPr>
          <w:trHeight w:val="837"/>
        </w:trPr>
        <w:tc>
          <w:tcPr>
            <w:tcW w:w="4720" w:type="dxa"/>
            <w:vAlign w:val="bottom"/>
          </w:tcPr>
          <w:p>
            <w:pPr>
              <w:spacing w:after="0"/>
              <w:rPr>
                <w:sz w:val="24"/>
                <w:szCs w:val="24"/>
                <w:color w:val="auto"/>
              </w:rPr>
            </w:pPr>
          </w:p>
        </w:tc>
        <w:tc>
          <w:tcPr>
            <w:tcW w:w="3060" w:type="dxa"/>
            <w:vAlign w:val="bottom"/>
          </w:tcPr>
          <w:p>
            <w:pPr>
              <w:jc w:val="right"/>
              <w:ind w:right="189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963" w:right="239" w:bottom="1440" w:gutter="0" w:footer="0" w:header="0"/>
        </w:sectPr>
      </w:pPr>
    </w:p>
    <w:bookmarkStart w:id="55" w:name="page56"/>
    <w:bookmarkEnd w:id="55"/>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derive cash flows from operations primarily from cash collected from the sale of our products and services, license agreements, and grants from certain government entities. Our cash flows from operating activities are also significantly influenced by our use of cash for operating expenses and working capital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1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Net cash used in operating activities was $34.7 million, $22.6 million, and $1.6 million in 2015, 2014, and 2013, respectively. Net cash used in operating activities in 2015 of $34.7 million consisted of net loss of $53.3 million less non-cash adjustments of $26.9 million, plus net change in assets and liabilities of $8.2 million. Non-cash items primarily included stock-based compensation expense of $16.8 million, amortization of developed technology of $11.2 million, and depreciation and amortization of $4.9 million, partially offset by a $4.0 million gain on escrow settlement and $2.3 million gain from the sale of investment in Verinata. The net change in assets and liabilities was primarily driven by an increase in inventory and accounts receivable, offset by a net decrease in liabilities.</w:t>
      </w:r>
    </w:p>
    <w:p>
      <w:pPr>
        <w:spacing w:after="0" w:line="13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Net cash used in operating activities during 2014 resulted from a net loss of $52.8 million, adjusted for $38.1 million in non-cash charges and a $7.8 million increase in net assets and liabilities. Significant non-cash charges included stock-based compensation expense, depreciation and amortization, amortization of developed technology, and acquisition-related share-based awards acceleration expense. The net change in assets and liabilities was driven primarily by higher inventory and accounts receivables offset by a net increase in operating liabilities. Cash used in operating activities in 2014 included $8.0 million of cash outflows related to the DVS acquisition.</w:t>
      </w:r>
    </w:p>
    <w:p>
      <w:pPr>
        <w:spacing w:after="0" w:line="134"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Net cash used in operating activities during 2013 resulted from a net loss of $16.5 million, adjusted for $7.5 million in non-cash charges and a $7.4 million decrease in net assets and liabilities. Significant non-cash charges included stock-based compensation expense, and depreciation and amortization. The net change in assets and liabilities was driven primarily by an increase in deferred revenue and other liabilities.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9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Our primary investing activities consist of purchases, sales, and maturities of our short-term and long-term investments and to a much lesser extent, capital expenditures for manufacturing, laboratory, computer equipment and software to support our expanding infrastructure and work force. We expect to continue to expand our manufacturing capability and throughput, including improvements in manufacturing productivity, and expect to incur additional costs for capital expenditures related to these efforts in future periods. In addition, we expect to continue to incur costs for capital expenditures for demonstration units and loaner equipment to support our sales and service efforts, and computer equipment and software to support our growth.</w:t>
      </w:r>
    </w:p>
    <w:p>
      <w:pPr>
        <w:spacing w:after="0" w:line="10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Net cash provided by (used in) investing activities was $25.7 million, ($178.4) million and ($27.6) million in 2015, 2014, and 2013, respectively. Net cash provided by investing activities in 2015, included proceeds from sales and maturities of investments of $103.3 million, offset by purchases of investments of $67.0 million, purchase of patents from PerkinElmer and other intangibles of $6.7 million; and capital expenditures of $4.0 million to support growth in our commercial and manufacturing operations.</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used $178.4 million of cash in investing activities during 2014, including $113.2 million in connection with the DVS acquisition, net of acquired cash of $8.4 million classified as cash used in operating activities, purchases of investments of $132.6 million; capital expenditures of $7.4 million primarily to support growth in our manufacturing operations, partially offset by proceeds from sales and maturities of investments of $74.5 million, and additional proceeds of $0.3 million from the 2013 sale of our investment in Verinata.</w:t>
      </w:r>
    </w:p>
    <w:p>
      <w:pPr>
        <w:spacing w:after="0" w:line="133"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We used $27.6 million of cash in investing activities during 2013 primarily for purchases of investments of $59.4 million, purchase of intangible assets from Helicos Biosciences Corporation and related transaction costs of $1.2 million, and purchases of capital equipment of $3.4 million to support growth in our commercial and manufacturing operations; partially offset by proceeds from sales and maturities of investments of $33.4 million, and proceeds from the sale of our investment in Verinata of $3.1 million.</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generated $5.3 million of cash from financing activities during 2015 from proceeds received in connection with the exercise of options for our common stock.</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908" w:right="319" w:bottom="1440" w:gutter="0" w:footer="0" w:header="0"/>
        </w:sectPr>
      </w:pPr>
    </w:p>
    <w:bookmarkStart w:id="56" w:name="page57"/>
    <w:bookmarkEnd w:id="56"/>
    <w:p>
      <w:pPr>
        <w:ind w:right="160" w:firstLine="432"/>
        <w:spacing w:after="0" w:line="277" w:lineRule="auto"/>
        <w:rPr>
          <w:sz w:val="20"/>
          <w:szCs w:val="20"/>
          <w:color w:val="auto"/>
        </w:rPr>
      </w:pPr>
      <w:r>
        <w:rPr>
          <w:rFonts w:ascii="Arial" w:cs="Arial" w:eastAsia="Arial" w:hAnsi="Arial"/>
          <w:sz w:val="18"/>
          <w:szCs w:val="18"/>
          <w:color w:val="auto"/>
        </w:rPr>
        <w:t>Net cash provided by financing activities was $200.3 million during 2014, consisting of net proceeds of $195.2 million from the issuance of the Notes and proceeds received in connection with the exercise of options for our common stock of $5.1 million.</w:t>
      </w:r>
    </w:p>
    <w:p>
      <w:pPr>
        <w:spacing w:after="0" w:line="3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We generated $5.8 million of cash from financing activities during 2013 from proceeds received in connection with the exercise of options for our common stock.</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At December 31, 2015 and December 31, 2014, our working capital, excluding deferred revenues, was $123.4 million and $133.4 million, respectively, including cash and cash equivalents of $29.1 million and $33.7 million, respectively, and short-term and long-term investments of $72.3 million and $109.1 million, respectively. On February 4, 2014, we closed an underwritten public offering of approximately $201.3 million aggregate principal amount of our Notes and received cash proceeds of $195.2 million, net of underwriting discounts. Debt issuance costs were approximately $1.1 million. We used $113.2 million of the net proceeds to fund the cash portion of the consideration paid by us in connection with our acquisition of DVS.</w:t>
      </w:r>
    </w:p>
    <w:p>
      <w:pPr>
        <w:spacing w:after="0" w:line="23"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material commitments or agreements relating to any such acquisitions.</w:t>
      </w:r>
    </w:p>
    <w:p>
      <w:pPr>
        <w:spacing w:after="0" w:line="19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Since our inception, we have not had any off-balance sheet arrangements as defined in Item 303(a)(4) of the Securities and Exchange Commission’s Regulation S-K.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our contractual obligations as of December 31, 2015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38"/>
              <w:spacing w:after="0" w:line="153" w:lineRule="exact"/>
              <w:rPr>
                <w:sz w:val="20"/>
                <w:szCs w:val="20"/>
                <w:color w:val="auto"/>
              </w:rPr>
            </w:pPr>
            <w:r>
              <w:rPr>
                <w:rFonts w:ascii="Arial" w:cs="Arial" w:eastAsia="Arial" w:hAnsi="Arial"/>
                <w:sz w:val="14"/>
                <w:szCs w:val="14"/>
                <w:b w:val="1"/>
                <w:bCs w:val="1"/>
                <w:color w:val="auto"/>
                <w:w w:val="93"/>
              </w:rPr>
              <w:t>Less than 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3"/>
              </w:rPr>
              <w:t>1-3 Years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3"/>
              </w:rPr>
              <w:t>3-5 Years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273,658</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8,527</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2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332,851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277,196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Debt obligations include the principal amount of the Notes and interest payments to be made under the Notes. Although the Notes mature in 2034, they can be converted into cash and shares of our common stock prior to maturity if 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908"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conditions are met. See Note 7 to our consolidated financial statements for additional information regarding the terms of the Notes.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operating lease obligations relate to a lease for our current headquarters and leases for manufacturing and office space for our foreign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consist of contractual and legally binding commitments to purchase goods and services.</w:t>
      </w:r>
    </w:p>
    <w:p>
      <w:pPr>
        <w:spacing w:after="0" w:line="15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On April 9, 2013, we entered into an amendment (the 2013 Amendment) to the lease agreement dated September 4, 2010 (as amended, the Lease) relating to the lease of office and laboratory space at our headquarters located in South San Francisco, California. The 2013 Amendment provided for an expansion of the premises covered under the Lease, effective April 1, 2014; an extension of the term of the Lease to April 30, 2020 with an option to renew for an additional five years; payment of base rent with rent escalation; and payment of certain operating expenses during the term of the Lease. The 2013Amendment also provided for an allowance of approximately $0.7 million for tenant improvements, of which we used $0.5 million and the $0.2 million which was used to offset base rent obligations in the quarter ended September 30, 2015, and an additional allowance of $0.5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$6.7 million as of December 31, 2015.</w:t>
      </w:r>
    </w:p>
    <w:p>
      <w:pPr>
        <w:spacing w:after="0" w:line="112"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On June 4, 2014, we entered into an additional amendment to the Lease (the June 2014 Amendment), which provided for an expansion of the premises covered under the Lease by approximately 13,000 square feet, effective October 1, 2014; payment of base rent with rent escalation; and payment of certain operating expenses during the term of the Lease. The June 2014 Amendment also provided for an allowance of approximately $0.2 million for tenant improvements, which was fully utilized by March 31, 2015,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$2.0 million as of December 31, 2015.</w:t>
      </w:r>
    </w:p>
    <w:p>
      <w:pPr>
        <w:spacing w:after="0" w:line="11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On September 15, 2014, we entered into an additional amendment to the Lease (the September 2014 Amendment), which provided for an expansion of the premises covered under the Lease by approximately 9,000 square feet, effective October 1, 2014; payment of base rent with rent escalation; and payment of certain operating expenses during the term of the Lease. The September 2014 Amendment also provided for an allowance of approximately $0.2 million for tenant improvements. The total future minimum lease payments for the additional space, which will be paid through April 2020, are approximately $1.3 million as of December 31, 2015.</w:t>
      </w:r>
    </w:p>
    <w:p>
      <w:pPr>
        <w:spacing w:after="0" w:line="13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December 8, 2015, we entered into an additional amendment to the Lease (the December 2015 Amendment), which provides for an expansion of the premises covered under the Lease by approximately 24,039 square feet, with a targeted commencement date of April 1, 2016, payment of base rent with rent escalation, and an increase in our share of certain operating expenses during the term of the Lease. The December 2015 Amendment also provided for an allowance of up to approximately $0.4 million for tenant improvements. The total future minimum lease payments for additional space, which will be paid through April 2020, are approximately $3.8 million as of December 31, 2015.</w:t>
      </w:r>
    </w:p>
    <w:p>
      <w:pPr>
        <w:spacing w:after="0" w:line="134"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On October 14, 2013, Fluidigm Singapore Pte. Ltd., our wholly-owned subsidiary, Fluidigm Singapore, accepted an offer of tenancy (Lease) from HSBC Institutional Trust Services (Singapore) Limited, as trustee of Ascendas Real Estate Investment Trust (Landlord), relating to the lease of a new facility located in Singapore. Pursuant to the terms of the Lease, Fluidigm Singapore took possession of the facility commencing on March 3, 2014 for a term of 99 months, and the Lease and rental obligations thereunder commenced on June 3, 2014. The Lease also provides Fluidigm Singapore with an option to renew the Lease for an additional 60 months at the then prevailing market rent, and on similar terms as the existing Lease. In June 2014, Fluidigm Singapore leased additional space of approximately 2,400 square feet in the same building as the new facility on the same terms as the Lease. We completed the consolidation of our Singapore manufacturing operations in the new space in July 2014 and the site qualification was completed in August 2014. The leases relating to our prior manufacturing facility in Singapore terminated on August 2014. The leases relating to our prior manufacturing facility in Singapore terminated in August 2014. In April 2015, Fluidigm Singapore leased additional space of approximately 10,000 square feet in the same building on the same terms as the Singapore Lease (the April 2015 Singapore Lease). In connection with the April 2015 Singapore Lease, Fluidigm Singapore terminated the June 2014 Singapore Lease as of June 30, 2015. The total future minimum lease payments for the facility, which will be paid through June 2022, are approximately $4.0 million as of December 31, 2015. In connection with our acquisition of DVS, we acquired the operating leases for facilities in Sunnyvale, California and Markham, Ontario, Canada, which expire in July 2016 and January 2016, respectively, in connection with our acquisition of DVS (See Note 4 to our audited consolidated financial statements for additional information). The Canada lease includes an option to renew the lease for an additional five years at the then prevailing market rent, and on similar terms as the existing lease. We extended the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746" w:right="279" w:bottom="1440" w:gutter="0" w:footer="0" w:header="0"/>
        </w:sectPr>
      </w:pPr>
    </w:p>
    <w:bookmarkStart w:id="58" w:name="page59"/>
    <w:bookmarkEnd w:id="58"/>
    <w:p>
      <w:pPr>
        <w:ind w:right="60"/>
        <w:spacing w:after="0" w:line="277" w:lineRule="auto"/>
        <w:rPr>
          <w:sz w:val="20"/>
          <w:szCs w:val="20"/>
          <w:color w:val="auto"/>
        </w:rPr>
      </w:pPr>
      <w:r>
        <w:rPr>
          <w:rFonts w:ascii="Arial" w:cs="Arial" w:eastAsia="Arial" w:hAnsi="Arial"/>
          <w:sz w:val="18"/>
          <w:szCs w:val="18"/>
          <w:color w:val="auto"/>
        </w:rPr>
        <w:t>Canada lease through April 2016. The total future minimum lease payments for the operating leases in Sunnyvale, California and Markham, Ontario, Canada are approximately $154,000 as of December 31, 2015.</w:t>
      </w:r>
    </w:p>
    <w:p>
      <w:pPr>
        <w:spacing w:after="0" w:line="3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August 18, 2015, we, Fluidigm Canada Inc., our wholly-owned subsidiary of the Company (Fluidigm Canada), and Rodick Equities, Inc. (Landlord) entered into a lease dated as of August 17, 2015 (the New Canada Lease), relating to the lease of approximately 41,145 square feet of office, laboratory, and warehouse space at a facility in Markham, Ontario, Canada. Pursuant to the terms of the New Canada Lease, Fluidigm Canada was in possession of the new space commencing on or about August 27, 2015, and rental obligations thereunder will commence on April 1, 2016 for a term of ten years. The New Canada Lease provides for an allowance for tenant improvements, an option to renew the Lease for an additional five years, and a right of first offer on certain additional space in the Building.</w:t>
      </w:r>
    </w:p>
    <w:p>
      <w:pPr>
        <w:spacing w:after="0" w:line="220"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Future payments related to these license agreements have not been included in the contractual obligations table above as the period of time over which the future license payments will be required to be made, and the amount of such payments, are indeterminable. We do not expect the license payments to be material in any particular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years ended December 31, 2015 and 2014, we experienced foreign currency losses of $1.6 million and $1.1 million, respectively. To date, we have not entered into any foreign currency hedging contracts although we may do so in the future. As our international operations grow, we will continue to reassess our approach to manage our risk relating to fluctuations in currency rates.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had cash and cash equivalents of $29.1 million at December 31, 2015. These amounts were held primarily in cash on deposit with banks and money market funds which are short-term. We had $72.3 million in investments at December 31, 2015 held primarily in U.S. government agency securities. The contractual maturity periods of $65.9 million of our investments are within one year from December 31, 2015. The contractual maturity periods of our remaining investments are less than eighteen months from December 31, 2015.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909"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5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0000EE"/>
            </w:tcBorders>
            <w:gridSpan w:val="8"/>
          </w:tcPr>
          <w:p>
            <w:pPr>
              <w:spacing w:after="0" w:line="170"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Report of PricewaterhouseCoopers - Independent Registered Public Accounting Firm</w:t>
              </w:r>
            </w:hyperlink>
          </w:p>
        </w:tc>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60">
              <w:r>
                <w:rPr>
                  <w:rFonts w:ascii="Arial" w:cs="Arial" w:eastAsia="Arial" w:hAnsi="Arial"/>
                  <w:sz w:val="18"/>
                  <w:szCs w:val="18"/>
                  <w:color w:val="0000FF"/>
                  <w:w w:val="79"/>
                </w:rPr>
                <w:t>58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0780" w:type="dxa"/>
            <w:vAlign w:val="bottom"/>
            <w:gridSpan w:val="9"/>
          </w:tcPr>
          <w:p>
            <w:pPr>
              <w:spacing w:after="0"/>
              <w:rPr>
                <w:sz w:val="20"/>
                <w:szCs w:val="20"/>
                <w:color w:val="auto"/>
              </w:rPr>
            </w:pPr>
            <w:r>
              <w:rPr>
                <w:rFonts w:ascii="Arial" w:cs="Arial" w:eastAsia="Arial" w:hAnsi="Arial"/>
                <w:sz w:val="18"/>
                <w:szCs w:val="18"/>
                <w:color w:val="0000FF"/>
              </w:rPr>
              <w:t>Report of Ernst &amp; Young - Independent Registered Public Accounting Firm</w:t>
            </w:r>
          </w:p>
        </w:tc>
        <w:tc>
          <w:tcPr>
            <w:tcW w:w="360" w:type="dxa"/>
            <w:vAlign w:val="bottom"/>
            <w:vMerge w:val="restart"/>
          </w:tcPr>
          <w:p>
            <w:pPr>
              <w:spacing w:after="0"/>
              <w:rPr>
                <w:sz w:val="24"/>
                <w:szCs w:val="24"/>
                <w:color w:val="auto"/>
              </w:rPr>
            </w:pPr>
          </w:p>
        </w:tc>
        <w:tc>
          <w:tcPr>
            <w:tcW w:w="180" w:type="dxa"/>
            <w:vAlign w:val="bottom"/>
            <w:vMerge w:val="restart"/>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80" w:type="dxa"/>
            <w:vAlign w:val="bottom"/>
            <w:tcBorders>
              <w:bottom w:val="single" w:sz="8" w:color="0000EE"/>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80" w:type="dxa"/>
            <w:vAlign w:val="bottom"/>
            <w:gridSpan w:val="9"/>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Consolidated Balance Sheets</w:t>
              </w:r>
            </w:hyperlink>
          </w:p>
        </w:tc>
        <w:tc>
          <w:tcPr>
            <w:tcW w:w="540" w:type="dxa"/>
            <w:vAlign w:val="bottom"/>
            <w:gridSpan w:val="2"/>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80" w:type="dxa"/>
            <w:vAlign w:val="bottom"/>
            <w:gridSpan w:val="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Consolidated Statements of Operations</w:t>
              </w:r>
            </w:hyperlink>
          </w:p>
        </w:tc>
        <w:tc>
          <w:tcPr>
            <w:tcW w:w="54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5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Consolidated Statements of Comprehensive Loss</w:t>
              </w:r>
            </w:hyperlink>
          </w:p>
        </w:tc>
        <w:tc>
          <w:tcPr>
            <w:tcW w:w="724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62</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5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Consolidated Statements of Stockholders' Equity</w:t>
            </w:r>
          </w:p>
        </w:tc>
        <w:tc>
          <w:tcPr>
            <w:tcW w:w="726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63</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780" w:type="dxa"/>
            <w:vAlign w:val="bottom"/>
            <w:gridSpan w:val="9"/>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Consolidated Statements of Cash Flows</w:t>
              </w:r>
            </w:hyperlink>
          </w:p>
        </w:tc>
        <w:tc>
          <w:tcPr>
            <w:tcW w:w="540" w:type="dxa"/>
            <w:vAlign w:val="bottom"/>
            <w:gridSpan w:val="2"/>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80" w:type="dxa"/>
            <w:vAlign w:val="bottom"/>
            <w:gridSpan w:val="9"/>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Notes to Consolidated Financial Statements</w:t>
              </w:r>
            </w:hyperlink>
          </w:p>
        </w:tc>
        <w:tc>
          <w:tcPr>
            <w:tcW w:w="540" w:type="dxa"/>
            <w:vAlign w:val="bottom"/>
            <w:gridSpan w:val="2"/>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140" w:type="dxa"/>
            <w:vAlign w:val="bottom"/>
            <w:tcBorders>
              <w:top w:val="single" w:sz="8" w:color="0000FF"/>
            </w:tcBorders>
            <w:gridSpan w:val="4"/>
          </w:tcPr>
          <w:p>
            <w:pPr>
              <w:spacing w:after="0"/>
              <w:rPr>
                <w:sz w:val="24"/>
                <w:szCs w:val="24"/>
                <w:color w:val="auto"/>
              </w:rPr>
            </w:pPr>
          </w:p>
        </w:tc>
        <w:tc>
          <w:tcPr>
            <w:tcW w:w="3020" w:type="dxa"/>
            <w:vAlign w:val="bottom"/>
            <w:gridSpan w:val="4"/>
          </w:tcPr>
          <w:p>
            <w:pPr>
              <w:jc w:val="right"/>
              <w:ind w:right="400"/>
              <w:spacing w:after="0"/>
              <w:rPr>
                <w:sz w:val="20"/>
                <w:szCs w:val="20"/>
                <w:color w:val="auto"/>
              </w:rPr>
            </w:pPr>
            <w:r>
              <w:rPr>
                <w:rFonts w:ascii="Arial" w:cs="Arial" w:eastAsia="Arial" w:hAnsi="Arial"/>
                <w:sz w:val="18"/>
                <w:szCs w:val="18"/>
                <w:color w:val="auto"/>
              </w:rPr>
              <w:t>57</w:t>
            </w:r>
          </w:p>
        </w:tc>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742" w:right="259" w:bottom="1440" w:gutter="0" w:footer="0" w:header="0"/>
        </w:sectPr>
      </w:pPr>
    </w:p>
    <w:bookmarkStart w:id="60" w:name="page61"/>
    <w:bookmarkEnd w:id="60"/>
    <w:p>
      <w:pPr>
        <w:ind w:right="3440" w:firstLine="3453"/>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Fluidigm Corporation</w:t>
      </w:r>
    </w:p>
    <w:p>
      <w:pPr>
        <w:spacing w:after="0" w:line="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 and the related consolidated statements of operations, of comprehensive loss, of stockholders’ equity, and of cash flows present fairly, in all material respects, the financial position of Fluidigm Corporation and its subsidiaries at December 31, 2015, and the results of their operations and their cash flows for the year then ended in conformity with accounting principles generally accepted in the United States of America. In addition, in our opinion, the financial statement schedule for the year ended December 31, 2015 listed in the index appearing under Item 15(2)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 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742" w:right="259" w:bottom="1440" w:gutter="0" w:footer="0" w:header="0"/>
        </w:sectPr>
      </w:pPr>
    </w:p>
    <w:bookmarkStart w:id="61" w:name="page62"/>
    <w:bookmarkEnd w:id="61"/>
    <w:p>
      <w:pPr>
        <w:ind w:left="3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Fluidigm Corporation</w:t>
      </w:r>
    </w:p>
    <w:p>
      <w:pPr>
        <w:spacing w:after="0" w:line="22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have audited the accompanying consolidated balance sheets of Fluidigm Corporation as of December 31, 2014, and the related consolidated statements of operations, comprehensive loss, stockholders’ equity, and cash flows for the years ended December 31, 2014 and 2013. Our audits also included the financial statement schedule listed in the Index at Item 15(2). These financial statements and schedule are the responsibility of the Company’s management. Our responsibility is to express an opinion on these financial statements and schedule based on our audits.</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Fluidigm Corporation at December 31, 2014, and the consolidated results of its operations and its cash flows for each of the years ended December 31, 2014 and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738" w:right="2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9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33,713</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65,855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81,588</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$103 and $120 at December 31, 2015 and 2014,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22,384</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15,991</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144,095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155,897</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27,499</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15,258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13,889</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3,966</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91,048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102,200</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371,061</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407,559</w:t>
            </w:r>
          </w:p>
        </w:tc>
      </w:tr>
      <w:tr>
        <w:trPr>
          <w:trHeight w:val="67"/>
        </w:trPr>
        <w:tc>
          <w:tcPr>
            <w:tcW w:w="90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9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5,919</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6,874</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9,664</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9,419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6,928</w:t>
            </w:r>
          </w:p>
        </w:tc>
      </w:tr>
      <w:tr>
        <w:trPr>
          <w:trHeight w:val="27"/>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29,385</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195,684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195,455</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26,152</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4,357</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256,160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257,140</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90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Preferred stock, $0.001 par value, 10,000 shares authorized, no shares issued and outstanding at either December 31,</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 or 2014</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9"/>
        </w:trPr>
        <w:tc>
          <w:tcPr>
            <w:tcW w:w="9040" w:type="dxa"/>
            <w:vAlign w:val="bottom"/>
          </w:tcPr>
          <w:p>
            <w:pPr>
              <w:ind w:left="380"/>
              <w:spacing w:after="0"/>
              <w:rPr>
                <w:sz w:val="20"/>
                <w:szCs w:val="20"/>
                <w:color w:val="auto"/>
              </w:rPr>
            </w:pPr>
            <w:r>
              <w:rPr>
                <w:rFonts w:ascii="Arial" w:cs="Arial" w:eastAsia="Arial" w:hAnsi="Arial"/>
                <w:sz w:val="18"/>
                <w:szCs w:val="18"/>
                <w:color w:val="auto"/>
                <w:w w:val="94"/>
              </w:rPr>
              <w:t>Common stock: $0.001 par value, 200,000 shares authorized at December 31, 2015 and 2014; 28,844 and 28,341</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30"/>
        </w:trPr>
        <w:tc>
          <w:tcPr>
            <w:tcW w:w="9040" w:type="dxa"/>
            <w:vAlign w:val="bottom"/>
          </w:tcPr>
          <w:p>
            <w:pPr>
              <w:ind w:left="380"/>
              <w:spacing w:after="0"/>
              <w:rPr>
                <w:sz w:val="20"/>
                <w:szCs w:val="20"/>
                <w:color w:val="auto"/>
              </w:rPr>
            </w:pPr>
            <w:r>
              <w:rPr>
                <w:rFonts w:ascii="Arial" w:cs="Arial" w:eastAsia="Arial" w:hAnsi="Arial"/>
                <w:sz w:val="18"/>
                <w:szCs w:val="18"/>
                <w:color w:val="auto"/>
              </w:rPr>
              <w:t>shares issued and outstanding at December 31, 2015 and 2014, respectively</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479,508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461,362</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(310,177)</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114,901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150,419</w:t>
            </w:r>
          </w:p>
        </w:tc>
      </w:tr>
      <w:tr>
        <w:trPr>
          <w:trHeight w:val="27"/>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371,061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407,559</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74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742" w:right="239" w:bottom="1440" w:gutter="0" w:footer="0" w:header="0"/>
          <w:type w:val="continuous"/>
        </w:sectPr>
      </w:pPr>
    </w:p>
    <w:bookmarkStart w:id="63" w:name="page64"/>
    <w:bookmarkEnd w:id="63"/>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102,140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107,071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65,189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5,009</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License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 revenue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114,712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116,456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71,183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39,511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18,538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39,264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43,423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19,953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48,412</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Acquisition-related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Gain on escrow settlement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164,867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168,292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89,836</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(16,526)</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27,768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25,479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42" w:right="239" w:bottom="1440" w:gutter="0" w:footer="0" w:header="0"/>
        </w:sectPr>
      </w:pPr>
    </w:p>
    <w:bookmarkStart w:id="64" w:name="page65"/>
    <w:bookmarkEnd w:id="64"/>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Unrealized (loss) gain on available-for-sale securities,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(52,894)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(16,487)</w:t>
            </w: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42" w:right="239" w:bottom="1440" w:gutter="0" w:footer="0" w:header="0"/>
        </w:sectPr>
      </w:pPr>
    </w:p>
    <w:bookmarkStart w:id="65" w:name="page66"/>
    <w:bookmarkEnd w:id="65"/>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vMerge w:val="restart"/>
          </w:tcPr>
          <w:p>
            <w:pPr>
              <w:jc w:val="right"/>
              <w:ind w:right="27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2"/>
        </w:trPr>
        <w:tc>
          <w:tcPr>
            <w:tcW w:w="44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9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25,115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100,657</w:t>
            </w:r>
          </w:p>
        </w:tc>
        <w:tc>
          <w:tcPr>
            <w:tcW w:w="0" w:type="dxa"/>
            <w:vAlign w:val="bottom"/>
          </w:tcPr>
          <w:p>
            <w:pPr>
              <w:spacing w:after="0"/>
              <w:rPr>
                <w:sz w:val="1"/>
                <w:szCs w:val="1"/>
                <w:color w:val="auto"/>
              </w:rPr>
            </w:pPr>
          </w:p>
        </w:tc>
      </w:tr>
      <w:tr>
        <w:trPr>
          <w:trHeight w:val="229"/>
        </w:trPr>
        <w:tc>
          <w:tcPr>
            <w:tcW w:w="4420" w:type="dxa"/>
            <w:vAlign w:val="bottom"/>
          </w:tcPr>
          <w:p>
            <w:pPr>
              <w:ind w:left="380"/>
              <w:spacing w:after="0"/>
              <w:rPr>
                <w:sz w:val="20"/>
                <w:szCs w:val="20"/>
                <w:color w:val="auto"/>
              </w:rPr>
            </w:pPr>
            <w:r>
              <w:rPr>
                <w:rFonts w:ascii="Arial" w:cs="Arial" w:eastAsia="Arial" w:hAnsi="Arial"/>
                <w:sz w:val="18"/>
                <w:szCs w:val="18"/>
                <w:color w:val="auto"/>
              </w:rPr>
              <w:t>Issuance of common stock upon exercise of stock</w:t>
            </w:r>
          </w:p>
        </w:tc>
        <w:tc>
          <w:tcPr>
            <w:tcW w:w="940" w:type="dxa"/>
            <w:vAlign w:val="bottom"/>
            <w:gridSpan w:val="2"/>
          </w:tcPr>
          <w:p>
            <w:pPr>
              <w:jc w:val="right"/>
              <w:ind w:right="36"/>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5,805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options for cash</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shd w:val="clear" w:color="auto" w:fill="BFE4FF"/>
              </w:rPr>
              <w:t>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(16,526)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4420" w:type="dxa"/>
            <w:vAlign w:val="bottom"/>
          </w:tcPr>
          <w:p>
            <w:pPr>
              <w:ind w:left="380"/>
              <w:spacing w:after="0"/>
              <w:rPr>
                <w:sz w:val="20"/>
                <w:szCs w:val="20"/>
                <w:color w:val="auto"/>
              </w:rPr>
            </w:pPr>
            <w:r>
              <w:rPr>
                <w:rFonts w:ascii="Arial" w:cs="Arial" w:eastAsia="Arial" w:hAnsi="Arial"/>
                <w:sz w:val="18"/>
                <w:szCs w:val="18"/>
                <w:color w:val="auto"/>
              </w:rPr>
              <w:t>Balance at December 31, 2013</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25,811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354,465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(257,347)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96,414</w:t>
            </w:r>
          </w:p>
        </w:tc>
        <w:tc>
          <w:tcPr>
            <w:tcW w:w="0" w:type="dxa"/>
            <w:vAlign w:val="bottom"/>
          </w:tcPr>
          <w:p>
            <w:pPr>
              <w:spacing w:after="0"/>
              <w:rPr>
                <w:sz w:val="1"/>
                <w:szCs w:val="1"/>
                <w:color w:val="auto"/>
              </w:rPr>
            </w:pPr>
          </w:p>
        </w:tc>
      </w:tr>
      <w:tr>
        <w:trPr>
          <w:trHeight w:val="486"/>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742" w:right="339" w:bottom="1440" w:gutter="0" w:footer="0" w:header="0"/>
        </w:sectPr>
      </w:pPr>
    </w:p>
    <w:bookmarkStart w:id="66" w:name="page67"/>
    <w:bookmarkEnd w:id="66"/>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6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740" w:type="dxa"/>
            <w:vAlign w:val="bottom"/>
            <w:gridSpan w:val="5"/>
            <w:vMerge w:val="restart"/>
          </w:tcPr>
          <w:p>
            <w:pPr>
              <w:jc w:val="right"/>
              <w:ind w:right="29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820" w:type="dxa"/>
            <w:vAlign w:val="bottom"/>
          </w:tcPr>
          <w:p>
            <w:pPr>
              <w:spacing w:after="0"/>
              <w:rPr>
                <w:sz w:val="13"/>
                <w:szCs w:val="13"/>
                <w:color w:val="auto"/>
              </w:rPr>
            </w:pPr>
          </w:p>
        </w:tc>
        <w:tc>
          <w:tcPr>
            <w:tcW w:w="1740" w:type="dxa"/>
            <w:vAlign w:val="bottom"/>
            <w:tcBorders>
              <w:bottom w:val="single" w:sz="8" w:color="auto"/>
            </w:tcBorders>
            <w:gridSpan w:val="5"/>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1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0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25,811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354,465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96,414</w:t>
            </w: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Issuance of common stock upon purchase of DVS</w:t>
            </w:r>
          </w:p>
        </w:tc>
        <w:tc>
          <w:tcPr>
            <w:tcW w:w="740" w:type="dxa"/>
            <w:vAlign w:val="bottom"/>
          </w:tcPr>
          <w:p>
            <w:pPr>
              <w:jc w:val="right"/>
              <w:spacing w:after="0"/>
              <w:rPr>
                <w:sz w:val="20"/>
                <w:szCs w:val="20"/>
                <w:color w:val="auto"/>
              </w:rPr>
            </w:pPr>
            <w:r>
              <w:rPr>
                <w:rFonts w:ascii="Arial" w:cs="Arial" w:eastAsia="Arial" w:hAnsi="Arial"/>
                <w:sz w:val="18"/>
                <w:szCs w:val="18"/>
                <w:color w:val="auto"/>
              </w:rPr>
              <w:t>1,945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76,805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76,807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Vested DVS stock options converted to equivalent vested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w:t>
            </w: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380"/>
              <w:spacing w:after="0"/>
              <w:rPr>
                <w:sz w:val="20"/>
                <w:szCs w:val="20"/>
                <w:color w:val="auto"/>
              </w:rPr>
            </w:pPr>
            <w:r>
              <w:rPr>
                <w:rFonts w:ascii="Arial" w:cs="Arial" w:eastAsia="Arial" w:hAnsi="Arial"/>
                <w:sz w:val="18"/>
                <w:szCs w:val="18"/>
                <w:color w:val="auto"/>
                <w:w w:val="96"/>
              </w:rPr>
              <w:t>Issuance of common stock upon exercise of stock options</w:t>
            </w:r>
          </w:p>
        </w:tc>
        <w:tc>
          <w:tcPr>
            <w:tcW w:w="740" w:type="dxa"/>
            <w:vAlign w:val="bottom"/>
          </w:tcPr>
          <w:p>
            <w:pPr>
              <w:jc w:val="right"/>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30"/>
        </w:trPr>
        <w:tc>
          <w:tcPr>
            <w:tcW w:w="4820" w:type="dxa"/>
            <w:vAlign w:val="bottom"/>
          </w:tcPr>
          <w:p>
            <w:pPr>
              <w:ind w:left="380"/>
              <w:spacing w:after="0"/>
              <w:rPr>
                <w:sz w:val="20"/>
                <w:szCs w:val="20"/>
                <w:color w:val="auto"/>
              </w:rPr>
            </w:pPr>
            <w:r>
              <w:rPr>
                <w:rFonts w:ascii="Arial" w:cs="Arial" w:eastAsia="Arial" w:hAnsi="Arial"/>
                <w:sz w:val="18"/>
                <w:szCs w:val="18"/>
                <w:color w:val="auto"/>
              </w:rPr>
              <w:t>for cash and release of restricted stock units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20,940</w:t>
            </w: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(52,830)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28,341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461,362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(310,177)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150,419</w:t>
            </w:r>
          </w:p>
        </w:tc>
        <w:tc>
          <w:tcPr>
            <w:tcW w:w="0" w:type="dxa"/>
            <w:vAlign w:val="bottom"/>
          </w:tcPr>
          <w:p>
            <w:pPr>
              <w:spacing w:after="0"/>
              <w:rPr>
                <w:sz w:val="1"/>
                <w:szCs w:val="1"/>
                <w:color w:val="auto"/>
              </w:rPr>
            </w:pPr>
          </w:p>
        </w:tc>
      </w:tr>
      <w:tr>
        <w:trPr>
          <w:trHeight w:val="486"/>
        </w:trPr>
        <w:tc>
          <w:tcPr>
            <w:tcW w:w="4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67" w:name="page68"/>
    <w:bookmarkEnd w:id="67"/>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6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60" w:type="dxa"/>
            <w:vAlign w:val="bottom"/>
            <w:gridSpan w:val="4"/>
            <w:vMerge w:val="restart"/>
          </w:tcPr>
          <w:p>
            <w:pPr>
              <w:jc w:val="right"/>
              <w:ind w:right="31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0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00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8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461,362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150,419</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3"/>
              </w:rPr>
              <w:t>Issuance of common stock upon exercise of stock options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for cash and release of restricted stock units</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5,302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16,830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Gain on escrow settlement</w:t>
            </w: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479,508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114,901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42" w:right="239" w:bottom="1440" w:gutter="0" w:footer="0" w:header="0"/>
        </w:sectPr>
      </w:pPr>
    </w:p>
    <w:bookmarkStart w:id="68" w:name="page69"/>
    <w:bookmarkEnd w:id="68"/>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4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Net loss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(53,315)</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(52,830)</w:t>
            </w:r>
          </w:p>
        </w:tc>
        <w:tc>
          <w:tcPr>
            <w:tcW w:w="10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(16,526)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4,915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4,061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20,940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6,438</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Acquisition-related share-based awards acceleration expense</w:t>
            </w:r>
          </w:p>
        </w:tc>
        <w:tc>
          <w:tcPr>
            <w:tcW w:w="220" w:type="dxa"/>
            <w:vAlign w:val="bottom"/>
          </w:tcPr>
          <w:p>
            <w:pPr>
              <w:spacing w:after="0"/>
              <w:rPr>
                <w:sz w:val="16"/>
                <w:szCs w:val="16"/>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2,648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developed technology</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11,200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Non-cash charges for sale of inventory revalued at the date of acquisition</w:t>
            </w:r>
          </w:p>
        </w:tc>
        <w:tc>
          <w:tcPr>
            <w:tcW w:w="220" w:type="dxa"/>
            <w:vAlign w:val="bottom"/>
          </w:tcPr>
          <w:p>
            <w:pPr>
              <w:spacing w:after="0"/>
              <w:rPr>
                <w:sz w:val="16"/>
                <w:szCs w:val="16"/>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charges for release of restricted stock units</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Loss on disposal of property and equipment</w:t>
            </w:r>
          </w:p>
        </w:tc>
        <w:tc>
          <w:tcPr>
            <w:tcW w:w="22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from escrow settlement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Gain from sale of investment in Verinata</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(2,762)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2,412</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(1,127)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2,613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3,191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1,640</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3,988</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40"/>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(34,696)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(22,623)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Acquisition, net of cash acquired</w:t>
            </w:r>
          </w:p>
        </w:tc>
        <w:tc>
          <w:tcPr>
            <w:tcW w:w="220" w:type="dxa"/>
            <w:vAlign w:val="bottom"/>
          </w:tcPr>
          <w:p>
            <w:pPr>
              <w:spacing w:after="0"/>
              <w:rPr>
                <w:sz w:val="16"/>
                <w:szCs w:val="16"/>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(113,190)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investments</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(66,973)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(132,644)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(59,436)</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Proceeds from sales and maturities of investments</w:t>
            </w:r>
          </w:p>
        </w:tc>
        <w:tc>
          <w:tcPr>
            <w:tcW w:w="22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103,369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74,520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33,440</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 in Verinata</w:t>
            </w:r>
          </w:p>
        </w:tc>
        <w:tc>
          <w:tcPr>
            <w:tcW w:w="2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3,117</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Purchase of intangible assets</w:t>
            </w:r>
          </w:p>
        </w:tc>
        <w:tc>
          <w:tcPr>
            <w:tcW w:w="22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(6,670)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(3,446)</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40"/>
              <w:spacing w:after="0"/>
              <w:rPr>
                <w:sz w:val="20"/>
                <w:szCs w:val="20"/>
                <w:color w:val="auto"/>
              </w:rPr>
            </w:pPr>
            <w:r>
              <w:rPr>
                <w:rFonts w:ascii="Arial" w:cs="Arial" w:eastAsia="Arial" w:hAnsi="Arial"/>
                <w:sz w:val="14"/>
                <w:szCs w:val="14"/>
                <w:color w:val="auto"/>
              </w:rPr>
              <w:t>Net cash (used in) provided by investing activities</w:t>
            </w:r>
          </w:p>
        </w:tc>
        <w:tc>
          <w:tcPr>
            <w:tcW w:w="220" w:type="dxa"/>
            <w:vAlign w:val="bottom"/>
          </w:tcPr>
          <w:p>
            <w:pPr>
              <w:spacing w:after="0"/>
              <w:rPr>
                <w:sz w:val="14"/>
                <w:szCs w:val="14"/>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25,744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(178,385)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(27,565)</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Proceeds from issuance of convertible notes, net</w:t>
            </w:r>
          </w:p>
        </w:tc>
        <w:tc>
          <w:tcPr>
            <w:tcW w:w="220" w:type="dxa"/>
            <w:vAlign w:val="bottom"/>
          </w:tcPr>
          <w:p>
            <w:pPr>
              <w:spacing w:after="0"/>
              <w:rPr>
                <w:sz w:val="16"/>
                <w:szCs w:val="16"/>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195,213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common stock, net of issuance costs</w:t>
            </w:r>
          </w:p>
        </w:tc>
        <w:tc>
          <w:tcPr>
            <w:tcW w:w="2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Proceeds from exercise of stock options</w:t>
            </w:r>
          </w:p>
        </w:tc>
        <w:tc>
          <w:tcPr>
            <w:tcW w:w="22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5,303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5,113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5,806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long-term debt</w:t>
            </w:r>
          </w:p>
        </w:tc>
        <w:tc>
          <w:tcPr>
            <w:tcW w:w="2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Proceeds from line of credit</w:t>
            </w:r>
          </w:p>
        </w:tc>
        <w:tc>
          <w:tcPr>
            <w:tcW w:w="220" w:type="dxa"/>
            <w:vAlign w:val="bottom"/>
          </w:tcPr>
          <w:p>
            <w:pPr>
              <w:spacing w:after="0"/>
              <w:rPr>
                <w:sz w:val="16"/>
                <w:szCs w:val="16"/>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line of credit</w:t>
            </w:r>
          </w:p>
        </w:tc>
        <w:tc>
          <w:tcPr>
            <w:tcW w:w="2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5,303</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200,326</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5,806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foreign exchange rate fluctuations on cash and cash equivalents</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(4,596)</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(23,388)</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33,713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35,261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58,649</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29,117</w:t>
            </w:r>
          </w:p>
        </w:tc>
        <w:tc>
          <w:tcPr>
            <w:tcW w:w="12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33,713</w:t>
            </w:r>
          </w:p>
        </w:tc>
        <w:tc>
          <w:tcPr>
            <w:tcW w:w="10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35,261</w:t>
            </w:r>
          </w:p>
        </w:tc>
        <w:tc>
          <w:tcPr>
            <w:tcW w:w="0" w:type="dxa"/>
            <w:vAlign w:val="bottom"/>
          </w:tcPr>
          <w:p>
            <w:pPr>
              <w:spacing w:after="0"/>
              <w:rPr>
                <w:sz w:val="1"/>
                <w:szCs w:val="1"/>
                <w:color w:val="auto"/>
              </w:rPr>
            </w:pPr>
          </w:p>
        </w:tc>
      </w:tr>
      <w:tr>
        <w:trPr>
          <w:trHeight w:val="100"/>
        </w:trPr>
        <w:tc>
          <w:tcPr>
            <w:tcW w:w="846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46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5,538</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2,750</w:t>
            </w:r>
          </w:p>
        </w:tc>
        <w:tc>
          <w:tcPr>
            <w:tcW w:w="100" w:type="dxa"/>
            <w:vAlign w:val="bottom"/>
          </w:tcPr>
          <w:p>
            <w:pPr>
              <w:spacing w:after="0"/>
              <w:rPr>
                <w:sz w:val="16"/>
                <w:szCs w:val="16"/>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00"/>
        </w:trPr>
        <w:tc>
          <w:tcPr>
            <w:tcW w:w="846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46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Cash paid for income taxes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60"/>
        </w:trPr>
        <w:tc>
          <w:tcPr>
            <w:tcW w:w="846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4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6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rPr>
              <w:t>Issuance of common stock and options related to acquisition</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78,196</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846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743" w:right="239" w:bottom="98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743" w:right="239" w:bottom="987"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2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create, manufacture, and market innovative technologies and life-science tools focused on the exploration and analysis of single cells, as well as the industrial application of genomics, based upon our core microfluidics and mass cytometry technologies. We sell instruments and consumables, including integrated fluidic circuits (IFCs), assays, and reagents, to academic institutions, clinical laboratories, and pharmaceutical, biotechnology, and agricultural biotechnology (Ag-Bio) companies.</w:t>
      </w:r>
    </w:p>
    <w:p>
      <w:pPr>
        <w:spacing w:after="0" w:line="133" w:lineRule="exact"/>
        <w:rPr>
          <w:sz w:val="20"/>
          <w:szCs w:val="20"/>
          <w:color w:val="auto"/>
        </w:rPr>
      </w:pPr>
    </w:p>
    <w:p>
      <w:pPr>
        <w:ind w:right="500" w:firstLine="405"/>
        <w:spacing w:after="0" w:line="308" w:lineRule="auto"/>
        <w:rPr>
          <w:sz w:val="20"/>
          <w:szCs w:val="20"/>
          <w:color w:val="auto"/>
        </w:rPr>
      </w:pPr>
      <w:r>
        <w:rPr>
          <w:rFonts w:ascii="Arial" w:cs="Arial" w:eastAsia="Arial" w:hAnsi="Arial"/>
          <w:sz w:val="17"/>
          <w:szCs w:val="17"/>
          <w:color w:val="auto"/>
        </w:rPr>
        <w:t>On February 13, 2014, we completed our acquisition of DVS Sciences, Inc., a Delaware corporation (DVS) for approximately $199.9 million and assumed all outstanding DVS stock options and unvested restricted stock, pursuant to a merger agreement dated as of January 28, 2014.</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94"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include the accounts of our wholly-owned subsidiaries. As of December 31, 2015, we had wholly-owned subsidiaries in Singapore, Canada, the Netherlands, Japan, France, the United Kingdom, China, and Germany.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Reclassifications</w:t>
      </w:r>
    </w:p>
    <w:p>
      <w:pPr>
        <w:spacing w:after="0" w:line="94"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Certain prior period amounts were reclassified to conform with the current period presentation of service revenue and cost of service revenue within our consolidated statement of operations. These reclassifications do not affect total revenue, total costs and expenses, loss from operations, or net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4"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income/loss, a separate component of stockholders’ equity. Income and expense accounts are translated at monthly average exchange rates during the year.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consider all highly liquid financial instruments with maturities at the time of purchase of three months or less to be cash equivalents. Cash and cash equivalents may consist of cash on deposit with banks, money market funds, and notes from government-sponsored agencies.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Short and long-term investments are comprised of notes from government-sponsored agencies. All investments are recorded at estimated fair value. Any unrealized gains and losses from investments are reported in accumulated other comprehensive loss, a separate component of stockholders’ equity. We evaluate our investments to assess whether investments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with unrealized loss positions are other than temporarily impaired. An investment is considered to be other than temporarily impaired if the impairment is related to deterioration in credit risk or if it is likely that we will sell the securities before the recovery of their cost basis. No investment has been assessed as other than temporarily impaired, and realized gains and losses were immaterial during the years presented. The cost of securities sold or the amount reclassified out of accumulated other comprehensive income into earnings is based on the specific-identification method.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financial instruments consist primarily of cash and cash equivalents, investments, accounts receivable, accounts payable, and convertible notes. Our cash equivalents, investments, accounts receivable, and accounts payable have short maturity or payment periods. Accordingly, their carrying values approximated their fair values at December 31, 2015 and 2014. The convertible notes are presented at their carrying value, with fair value disclosures made in Note 5. As a basis for considering fair value, we follow a three-tier value hierarchy, which prioritizes the inputs used in measuring fair value as follows: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for which there is little or no market data, which requires us to develop our own assumptions.</w:t>
      </w:r>
    </w:p>
    <w:p>
      <w:pPr>
        <w:spacing w:after="0" w:line="17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This hierarchy requires us to use observable market data, when available, and to minimize the use of unobservable inputs when determining fair value. Our cash equivalents, which include money market funds, are classified as Level I because they are valued using quoted market prices. Our investments and convertible notes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9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preserve capital, meet liquidity needs, and optimize returns.</w:t>
      </w:r>
    </w:p>
    <w:p>
      <w:pPr>
        <w:spacing w:after="0" w:line="134"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We generally do not require collateral to support credit sales. To reduce credit risk, we perform credit evaluations of our customers. No single customer represented more than 10% of total revenue for 2015, 2014, or 2013, and no single customer represented more than 10% of total accounts receivable at December 31, 2015 or 2014.</w:t>
      </w:r>
    </w:p>
    <w:p>
      <w:pPr>
        <w:jc w:val="both"/>
        <w:ind w:right="100" w:firstLine="432"/>
        <w:spacing w:after="0" w:line="255" w:lineRule="auto"/>
        <w:rPr>
          <w:sz w:val="20"/>
          <w:szCs w:val="20"/>
          <w:color w:val="auto"/>
        </w:rPr>
      </w:pPr>
      <w:r>
        <w:rPr>
          <w:rFonts w:ascii="Arial" w:cs="Arial" w:eastAsia="Arial" w:hAnsi="Arial"/>
          <w:sz w:val="18"/>
          <w:szCs w:val="18"/>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Inventories are stated at the lower of cost (on a first-in, first-out basis) or market. Inventory costs include direct materials, direct labor, and normal manufacturing overhead. Finished goods that are used for research and development are expensed as consumed or depreciated over their period of use. Provisions for slow-moving, excess, and obsolete inventories are recorded when required to reduce inventory values to their estimated net realizable values based on product life cycle, development plans, product expiration, and quality issues.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4"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Property and equipment, including leasehold improvements, are stated at cost less accumulated depreciation. Accumulated depreciation is calculated using the straight-line method over the estimated useful lives of the assets, which range from three to seven years. Leasehold improvements are amortized using the straight-line method over the estimated useful lives of the assets or the remaining term of the lease, whichever is shorter.</w:t>
      </w:r>
    </w:p>
    <w:p>
      <w:pPr>
        <w:spacing w:after="0" w:line="9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evaluate our long-lived assets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long-lived assets for any of the periods presented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94"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In February 2013, Illumina, Inc. acquired Verinata Health, Inc. (Verinata), a privately-held company, for $350 million in cash and up to an additional $100 million in milestone payments through December 2015. In March 2013, we received cash proceeds of $3.1 million in exchange for our ownership interest in Verinata resulting in a gain of $1.8 million. During 2014, we received cash proceeds of $0.3 million from the escrow account related to the acquisition. We recorded these amounts as Gain from sale of investment in Verinata in the accompanying consolidated statements of operations for the years ended December 31, 2013 and 2014. The final milestones related to the sale of Verinata to Illumina were met in December 2015 and, accordingly, we recorded our share of these milestone payment obligations in the amount of $2.3 million in Other Assets and Gain from sale of investment in Verinata in the accompany consolidated statement of operations for the year ended December 31, 2015. In January 2016, we received payment of this amount.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acquisition of DVS in February 2014, we acquired developed technology with a gross fair value of $112 million. These acquired intangible assets from DVS are being amortized to cost of product revenue over their useful life of ten years. Related amortization expense for the years ended December 31, 2015 and 2014 was $11.2 million and $9.8 million, respectively. For further discussion related to intangible assets acquired in 2014 from the DVS acquisition, see Note 4.</w:t>
      </w:r>
    </w:p>
    <w:p>
      <w:pPr>
        <w:spacing w:after="0" w:line="52"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On June 28, 2013, we acquired certain patents, patent applications, and licenses from Helicos Biosciences Corporation (Helicos) relating to Helicos’ next-generation sequencing technology. The rights acquired by us are subject to certain licenses and sublicenses granted by Helicos prior to or contemporaneously with our acquisition. The assets were acquired for $1.0 million and we incurred transaction costs of approximately $0.3 million. The patents, patent applications, and licenses have an alternative future use and, as a result, the acquired assets and transaction costs are capitalized as intangible assets and are included in other non-current assets. The acquired assets from Helicos are being amortized to research and development expense over their useful life of ten years. Related amortization expense for the years ended December 31, 2015, 2014 and 2013 was $127,000, $127,000 and $63,000, respectively.</w:t>
      </w:r>
    </w:p>
    <w:p>
      <w:pPr>
        <w:spacing w:after="0" w:line="54"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We evaluate our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on intangible assets for any of the periods presented herein.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generally provide a one-year warranty on our instruments. We review our exposure to estimated warranty expense associated with instrument sales and establish an accrual based on historical product failure rates and actual warranty costs incurred. This expense is recorded as a component of cost of product revenue in the consolidated statements of operations.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generate revenue from sales of our products, services, license agreements, and government grants. Our products consist of instruments and consumables, including IFCs, assays, and other reagents. Our service revenue consists of post-warranty service contracts, preventive maintenance plans, instrument parts, installation, and training.</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recognize revenue when persuasive evidence of an arrangement exists, delivery has occurred or services have been rendered, the price to the customer is fixed or determinable, and collectability is reasonably assured. We assess collectability based on factors such as the customer’s creditworthiness and past collection history, if applicable. If collection is not reasonably assured, revenue recognition is deferred until receipt of payment. We also assess whether a price is fixed or determinable by, among other things, reviewing contractual terms and conditions related to payment. Delivery occurs when there is a transfer of title and risk of loss passes to the customer.</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and Service Revenue</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Certain of our sales contracts involve the delivery of multiple products and services within contractually binding arrangements. Multiple-deliverable sales transactions typically consist of the sale and delivery of one or more instruments and consumables together with one or more of our installation, training and/or customer support services.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w:t>
      </w:r>
    </w:p>
    <w:p>
      <w:pPr>
        <w:spacing w:after="0" w:line="139" w:lineRule="exact"/>
        <w:rPr>
          <w:sz w:val="20"/>
          <w:szCs w:val="20"/>
          <w:color w:val="auto"/>
        </w:rPr>
      </w:pPr>
    </w:p>
    <w:p>
      <w:pPr>
        <w:ind w:right="200" w:firstLine="432"/>
        <w:spacing w:after="0" w:line="258" w:lineRule="auto"/>
        <w:rPr>
          <w:sz w:val="20"/>
          <w:szCs w:val="20"/>
          <w:color w:val="auto"/>
        </w:rPr>
      </w:pPr>
      <w:r>
        <w:rPr>
          <w:rFonts w:ascii="Arial" w:cs="Arial" w:eastAsia="Arial" w:hAnsi="Arial"/>
          <w:sz w:val="18"/>
          <w:szCs w:val="18"/>
          <w:color w:val="auto"/>
        </w:rPr>
        <w:t>For sales contracts that include multiple deliverables, we allocate the contract consideration at the inception of the contract to each unit of accounting based upon its relative selling price. We may use our best estimate of selling price for</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individual deliverables when vendor specific objective evidence or third-party evidence is unavailable. A delivered item is considered to be a separate unit of accounting when it has value to the customer on a stand-alone basis.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products, other than service contracts, are typically delivered within a short time frame, generally within one to three months of the contract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Service contracts are entered into for terms of one to three years, following the expiration of the warranty period.</w:t>
      </w:r>
    </w:p>
    <w:p>
      <w:pPr>
        <w:spacing w:after="0" w:line="157"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Our products are generally sold without the right of return. Amounts received before revenue recognition criteria are met are classified in the consolidated balance sheets as deferred revenue or customer deposits, depending on the terms of the arrangement.</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License and royalty revenue from license agreements is recognized when received, which is generally in the quarter following the quarter in which the corresponding sales occur.</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We have received grants from various governmental entities for research and related activities. Grants provide us with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we have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Shipping and handling costs incurred for product shipments are included within cost of product revenue in the consolidated statements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We recognize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expense advertising costs as incurred. We incurred advertising costs of $2.9 million, $4.2 million, and $2.4 million during 2015, 2014, and 2013,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We use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38"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account for stock options and restricted stock units granted to employees and directors based on the fair value of the awards. We recognize stock-based compensation expense on a straight-line basis over the requisite service periods. For performance-based stock options, we recognize stock-based compensation expense over the requisite service period using the accelerated attribution method.</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Comprehensive Loss</w:t>
      </w:r>
    </w:p>
    <w:p>
      <w:pPr>
        <w:spacing w:after="0" w:line="10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consolidated statements of comprehensive loss.</w:t>
      </w:r>
    </w:p>
    <w:p>
      <w:pPr>
        <w:spacing w:after="0" w:line="181"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years ended December 31, 2015, 2014, and 2013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Foreign currency</w:t>
            </w:r>
          </w:p>
        </w:tc>
        <w:tc>
          <w:tcPr>
            <w:tcW w:w="25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Unrealized gain (loss) on investments</w:t>
            </w:r>
          </w:p>
        </w:tc>
        <w:tc>
          <w:tcPr>
            <w:tcW w:w="120" w:type="dxa"/>
            <w:vAlign w:val="bottom"/>
          </w:tcPr>
          <w:p>
            <w:pPr>
              <w:spacing w:after="0"/>
              <w:rPr>
                <w:sz w:val="14"/>
                <w:szCs w:val="14"/>
                <w:color w:val="auto"/>
              </w:rPr>
            </w:pPr>
          </w:p>
        </w:tc>
        <w:tc>
          <w:tcPr>
            <w:tcW w:w="238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Accumulated Other Comprehensive</w:t>
            </w:r>
          </w:p>
        </w:tc>
      </w:tr>
      <w:tr>
        <w:trPr>
          <w:trHeight w:val="186"/>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translation adjustment</w:t>
            </w: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jc w:val="right"/>
              <w:ind w:right="735"/>
              <w:spacing w:after="0"/>
              <w:rPr>
                <w:sz w:val="20"/>
                <w:szCs w:val="20"/>
                <w:color w:val="auto"/>
              </w:rPr>
            </w:pPr>
            <w:r>
              <w:rPr>
                <w:rFonts w:ascii="Arial" w:cs="Arial" w:eastAsia="Arial" w:hAnsi="Arial"/>
                <w:sz w:val="14"/>
                <w:szCs w:val="14"/>
                <w:b w:val="1"/>
                <w:bCs w:val="1"/>
                <w:color w:val="auto"/>
              </w:rPr>
              <w:t>Income (Loss)</w:t>
            </w:r>
          </w:p>
        </w:tc>
      </w:tr>
      <w:tr>
        <w:trPr>
          <w:trHeight w:val="161"/>
        </w:trPr>
        <w:tc>
          <w:tcPr>
            <w:tcW w:w="40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at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Change during the year</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2014</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Change during the year</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 of the above amounts have been reclassified to the consolidated statement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Assets acquired and liabilities assumed as part of a business combination are generally recorded at their fair values at the date of acquisition. The excess of purchase price over the fair value of assets acquired and liabilities assumed is recorded as goodwill. Determining fair value of identifiable assets, particularly intangibles, and liabilities acquired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 See Note 4.</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9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values of the reporting unit exceed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25" w:lineRule="exact"/>
        <w:rPr>
          <w:sz w:val="20"/>
          <w:szCs w:val="20"/>
          <w:color w:val="auto"/>
        </w:rPr>
      </w:pPr>
    </w:p>
    <w:p>
      <w:pPr>
        <w:jc w:val="both"/>
        <w:ind w:right="60" w:firstLine="405"/>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that the carrying amount of an asset may not be recoverable. If any indicator of impairment exists, we assess the recoverability of the affected intangible asset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4"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our common stock are considered to be potentially dilutive common shares but have been excluded from the calculation of diluted net loss per share, as their effect is anti-dilutive for all periods presented.</w:t>
      </w:r>
    </w:p>
    <w:p>
      <w:pPr>
        <w:spacing w:after="0" w:line="12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0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6"/>
              </w:rPr>
              <w:t>At December 31,</w:t>
            </w:r>
          </w:p>
        </w:tc>
        <w:tc>
          <w:tcPr>
            <w:tcW w:w="600" w:type="dxa"/>
            <w:vAlign w:val="bottom"/>
            <w:tcBorders>
              <w:bottom w:val="single" w:sz="8" w:color="auto"/>
            </w:tcBorders>
          </w:tcPr>
          <w:p>
            <w:pPr>
              <w:spacing w:after="0"/>
              <w:rPr>
                <w:sz w:val="16"/>
                <w:szCs w:val="16"/>
                <w:color w:val="auto"/>
              </w:rPr>
            </w:pPr>
          </w:p>
        </w:tc>
      </w:tr>
      <w:tr>
        <w:trPr>
          <w:trHeight w:val="264"/>
        </w:trPr>
        <w:tc>
          <w:tcPr>
            <w:tcW w:w="90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w:t>
            </w: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units and restricted stock awards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8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3,736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3,432</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640" w:type="dxa"/>
            <w:vAlign w:val="bottom"/>
          </w:tcPr>
          <w:p>
            <w:pPr>
              <w:jc w:val="right"/>
              <w:spacing w:after="0"/>
              <w:rPr>
                <w:sz w:val="20"/>
                <w:szCs w:val="20"/>
                <w:color w:val="auto"/>
              </w:rPr>
            </w:pPr>
            <w:r>
              <w:rPr>
                <w:rFonts w:ascii="Arial" w:cs="Arial" w:eastAsia="Arial" w:hAnsi="Arial"/>
                <w:sz w:val="18"/>
                <w:szCs w:val="18"/>
                <w:color w:val="auto"/>
              </w:rPr>
              <w:t>3,598</w:t>
            </w: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0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8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7,334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860" w:firstLine="486"/>
        <w:spacing w:after="0" w:line="342" w:lineRule="auto"/>
        <w:rPr>
          <w:sz w:val="20"/>
          <w:szCs w:val="20"/>
          <w:color w:val="auto"/>
        </w:rPr>
      </w:pPr>
      <w:r>
        <w:rPr>
          <w:rFonts w:ascii="Arial" w:cs="Arial" w:eastAsia="Arial" w:hAnsi="Arial"/>
          <w:sz w:val="16"/>
          <w:szCs w:val="16"/>
          <w:color w:val="auto"/>
        </w:rPr>
        <w:t>With the exception of those discussed below, there have not been any recent changes in accounting pronouncements issued by the Financial Accounting Standards Board (FASB) during the year ended December 31, 2015 that are of significance or potential significance to us.</w:t>
      </w:r>
    </w:p>
    <w:p>
      <w:pPr>
        <w:spacing w:after="0" w:line="7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April 2015, the FASB issued Accounting Standards Update No. 2015-03 (ASU-2015-03), Interest - Imputation of Interest (Subtopic 835-30): Simplifying the Presentation of Debt Issuance Costs. This guidance is intended to simplify the presentation of debt issuance costs. These amendments require that debt issuance costs related to a recognized debt liability be presented in the balance sheet as a direct deduction from the carrying amount of that debt liability, consistent with debt discounts. It will be effective for our interim and annual financial statements beginning in the first quarter of 2016. We will apply the guidance in ASU 2015-03 in our financial statements commencing in the first quarter of 2016, which will result in a reclassification of approximately $1.0 million from Other Assets to a reduction of Convertible Notes, net.</w:t>
      </w:r>
    </w:p>
    <w:p>
      <w:pPr>
        <w:spacing w:after="0" w:line="124"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In May 2014, the FASB issued Accounting Standards Update 2014-09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On July 7, 2015, the FASB amended ASU 2014-09 to defer the effective date by one year with early adoption permitted as of the original effective date. ASU 2014-09 will be effective for our fiscal year beginning January 1, 2018 unless we elect the earlier date of January 1, 2017. We are currently evaluating the accounting, transition, and disclosure requirements of the standard. We have not yet determined whether we will elect early adoption of the standard and currently cannot estimate the financial statement impact of adoption.</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July 2015, the FASB issued Accounting Standards Update 2015-11, Inventory (Topic 330): Simplifying the Measurement of Inventory (ASU 2015-</w:t>
      </w:r>
    </w:p>
    <w:p>
      <w:pPr>
        <w:spacing w:after="0" w:line="46" w:lineRule="exact"/>
        <w:rPr>
          <w:sz w:val="20"/>
          <w:szCs w:val="20"/>
          <w:color w:val="auto"/>
        </w:rPr>
      </w:pPr>
    </w:p>
    <w:p>
      <w:pPr>
        <w:ind w:right="280" w:firstLine="8"/>
        <w:spacing w:after="0" w:line="295" w:lineRule="auto"/>
        <w:tabs>
          <w:tab w:leader="none" w:pos="278"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which changes the measurement principle for inventory from the lower of cost or market to the lower of cost and net realizable value. ASU 2015-11 defines net realizable value as estimated selling prices in the ordinary course of business, less reasonably predictable costs of completion, disposal, and transportation. It will be effective for our interim and annual financial statements beginning in the first quarter of 2017 and early adoption is permitted. We currently are evaluating the adoption of the provisions of ASU 2015-11 and cannot currently estimate the financial statement impact of adoption.</w:t>
      </w:r>
    </w:p>
    <w:p>
      <w:pPr>
        <w:spacing w:after="0" w:line="10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In November 2015, the FASB issued Accounting Standards Update 2015-17 ASC 740, Income Taxes, Balance Sheet Classification of Deferred Taxes, effective for annual periods beginning after December 15, 2016. The amendments in this update require that in a classified statement of financial position, an entity shall classify deferred tax liabilities and assets as non-current, and an entity shall not offset deferred tax liabilities and assets attributable to different tax-paying components of the entity or to different tax jurisdictions. We currently are evaluating the adoption of the provisions of ASU 2015-17 and cannot currently estimate the financial statement impact of adoption.</w:t>
      </w:r>
    </w:p>
    <w:p>
      <w:pPr>
        <w:spacing w:after="0" w:line="200" w:lineRule="exact"/>
        <w:rPr>
          <w:sz w:val="20"/>
          <w:szCs w:val="20"/>
          <w:color w:val="auto"/>
        </w:rPr>
      </w:pPr>
    </w:p>
    <w:p>
      <w:pPr>
        <w:spacing w:after="0" w:line="227" w:lineRule="exact"/>
        <w:rPr>
          <w:sz w:val="20"/>
          <w:szCs w:val="20"/>
          <w:color w:val="auto"/>
        </w:rPr>
      </w:pPr>
    </w:p>
    <w:p>
      <w:pPr>
        <w:ind w:right="8840" w:firstLine="8"/>
        <w:spacing w:after="0" w:line="443" w:lineRule="auto"/>
        <w:tabs>
          <w:tab w:leader="none" w:pos="18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License and Grant Agreements License Agreements</w:t>
      </w:r>
    </w:p>
    <w:p>
      <w:pPr>
        <w:ind w:firstLine="405"/>
        <w:spacing w:after="0" w:line="269" w:lineRule="auto"/>
        <w:rPr>
          <w:sz w:val="20"/>
          <w:szCs w:val="20"/>
          <w:color w:val="auto"/>
        </w:rPr>
      </w:pPr>
      <w:r>
        <w:rPr>
          <w:rFonts w:ascii="Arial" w:cs="Arial" w:eastAsia="Arial" w:hAnsi="Arial"/>
          <w:sz w:val="17"/>
          <w:szCs w:val="17"/>
          <w:color w:val="auto"/>
        </w:rPr>
        <w:t>On June 30, 2011, we settled certain litigation and entered into a series of patent license agreements with Life Technologies Corporation (now part of Thermo Fisher Scientific) and its subsidiary, Applied Biosystems, LLC (collectively, Life). The agreements resulted in a net $3.0 million payment by us to Life, which was recognized as a litigation settlement expense. The agreements also provide for various royalty payments on future sales of certain products by each of the parties. Such royalty payments or receipts have not been and are not expected to be material to us. Under the terms of the agreements, in July 2011, we paid Life $2.0 million in connection with the exercise of our option to limit or preclude certain patent litigation between us and Life for a period of two to four years. As a result, subject to certain exceptions, Life may not initiate litigation under its patents existing as of June 30, 2011 against us, with respect to its current products and equivalent future products, for a period of four years. The additional payment was included in other assets and is being amortized to selling, general and administrative expense over four years on a straight-line basis beginning in July 2011. The additional payment is being amortized to selling, general and administrative expense because it precludes Life from initiating litigation for a period of four years under its relevant patents for any alleged prior and future infringement by us, and because such preclusion relates to our equivalent future products. We recognized $0.3 million, $0.5 million, and $0.5 million of amortization expense during 2015, 2014, and 2013, respectively.</w:t>
      </w:r>
    </w:p>
    <w:p>
      <w:pPr>
        <w:spacing w:after="0" w:line="129"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In May 2011, we entered into an agreement with Caliper Life Sciences, Inc., which subsequently became a PerkinElmer company (Caliper), to license Caliper’s existing patent portfolio in certain fields, including non-invasive prenatal diagnostics, and obtained an option to extend this license to cover additional fields. Additional payments are due if we exercise our option to extend the license. Under this agreement, we made an up-front payment of $0.6 million and our obligation to pay royalties to Caliper commenced in January 2012. In August 2011, we entered into an amendment to the agreement with Caliper and made an additional up-front payment of $0.5 million. Pursuant to the amendment, the rates for royalties payable to Caliper were substantially reduced and the period for which we are obligated to make royalty payments was shortened, with the last payment due in mid-2018 for our existing products at the time of amendment and their future equivalents. If any of our future products are determined to infringe Caliper’s patents, the same reduced royalty rates will apply until the respective patents expire. The aggregate $1.1 million of payments to Caliper are being amortized to cost of product revenue on a straight-line basis through July 2018, when our royalty payment obligations are expected to terminate based upon our current products. We recognized $0.3 million in cost of product revenue during each of 2015, 2014, and 2013. Our future royalty payments are not expected to be material.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California Institute for Regenerative Medicine</w:t>
      </w:r>
    </w:p>
    <w:p>
      <w:pPr>
        <w:spacing w:after="0" w:line="9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In May 2011, we were awarded a grant from the California Institute for Regenerative Medicine (CIRM) in the amount of $1.9 million to be earned over a three-year period. Under this grant, we designed and developed prototype microfluidic systems for use in stem cell research. The CIRM grant revenue is recognized as the related research and development services are performed and costs associated with this grant were recognized as research and development expense during the period incurred. We recognized $0.2 million and $0.6 million during 2014 and 2013, respectively. This grant terminated in April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February 13, 2014 (Acquisition Date), we acquired DVS primarily to broaden our addressable single-cell biology market opportunity and complement our existing product offerings. DVS develops, manufactures, markets, and sells high-parameter single-cell protein analysis systems and related reagents and data analysis tools. DVS’s principal market is the life sciences research market consisting of drug development companies, government research centers, and universities worldwide.</w:t>
      </w:r>
    </w:p>
    <w:p>
      <w:pPr>
        <w:spacing w:after="0" w:line="79"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The contractual price for the acquisition was $207.5 million, subject to certain adjustments as specified in the merger agreement. The measurement period for the acquisition ended February 12, 2015. The aggregate purchase price was determined to be $199.9 million, as detailed in the table below (in thousands):</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Estimated Fair Value</w:t>
            </w:r>
          </w:p>
        </w:tc>
      </w:tr>
      <w:tr>
        <w:trPr>
          <w:trHeight w:val="27"/>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126,048</w:t>
            </w:r>
          </w:p>
        </w:tc>
      </w:tr>
      <w:tr>
        <w:trPr>
          <w:trHeight w:val="270"/>
        </w:trPr>
        <w:tc>
          <w:tcPr>
            <w:tcW w:w="77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Issued 1,759,007 shares of Fluidigm common stock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76,805</w:t>
            </w: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consideration paid at Acquisition Date</w:t>
            </w:r>
          </w:p>
        </w:tc>
        <w:tc>
          <w:tcPr>
            <w:tcW w:w="2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202,853</w:t>
            </w:r>
          </w:p>
        </w:tc>
      </w:tr>
      <w:tr>
        <w:trPr>
          <w:trHeight w:val="270"/>
        </w:trPr>
        <w:tc>
          <w:tcPr>
            <w:tcW w:w="77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Accelerated stock compensation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(6,690)</w:t>
            </w:r>
          </w:p>
        </w:tc>
      </w:tr>
      <w:tr>
        <w:trPr>
          <w:trHeight w:val="270"/>
        </w:trPr>
        <w:tc>
          <w:tcPr>
            <w:tcW w:w="77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Estimated fair value of vested Fluidigm equivalent stock options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26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57"/>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Aggregate purchase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100" w:hanging="328"/>
        <w:spacing w:after="0" w:line="271"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a part of the acquisition, we accelerated vesting of certain DVS stock options and shares of restricted stock, and incurred a $6.7 million expense, based upon the per share consideration paid to holders of shares of DVS common stock as of February 13, 2014. This expense is accounted for as a separate transaction and reflected in the acquisition-related expenses line of the consolidated statements of operations.</w:t>
      </w:r>
    </w:p>
    <w:p>
      <w:pPr>
        <w:ind w:left="660" w:right="20" w:hanging="328"/>
        <w:spacing w:after="0" w:line="287"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conjunction with the acquisition, we assumed all outstanding DVS stock options and unvested shares of restricted stock and converted, as of the Acquisition Date, the unvested stock options outstanding under the DVS stock option plan into unvested stock options to purchase approximately 143,000 shares of Fluidigm common stock and the unvested DVS restricted stock into approximately 186,000 shares of restricted Fluidigm common stock, retaining the original vesting schedules. These restricted shares have been included in the "Issuance of common stock upon purchase of DVS" line item in the Consolidated Statement of Stockholders' Equity. The fair value of all converted share-based awards was $14.6 million, of which $4.0 million was attributed to the pre-combination service period and was included in the calculation of the purchase price. The remaining fair value will be recognized over the awards’ remaining vesting periods subsequent to the acquisition. The fair value of the Fluidigm equivalent share-based awards as of the Acquisition Date was estimated using the Black-Scholes valuation model.</w:t>
      </w:r>
    </w:p>
    <w:p>
      <w:pPr>
        <w:spacing w:after="0" w:line="386"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Approximately 885,000 shares of Fluidigm common stock, with a fair value of $38.6 million, representing 50.3030% of the shares otherwise payable to the former stockholders of DVS, were deposited into escrow (Escrowed Shares). These Escrowed Shares comprised a portion of the merger consideration and were held in escrow to secure indemnification obligations under the merger agreement. Under the terms of the merger agreement, fifty percent (50.0%) of the aggregate shares subject to the indemnification escrow were eligible for release on March 13, 2015 (Initial Release Date), and the balance of the shares were subject to release on August 13, 2015, provided that in each case shares would have continued to be held in escrow in amounts that we reasonably determined in good faith to be necessary to satisfy any claims for which we had delivered a notice of claim which had not been fully resolved between us and the representative of the former stockholders of DVS (Stockholder Representative). Prior to the Initial Release Date, we submitted escrow claim notices under the terms of the merger agreement. On April 9, 2015, the Stockholder Representative provided notices objecting to our claims. In July 2015, we entered into a settlement agreement with the Stockholder Representative regarding the claims (Settlement Agreement). Pursuant to the terms of the Settlement Agreement, the parties agreed to release approximately 80% of the Escrowed Shares to the former stockholders of DVS, and the remaining approximately 20% of the Escrowed Shares, or 170,107 shares, to us, which were canceled and returned to the status of authorized and unissued shares. Additionally, the parties agreed to, among other things, release various claims and waive certain rights with respect to the merger agreement. On the settlement date, the 170,107 shares had a value of approximately $4.0 million, which was recorded as gain on escrow settlement during the quarter ended September 30, 2015.</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results of DVS's operations have been included in the consolidated financial statements for the period from February 13, 2014 to December 31, 2014, including $20.7 million in revenue for the year ended December 31,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12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that assets acquired and liabilities assumed be recognized at their fair values as of the Acquisition Date. The following table summarizes the assets acquired and liabilities assumed as of the Acquisition Date (in thousands):</w:t>
      </w:r>
    </w:p>
    <w:p>
      <w:pPr>
        <w:spacing w:after="0" w:line="123"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Allocation of purchase price</w:t>
            </w:r>
          </w:p>
        </w:tc>
      </w:tr>
      <w:tr>
        <w:trPr>
          <w:trHeight w:val="27"/>
        </w:trPr>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8,405</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7,698</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104,108</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238,472</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Tax payable</w:t>
            </w:r>
          </w:p>
        </w:tc>
        <w:tc>
          <w:tcPr>
            <w:tcW w:w="14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(31,942)</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57"/>
        </w:trPr>
        <w:tc>
          <w:tcPr>
            <w:tcW w:w="7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following table provides details of intangible assets acquired in connection with the DVS acquisition as of December 31, 2015 (in thousands, except years):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fair value</w:t>
            </w:r>
          </w:p>
        </w:tc>
        <w:tc>
          <w:tcPr>
            <w:tcW w:w="22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Useful life in</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4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112,000</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91,000</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760" w:firstLine="432"/>
        <w:spacing w:after="0" w:line="277" w:lineRule="auto"/>
        <w:rPr>
          <w:sz w:val="20"/>
          <w:szCs w:val="20"/>
          <w:color w:val="auto"/>
        </w:rPr>
      </w:pPr>
      <w:r>
        <w:rPr>
          <w:rFonts w:ascii="Arial" w:cs="Arial" w:eastAsia="Arial" w:hAnsi="Arial"/>
          <w:sz w:val="18"/>
          <w:szCs w:val="18"/>
          <w:color w:val="auto"/>
        </w:rPr>
        <w:t>We recognized $11.2 million and $9.8 million in intangible asset amortization expense during the years ended December 31, 2015 and 2014, respectively. Intangible asset amortization expense is recorded in cost of product revenue.</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$104.2 million of goodwill recognized as part of the transaction is attributable primarily to expected synergies and other benefits from the acquisition, including expansion of our addressable market from the single-cell genomics market to the larger single-cell biology market and the ability to leverage our larger global commercial sales organization and infrastructure to expand awareness of DVS's products and technology. Goodwill is not deductible for income tax purposes. The only change to goodwill between the Acquisition Date and December 31, 2014 was an adjustment of $0.1 million to the deferred taxes liability resulting from the final tax analysis during the measurement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Costs</w:t>
      </w:r>
    </w:p>
    <w:p>
      <w:pPr>
        <w:spacing w:after="0" w:line="17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Acquisition-related expenses were $10.7 million in 2014 and primarily included accelerated vesting of certain DVS restricted stock and options, and consulting, legal, and investment banking fees. These costs are included within the acquisition-related expenses line of the consolidated statements of operations. No such costs were incurred in 2015.</w:t>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20"/>
          </w:cols>
          <w:pgMar w:left="240" w:top="125"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Results</w:t>
      </w:r>
    </w:p>
    <w:p>
      <w:pPr>
        <w:spacing w:after="0" w:line="229"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The unaudited financial information in the table below summarizes our results of operations combined with DVS's as though the companies were combined as of the beginning of each of the years presented. The unaudited pro forma information does not necessarily reflect the actual results of operations had the acquisition been consummated at the beginning of the fiscal reporting periods indicated nor is it indicative of future operating results.</w:t>
      </w:r>
    </w:p>
    <w:p>
      <w:pPr>
        <w:spacing w:after="0" w:line="309"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43"/>
        </w:trPr>
        <w:tc>
          <w:tcPr>
            <w:tcW w:w="8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r>
      <w:tr>
        <w:trPr>
          <w:trHeight w:val="243"/>
        </w:trPr>
        <w:tc>
          <w:tcPr>
            <w:tcW w:w="85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98,459</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Pro forma 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(55,249)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(37,906)</w:t>
            </w:r>
          </w:p>
        </w:tc>
      </w:tr>
    </w:tbl>
    <w:p>
      <w:pPr>
        <w:spacing w:after="0" w:line="229"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The unaudited pro forma financial information for the year ended December 31, 2014 includes adjustments related to stock-based compensation, amortization of developed technology, interest expense, and deferred tax liability of $1.4 million, $1.4 million, $1.0 million, and $371,000, respectively, and includes non-recurring adjustments representing the total acquisition-related expenses discussed above. The unaudited pro forma financial information for the year ended December 31, 2013 includes adjustments related to stock-based compensation, amortization of developed technology, interest expense, and deferred tax liability of $9.2 million, $11.2 million, $5.8 million, and $3.0 million,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financial instruments that were measured at fair value by level within the fair value hierarchy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2015</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3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w:t>
            </w:r>
          </w:p>
        </w:tc>
        <w:tc>
          <w:tcPr>
            <w:tcW w:w="14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II</w:t>
            </w:r>
          </w:p>
        </w:tc>
        <w:tc>
          <w:tcPr>
            <w:tcW w:w="16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III</w:t>
            </w: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I</w:t>
            </w:r>
          </w:p>
        </w:tc>
        <w:tc>
          <w:tcPr>
            <w:tcW w:w="18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II</w:t>
            </w:r>
          </w:p>
        </w:tc>
        <w:tc>
          <w:tcPr>
            <w:tcW w:w="16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III</w:t>
            </w:r>
          </w:p>
        </w:tc>
        <w:tc>
          <w:tcPr>
            <w:tcW w:w="160" w:type="dxa"/>
            <w:vAlign w:val="bottom"/>
          </w:tcPr>
          <w:p>
            <w:pPr>
              <w:spacing w:after="0"/>
              <w:rPr>
                <w:sz w:val="22"/>
                <w:szCs w:val="22"/>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Money market funds (See Note 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11,228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w w:val="94"/>
              </w:rPr>
              <w:t>$ 11,228</w:t>
            </w:r>
          </w:p>
        </w:tc>
        <w:tc>
          <w:tcPr>
            <w:tcW w:w="1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w w:val="96"/>
              </w:rPr>
              <w:t>$ 10,220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10,220</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72,348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$ 72,348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2"/>
              </w:rPr>
              <w:t>109,087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109,087</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11,228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72,348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4"/>
              </w:rPr>
              <w:t>$ 83,576</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6"/>
              </w:rPr>
              <w:t>$ 10,220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92"/>
              </w:rPr>
              <w:t>109,087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119,307</w:t>
            </w:r>
          </w:p>
        </w:tc>
      </w:tr>
      <w:tr>
        <w:trPr>
          <w:trHeight w:val="27"/>
        </w:trPr>
        <w:tc>
          <w:tcPr>
            <w:tcW w:w="3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of December 31, 2015, the amortized cost basis, aggregate fair value, and gross unrealized gains and losses of our investments were as follows (in thousands):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72,420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72,348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of December 31, 2014, the amortized cost basis, aggregate fair value, and gross unrealized gains and losses of our investments were as follows (in thousands):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0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6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10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99"/>
              </w:rPr>
              <w:t>$   109,136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0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99"/>
              </w:rPr>
              <w:t>$   109,087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405"/>
        <w:spacing w:after="0" w:line="277" w:lineRule="auto"/>
        <w:rPr>
          <w:sz w:val="20"/>
          <w:szCs w:val="20"/>
          <w:color w:val="auto"/>
        </w:rPr>
      </w:pPr>
      <w:r>
        <w:rPr>
          <w:rFonts w:ascii="Arial" w:cs="Arial" w:eastAsia="Arial" w:hAnsi="Arial"/>
          <w:sz w:val="18"/>
          <w:szCs w:val="18"/>
          <w:color w:val="auto"/>
        </w:rPr>
        <w:t>The contractual maturity periods of $65.9 million of our investments are within one year from December 31, 2015. The contractual maturity periods of our remaining securities are less than eighteen months from December 31, 2015.</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There were no transfers between Level 1 and Level 2 measurements during the year ended December 31, 2015, and there were no changes in the valuation techniques used.</w:t>
      </w:r>
    </w:p>
    <w:p>
      <w:pPr>
        <w:spacing w:after="0" w:line="116"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Based on an evaluation of securities that were in a loss position, we did not recognize any other-than-temporary impairment charges for the years ended December 31, 2015, 2014, and 2013. None of the investments have been in a continuous loss position for more than 12 months. Our conclusion that these losses are not “other-than-temporary” is based on the high credit quality of the securities, their short remaining maturity periods, and our intent and ability to hold such securities until the date of recovery of their respective market values or maturity.</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estimated fair value of the 2.75% Convertible Senior Notes Due 2034, (Notes), is based on a market approach. The estimated fair value was approximately $118.8 million (par value $201.3 million) as of December 31, 2015 and represents a Level II valuation. When determining the estimated fair value of our long-term debt, we used a commonly accepted valuation methodology and market-based risk measurements that are indirectly observable, such as credit risk.</w:t>
      </w:r>
    </w:p>
    <w:p>
      <w:pPr>
        <w:spacing w:after="0" w:line="264" w:lineRule="exact"/>
        <w:rPr>
          <w:sz w:val="20"/>
          <w:szCs w:val="20"/>
          <w:color w:val="auto"/>
        </w:rPr>
      </w:pPr>
    </w:p>
    <w:p>
      <w:pPr>
        <w:ind w:right="9280" w:firstLine="8"/>
        <w:spacing w:after="0" w:line="390" w:lineRule="auto"/>
        <w:tabs>
          <w:tab w:leader="none" w:pos="18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Data Cash and Cash Equivalents</w:t>
      </w: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The following are summaries of cash and cash equivalents (in thousands):</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Amortized Cost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tcPr>
          <w:p>
            <w:pPr>
              <w:spacing w:after="0"/>
              <w:rPr>
                <w:sz w:val="16"/>
                <w:szCs w:val="16"/>
                <w:color w:val="auto"/>
              </w:rPr>
            </w:pPr>
          </w:p>
        </w:tc>
        <w:tc>
          <w:tcPr>
            <w:tcW w:w="6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2015:</w:t>
            </w:r>
          </w:p>
        </w:tc>
        <w:tc>
          <w:tcPr>
            <w:tcW w:w="6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380"/>
              <w:spacing w:after="0"/>
              <w:rPr>
                <w:sz w:val="20"/>
                <w:szCs w:val="20"/>
                <w:color w:val="auto"/>
              </w:rPr>
            </w:pPr>
            <w:r>
              <w:rPr>
                <w:rFonts w:ascii="Arial" w:cs="Arial" w:eastAsia="Arial" w:hAnsi="Arial"/>
                <w:sz w:val="18"/>
                <w:szCs w:val="18"/>
                <w:color w:val="auto"/>
              </w:rPr>
              <w:t>Cash</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17,889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6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29,117</w:t>
            </w:r>
          </w:p>
        </w:tc>
        <w:tc>
          <w:tcPr>
            <w:tcW w:w="0" w:type="dxa"/>
            <w:vAlign w:val="bottom"/>
          </w:tcPr>
          <w:p>
            <w:pPr>
              <w:spacing w:after="0"/>
              <w:rPr>
                <w:sz w:val="1"/>
                <w:szCs w:val="1"/>
                <w:color w:val="auto"/>
              </w:rPr>
            </w:pPr>
          </w:p>
        </w:tc>
      </w:tr>
      <w:tr>
        <w:trPr>
          <w:trHeight w:val="67"/>
        </w:trPr>
        <w:tc>
          <w:tcPr>
            <w:tcW w:w="3760" w:type="dxa"/>
            <w:vAlign w:val="bottom"/>
            <w:tcBorders>
              <w:bottom w:val="single" w:sz="8" w:color="CCEEFF"/>
            </w:tcBorders>
          </w:tcPr>
          <w:p>
            <w:pPr>
              <w:spacing w:after="0"/>
              <w:rPr>
                <w:sz w:val="5"/>
                <w:szCs w:val="5"/>
                <w:color w:val="auto"/>
              </w:rPr>
            </w:pPr>
          </w:p>
        </w:tc>
        <w:tc>
          <w:tcPr>
            <w:tcW w:w="61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As of December 31, 2014:</w:t>
            </w:r>
          </w:p>
        </w:tc>
        <w:tc>
          <w:tcPr>
            <w:tcW w:w="6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380"/>
              <w:spacing w:after="0"/>
              <w:rPr>
                <w:sz w:val="20"/>
                <w:szCs w:val="20"/>
                <w:color w:val="auto"/>
              </w:rPr>
            </w:pPr>
            <w:r>
              <w:rPr>
                <w:rFonts w:ascii="Arial" w:cs="Arial" w:eastAsia="Arial" w:hAnsi="Arial"/>
                <w:sz w:val="18"/>
                <w:szCs w:val="18"/>
                <w:color w:val="auto"/>
              </w:rPr>
              <w:t>Cash</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23,493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6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10,220</w:t>
            </w: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33,713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6160" w:type="dxa"/>
            <w:vAlign w:val="bottom"/>
            <w:vMerge w:val="restart"/>
          </w:tcPr>
          <w:p>
            <w:pPr>
              <w:jc w:val="right"/>
              <w:ind w:right="4050"/>
              <w:spacing w:after="0"/>
              <w:rPr>
                <w:sz w:val="20"/>
                <w:szCs w:val="20"/>
                <w:color w:val="auto"/>
              </w:rPr>
            </w:pPr>
            <w:r>
              <w:rPr>
                <w:rFonts w:ascii="Arial" w:cs="Arial" w:eastAsia="Arial" w:hAnsi="Arial"/>
                <w:sz w:val="18"/>
                <w:szCs w:val="18"/>
                <w:color w:val="auto"/>
              </w:rPr>
              <w:t>77</w:t>
            </w: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61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6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 as of:</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8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20"/>
                <w:szCs w:val="20"/>
                <w:color w:val="auto"/>
              </w:rPr>
              <w:t>6,829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20"/>
                <w:szCs w:val="20"/>
                <w:color w:val="auto"/>
              </w:rPr>
              <w:t>2,442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20"/>
                <w:szCs w:val="20"/>
                <w:color w:val="auto"/>
              </w:rPr>
              <w:t>8,653</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Total inventories, net</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17,924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15,991</w:t>
            </w:r>
          </w:p>
        </w:tc>
        <w:tc>
          <w:tcPr>
            <w:tcW w:w="0" w:type="dxa"/>
            <w:vAlign w:val="bottom"/>
          </w:tcPr>
          <w:p>
            <w:pPr>
              <w:spacing w:after="0"/>
              <w:rPr>
                <w:sz w:val="1"/>
                <w:szCs w:val="1"/>
                <w:color w:val="auto"/>
              </w:rPr>
            </w:pPr>
          </w:p>
        </w:tc>
      </w:tr>
      <w:tr>
        <w:trPr>
          <w:trHeight w:val="27"/>
        </w:trPr>
        <w:tc>
          <w:tcPr>
            <w:tcW w:w="8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780" w:type="dxa"/>
            <w:vAlign w:val="bottom"/>
            <w:gridSpan w:val="2"/>
          </w:tcPr>
          <w:p>
            <w:pPr>
              <w:ind w:left="420"/>
              <w:spacing w:after="0"/>
              <w:rPr>
                <w:sz w:val="20"/>
                <w:szCs w:val="20"/>
                <w:color w:val="auto"/>
              </w:rPr>
            </w:pPr>
            <w:r>
              <w:rPr>
                <w:rFonts w:ascii="Arial" w:cs="Arial" w:eastAsia="Arial" w:hAnsi="Arial"/>
                <w:sz w:val="18"/>
                <w:szCs w:val="18"/>
                <w:color w:val="auto"/>
              </w:rPr>
              <w:t>Property and equipment consists of the following (in thousands) as of:</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2015</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Laboratory and manufacturing equipment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21,783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17,592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Office furniture and fixtures</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total intangible assets, which include developed technology, net as a result of the DVS acquisition and other intangible assets included in Other non-current assets, was $98.8 million, net of amortization as of December 31, 2015.</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future amortization expense of these intangible assets as of December 31, 2015 is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250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5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12,392</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2017</w:t>
            </w:r>
          </w:p>
        </w:tc>
        <w:tc>
          <w:tcPr>
            <w:tcW w:w="4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12,376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2019</w:t>
            </w:r>
          </w:p>
        </w:tc>
        <w:tc>
          <w:tcPr>
            <w:tcW w:w="4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12,220</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12,220</w:t>
            </w:r>
          </w:p>
        </w:tc>
        <w:tc>
          <w:tcPr>
            <w:tcW w:w="0" w:type="dxa"/>
            <w:vAlign w:val="bottom"/>
          </w:tcPr>
          <w:p>
            <w:pPr>
              <w:spacing w:after="0"/>
              <w:rPr>
                <w:sz w:val="1"/>
                <w:szCs w:val="1"/>
                <w:color w:val="auto"/>
              </w:rPr>
            </w:pP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37,259</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860" w:type="dxa"/>
            <w:vAlign w:val="bottom"/>
            <w:vMerge w:val="restart"/>
          </w:tcPr>
          <w:p>
            <w:pPr>
              <w:jc w:val="right"/>
              <w:ind w:right="287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50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Activity for our warranty accrual for the years ended December 31, 2015 and 2014, which are included in other accrued liabilities, is summarized below (in thousands):</w:t>
      </w:r>
    </w:p>
    <w:p>
      <w:pPr>
        <w:spacing w:after="0" w:line="189"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13335</wp:posOffset>
            </wp:positionV>
            <wp:extent cx="18008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2014</w:t>
            </w:r>
          </w:p>
        </w:tc>
      </w:tr>
      <w:tr>
        <w:trPr>
          <w:trHeight w:val="27"/>
        </w:trPr>
        <w:tc>
          <w:tcPr>
            <w:tcW w:w="6800" w:type="dxa"/>
            <w:vAlign w:val="bottom"/>
            <w:tcBorders>
              <w:bottom w:val="single" w:sz="8" w:color="BFE4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Beginning balance</w:t>
            </w:r>
          </w:p>
        </w:tc>
        <w:tc>
          <w:tcPr>
            <w:tcW w:w="860" w:type="dxa"/>
            <w:vAlign w:val="bottom"/>
            <w:tcBorders>
              <w:bottom w:val="single" w:sz="8" w:color="BFE4FF"/>
            </w:tcBorders>
            <w:shd w:val="clear" w:color="auto" w:fill="BFE4FF"/>
          </w:tcPr>
          <w:p>
            <w:pPr>
              <w:jc w:val="right"/>
              <w:ind w:right="6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88"/>
              </w:rPr>
              <w:t>1,178</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344</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Acquired warranty obligation from DVS</w:t>
            </w:r>
          </w:p>
        </w:tc>
        <w:tc>
          <w:tcPr>
            <w:tcW w:w="8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791</w:t>
            </w:r>
          </w:p>
        </w:tc>
      </w:tr>
      <w:tr>
        <w:trPr>
          <w:trHeight w:val="27"/>
        </w:trPr>
        <w:tc>
          <w:tcPr>
            <w:tcW w:w="6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Accrual for current period warranties</w:t>
            </w:r>
          </w:p>
        </w:tc>
        <w:tc>
          <w:tcPr>
            <w:tcW w:w="8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1,298</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(1,255)</w:t>
            </w:r>
          </w:p>
        </w:tc>
      </w:tr>
      <w:tr>
        <w:trPr>
          <w:trHeight w:val="27"/>
        </w:trPr>
        <w:tc>
          <w:tcPr>
            <w:tcW w:w="6800" w:type="dxa"/>
            <w:vAlign w:val="bottom"/>
            <w:tcBorders>
              <w:bottom w:val="single" w:sz="8" w:color="BFE4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8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shd w:val="clear" w:color="auto" w:fill="BFE4FF"/>
          </w:tcPr>
          <w:p>
            <w:pPr>
              <w:jc w:val="right"/>
              <w:ind w:right="6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88"/>
              </w:rPr>
              <w:t>1,076</w:t>
            </w:r>
          </w:p>
        </w:tc>
        <w:tc>
          <w:tcPr>
            <w:tcW w:w="12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1,178</w:t>
            </w:r>
          </w:p>
        </w:tc>
      </w:tr>
      <w:tr>
        <w:trPr>
          <w:trHeight w:val="20"/>
        </w:trPr>
        <w:tc>
          <w:tcPr>
            <w:tcW w:w="6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Notes</w:t>
      </w:r>
    </w:p>
    <w:p>
      <w:pPr>
        <w:spacing w:after="0" w:line="22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(Notes) pursuant to an underwriting agreement, dated January 29, 2014. The Notes accrue interest at a rate of 2.75% per year, payable semi-annually in arrears on February 1 and August 1 of each year, commencing August 1, 2014. The Notes will mature on February 1, 2034, unless earlier converted, redeemed, or repurchased in accordance 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8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February 2014, we received $195.2 million, net of underwriting discounts, from the issuance of the Notes and incurred approximately $1.1 million in offering-related expenses. The underwriting discount of $6.0 million was recorded as an offset to the proceeds. Debt issuance costs of $1.1 million are included in “Other assets” on the Consolidated Balance Sheets as of the issuance date.</w:t>
      </w:r>
    </w:p>
    <w:p>
      <w:pPr>
        <w:spacing w:after="0" w:line="73"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In February 2014, we used $113.2 million of the net proceeds to fund the cash portion of the consideration payable by us in connection with our acquisition of DVS (now Fluidigm Sciences Inc.) (See Note 4). Interest expense related to the Notes was approximately $5.8 million and $5.3 million during 2015 and 2014, respectively. Approximately $5.5M and $2.7 million of interest under the Notes was paid during 2015 and 2014, respectively.</w:t>
      </w:r>
    </w:p>
    <w:p>
      <w:pPr>
        <w:spacing w:after="0" w:line="57"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The balance of unamortized debt discount and debt issuance costs was $6.6 million of which $5.6 million is included in "Convertible Notes" and $1.0 million is included within “Other non-current assets” as of December 31, 2015 on the accompanying Consolidated Balance Sheets.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w:t>
      </w:r>
    </w:p>
    <w:p>
      <w:pPr>
        <w:spacing w:after="0" w:line="229"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In December 2012, we entered into a two-year line of credit agreement (as amended, the Line of Credit) that provided us with the ability to borrow up to $10.0 million, of which $6.0 million was available on a non-formula basis, subject to certain covenants and other restrictions. The balance of $4.0 million was available based on eligible receivables. The line of credit was collateralized by our assets, excluding our intellectual property, and bore interest at a rate equal to the greater of (i) 3.75% or (ii) the prime rate plus 0.50% per year. On May 9, 2014, we entered into a modification agreement with the lender to amend and waive certain financial covenants under the financing agreement, effective as of March 31, 2014. On July 31, 2014, we entered into a modification agreement with the lender to amend and waive the financial covenant under the financing agreement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regarding our effective tangible net worth amount, which could not at any time exceed a deficit of more than $100.0 million, effective as of June 30, 2014. There were no amounts outstanding on the line of credit during 2015, 2014, or 2013. The line of credit expired in December 2014 and the lien on the collateral was released in January 2015.</w:t>
      </w:r>
    </w:p>
    <w:p>
      <w:pPr>
        <w:spacing w:after="0" w:line="177" w:lineRule="exact"/>
        <w:rPr>
          <w:sz w:val="20"/>
          <w:szCs w:val="20"/>
          <w:color w:val="auto"/>
        </w:rPr>
      </w:pPr>
    </w:p>
    <w:p>
      <w:pPr>
        <w:ind w:right="8680" w:firstLine="8"/>
        <w:spacing w:after="0" w:line="367" w:lineRule="auto"/>
        <w:tabs>
          <w:tab w:leader="none" w:pos="18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left="440"/>
        <w:spacing w:after="0"/>
        <w:rPr>
          <w:rFonts w:ascii="Arial" w:cs="Arial" w:eastAsia="Arial" w:hAnsi="Arial"/>
          <w:sz w:val="17"/>
          <w:szCs w:val="17"/>
          <w:b w:val="1"/>
          <w:bCs w:val="1"/>
          <w:color w:val="auto"/>
        </w:rPr>
      </w:pPr>
      <w:r>
        <w:rPr>
          <w:rFonts w:ascii="Arial" w:cs="Arial" w:eastAsia="Arial" w:hAnsi="Arial"/>
          <w:sz w:val="18"/>
          <w:szCs w:val="18"/>
          <w:color w:val="auto"/>
        </w:rPr>
        <w:t>We have entered into various long-term non-cancelable operating leases for equipment and facilities.</w:t>
      </w:r>
    </w:p>
    <w:p>
      <w:pPr>
        <w:spacing w:after="0" w:line="9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On April 9, 2013, we entered into an amendment (the 2013 Amendment) to the lease agreement dated September 4, 2010 (as amended, the Lease) relating to the lease of office and laboratory space at our headquarters located in South San Francisco, California. The 2013 Amendment provided for an expansion of the premises covered under the Lease, effective April 2014; an extension of the term of the Lease to April 30, 2020 with an option to renew for an additional five years; payment of base rent with rent escalation; and payment of certain operating expenses during the term of the Lease. The 2013 Amendment also provided for an allowance of approximately $0.7 million for tenant improvements, of which we used $0.5 million and the remaining $0.2 million was used to offset base rent obligations in the quarter ended September 30, 2015, and an additional allowance of approximately $0.5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$6.7 million as of December 31, 2015.</w:t>
      </w:r>
    </w:p>
    <w:p>
      <w:pPr>
        <w:spacing w:after="0" w:line="14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On June 4, 2014, we entered into an additional amendment to the Lease (the June 2014 Amendment), which provided for an expansion of the premises covered under the Lease by approximately 13,000 square feet, effective October 1, 2014; payment of base rent with rent escalation; and payment of certain operating expenses during the term of the Lease. The June 2014 Amendment also provided for an allowance of approximately $0.2 million for tenant improvements, which, was fully utilized by March 31, 2015,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$2.0 million as of December 31, 2015.</w:t>
      </w:r>
    </w:p>
    <w:p>
      <w:pPr>
        <w:spacing w:after="0" w:line="111"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On September 15, 2014, we entered into an additional amendment to the Lease (the September 2014 Amendment), which provided for an expansion of the premises covered under the Lease by approximately 9,000 square feet, effective October 1, 2014; payment of base rent with rent escalation; and payment of certain operating expenses during the term of the Lease. The September 2014 Amendment also provided for an allowance of approximately $0.2 million for tenant improvements which was not used as of December 31, 2015. The total future minimum lease payments for the additional space, which will be paid through April 2020, are approximately $1.3 million as of December 31, 2015.</w:t>
      </w:r>
    </w:p>
    <w:p>
      <w:pPr>
        <w:spacing w:after="0" w:line="11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On December 8, 2015, we entered into an additional amendment to the Lease (the December 2015 Amendment),which provides for an expansion of the premises covered under the Lease by approximately 24,039 square feet, with a targeted commencement date of April 1, 2016, payment of base rent with rent escalation and an increase in our share of certain operating expenses during the term of the Lease. The December 2015 Amendment also provided for an allowance of up to approximately $0.4 million for tenant improvements. The total future minimum lease payments for additional space, which will be paid through April 2020, are approximately $3.8 million as of December 31, 2015.</w:t>
      </w:r>
    </w:p>
    <w:p>
      <w:pPr>
        <w:spacing w:after="0" w:line="134"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On October 14, 2013, Fluidigm Singapore Pte. Ltd., our wholly-owned subsidiary (Fluidigm Singapore), accepted an offer of tenancy (Lease) from HSBC Institutional Trust Services (Singapore) Limited, as trustee of Ascendas Real Estate Investment Trust (Landlord), relating to the lease of a new facility located in Singapore. Pursuant to the terms of the Lease, Fluidigm Singapore took possession of the facility commencing on March 3, 2014 for a term of 99 months, and the Lease and rental obligations thereunder commenced on June 3, 2014. The Lease also provides Fluidigm Singapore with an option to renew the Lease for an additional 60 months at the then prevailing market rent, and on similar terms as the existing Lease (the June 2015 Lease). In June 2014, Fluidigm Singapore leased additional space of approximately 2,400 square feet in the same building as the new facility on the same terms as the Lease. We completed the consolidation of our Singapore manufacturing operations in the new space in July 2014 and the site qualification was completed in August 2014. The leases relating to our prior manufacturing facility in Singapore terminated in August 2014. In April 2015, Fluidigm Singapore leased additional space of approximately 10,000 square feet in the same building on the same terms as the Singapore Lease (the April 2015 Singapore Lease). In connection with the April 2015 Singapore Lease, Fluidigm Singapore terminated the June 2014 Singapore Lease as of June 30, 2015. The total future minimum lease payments for the facility, which will be paid through June 2022, are approximately $4.0 million as of December 31, 2015.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connection with our acquisition of DVS (See Note 4), we acquired the operating leases for facilities in Sunnyvale, California and Markham, Ontario, Canada, which expire in July 2016 and January 2016, respectively. The Canada lease includes an option to renew the lease for an additional five years at the then prevailing market rent, and on similar terms as the existing lease. We extended the Canada lease through April 2016. The total future minimum lease payments for the operating leases in Sunnyvale, California and Markham, Ontario, Canada are approximately $154,000 as of December 31, 2015.</w:t>
      </w:r>
    </w:p>
    <w:p>
      <w:pPr>
        <w:spacing w:after="0" w:line="19"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On August 18, 2015, we, Fluidigm Canada Inc., our wholly-owned subsidiary (Fluidigm Canada), and Rodick Equities, Inc. (Landlord) entered into a lease dated as of August 17, 2015 (the New Canada Lease), relating to the lease of approximately 41,145 square feet of office, laboratory, and warehouse space at a facility in Markham, Ontario, Canada. Pursuant to the terms of the New Canada Lease, Fluidigm Canada was in possession of the new space commencing on or about August 27, 2015, and rental obligations thereunder will commence on April 1, 2016 for a term of ten years. The New Canada Lease provides for an allowance for tenant improvements, an option to renew the Lease for an additional five years, and a right of first offer on certain additional space in the Building.</w:t>
      </w:r>
    </w:p>
    <w:p>
      <w:pPr>
        <w:spacing w:after="0" w:line="200" w:lineRule="exact"/>
        <w:rPr>
          <w:sz w:val="20"/>
          <w:szCs w:val="20"/>
          <w:color w:val="auto"/>
        </w:rPr>
      </w:pPr>
    </w:p>
    <w:p>
      <w:pPr>
        <w:spacing w:after="0" w:line="236"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As of December 31, 2015, we also leased office space under non-cancelable leases in Japan, China, France and United Kingdom, with various expiration dates through April 2018. Certain facility leases also contain rent escalation clauses. Future minimum lease payments under non-cancelable operating leases as of December 31, 2015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124460</wp:posOffset>
            </wp:positionV>
            <wp:extent cx="69037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Years ending December 31:</w:t>
      </w:r>
    </w:p>
    <w:p>
      <w:pPr>
        <w:spacing w:after="0" w:line="63"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9660" w:type="dxa"/>
            <w:vAlign w:val="bottom"/>
          </w:tcPr>
          <w:p>
            <w:pPr>
              <w:ind w:left="380"/>
              <w:spacing w:after="0"/>
              <w:rPr>
                <w:sz w:val="20"/>
                <w:szCs w:val="20"/>
                <w:color w:val="auto"/>
              </w:rPr>
            </w:pPr>
            <w:r>
              <w:rPr>
                <w:rFonts w:ascii="Arial" w:cs="Arial" w:eastAsia="Arial" w:hAnsi="Arial"/>
                <w:sz w:val="18"/>
                <w:szCs w:val="18"/>
                <w:color w:val="auto"/>
              </w:rPr>
              <w:t>2016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4,084</w:t>
            </w:r>
          </w:p>
        </w:tc>
      </w:tr>
      <w:tr>
        <w:trPr>
          <w:trHeight w:val="27"/>
        </w:trPr>
        <w:tc>
          <w:tcPr>
            <w:tcW w:w="9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4,405</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4,360</w:t>
            </w:r>
          </w:p>
        </w:tc>
      </w:tr>
      <w:tr>
        <w:trPr>
          <w:trHeight w:val="27"/>
        </w:trPr>
        <w:tc>
          <w:tcPr>
            <w:tcW w:w="9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4,416</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2,191</w:t>
            </w:r>
          </w:p>
        </w:tc>
      </w:tr>
      <w:tr>
        <w:trPr>
          <w:trHeight w:val="27"/>
        </w:trPr>
        <w:tc>
          <w:tcPr>
            <w:tcW w:w="9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w:t>
            </w:r>
          </w:p>
        </w:tc>
      </w:tr>
      <w:tr>
        <w:trPr>
          <w:trHeight w:val="237"/>
        </w:trPr>
        <w:tc>
          <w:tcPr>
            <w:tcW w:w="96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22,994</w:t>
            </w:r>
          </w:p>
        </w:tc>
      </w:tr>
      <w:tr>
        <w:trPr>
          <w:trHeight w:val="27"/>
        </w:trPr>
        <w:tc>
          <w:tcPr>
            <w:tcW w:w="9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9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lease payments are expensed on a straight-line basis over the life of the leases. Rental expense under operating leases, net of amortization of lease incentive, totaled $5.2 million, $4.0 million, and $2.7 million for 2015, 2014, and 2013,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94"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In the normal course of business, we enter into various contractual and legally binding purchase commitments. As of December 31, 2015, these commitments for the next two years were approximately $8.5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 We have not incurred material costs to defend lawsuits or settle claims related to these indemnification provisions. As of December 31, 2015, we had no accrued liabilities for these indemnification provisions.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4"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On November 6, 2012, we filed a complaint against NanoString Technologies, Inc., or NanoString, in the United States District Court in the Northern District of California (Civil Action No. 12-5712), alleging claims of false advertising, unfair competition, and unlawful trade practice in violation of the Lanham Act and corresponding sections of the California Business &amp; Professions Code. Our complaint sought to enjoin NanoString from continuing to make or disseminate any of the false and misleading claims, misrepresenting and/or exaggerating the performance of its product in comparison with our Biomark system, to require NanoString to retract, remove, or correct the false and misleading advertising claims, and to recover damages and other relief for harm caused to us by NanoString. We also filed a lawsuit against NanoString in the High Court of the Republic of Singapore (Case No. S 282/2013) on April 5, 2013 alleging malicious falsehood in advertising and trademark infringement and sought relief similar to the relief sought in our complaint filed in the United States. On September 30, 2013, we and NanoString agreed to settle the lawsuits. The terms of the settlement required NanoString to, among other things, pay us $0.6 million, remove all references - from its marketing materials, website, and promotional activities - to a single-cell comparison study comparing Fluidigm and NanoString single-cell products, as well as recall and destroy all materials related to and/or based on the study. The case brought in the United States District Court in the Northern District of California was dismissed on October 22, 2013, and the case brought in Singapore was discontinued on October 29, 2013.</w:t>
      </w:r>
    </w:p>
    <w:p>
      <w:pPr>
        <w:spacing w:after="0" w:line="126"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Pursuant to the terms of a patent cross license agreement with Applied Biosystems, LLC (a subsidiary of Life Technologies Corporation, or Life, and now part of Thermo Fisher Scientific),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on September 30, 2013 and on January 30, 2014, we paid Life the amount due while reserving our rights with respect to such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174" w:lineRule="exact"/>
        <w:rPr>
          <w:sz w:val="20"/>
          <w:szCs w:val="20"/>
          <w:color w:val="auto"/>
        </w:rPr>
      </w:pPr>
    </w:p>
    <w:p>
      <w:pPr>
        <w:ind w:right="9020" w:firstLine="8"/>
        <w:spacing w:after="0" w:line="416" w:lineRule="auto"/>
        <w:tabs>
          <w:tab w:leader="none" w:pos="270"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2011 Equity Incentive Plan</w:t>
      </w:r>
    </w:p>
    <w:p>
      <w:pPr>
        <w:ind w:right="20" w:firstLine="432"/>
        <w:spacing w:after="0" w:line="264" w:lineRule="auto"/>
        <w:rPr>
          <w:sz w:val="20"/>
          <w:szCs w:val="20"/>
          <w:color w:val="auto"/>
        </w:rPr>
      </w:pPr>
      <w:r>
        <w:rPr>
          <w:rFonts w:ascii="Arial" w:cs="Arial" w:eastAsia="Arial" w:hAnsi="Arial"/>
          <w:sz w:val="18"/>
          <w:szCs w:val="18"/>
          <w:color w:val="auto"/>
        </w:rPr>
        <w:t>On January 28, 2011, our board of directors adopted the 2011 Equity Incentive Plan (the 2011 Plan) under which incentive stock options, nonstatutory stock options, restricted stock units (RSUs), stock appreciation rights, performance units, and performance shares may be granted to our employees, directors, and consultants.</w:t>
      </w:r>
    </w:p>
    <w:p>
      <w:pPr>
        <w:spacing w:after="0" w:line="127"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Incentive stock options and nonstatutory stock options granted under the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outstanding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1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board of directors sets the terms, conditions, and restrictions related to the grant of restricted stock units, including the number of restricted stock units to grant. Our board of directors also sets vesting criteria and, depending on the extent to which the criteria are met, our board of directors will determine the number of restricted stock units to be paid out. In general, RSUs vest on a quarterly basis over a period of four years from the date of grant, provided that no shares will vest during the first year of employment, at the end of which the shares that would have vested during the year will vest and the remaining shares will vest over the remaining 12 quarters, subject to the employees' continued employment.</w:t>
      </w:r>
    </w:p>
    <w:p>
      <w:pPr>
        <w:spacing w:after="0" w:line="11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exercise price of any stock appreciation right shall be determined by our board of directors but will be no less than 100% of the fair market value of the underlying common stock on the date of grant. The stock appreciation rights expire upon the date determined by our board of directors but no later than ten years from the date of grant.</w:t>
      </w:r>
    </w:p>
    <w:p>
      <w:pPr>
        <w:spacing w:after="0" w:line="12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the 2011 Plan had a total of 5,431,215 awards authorized for issuance.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1999 Stock Option Plan</w:t>
      </w:r>
    </w:p>
    <w:p>
      <w:pPr>
        <w:spacing w:after="0" w:line="94"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Our 2009 Equity Incentive Plan (the 2009 Plan) terminated on the date the 2011 Plan was adopted and the 1999 Stock Option Plan (the 1999 Plan) expired in 2009. Options granted or shares issued under the 2009 Plan and the 1999 Plan that were outstanding on the date the 2011 Plan became effective remained subject to the terms of their respective plans.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under the 2011 Plan, the 2009 Plan, and the 1999 Plan is as follows (in thousands, except per share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378"/>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52"/>
        </w:trPr>
        <w:tc>
          <w:tcPr>
            <w:tcW w:w="7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3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16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 Available</w:t>
            </w:r>
          </w:p>
        </w:tc>
        <w:tc>
          <w:tcPr>
            <w:tcW w:w="10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5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92"/>
        </w:trPr>
        <w:tc>
          <w:tcPr>
            <w:tcW w:w="75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for Grant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3,407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Additional shares authorized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granted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canceled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57"/>
        </w:trPr>
        <w:tc>
          <w:tcPr>
            <w:tcW w:w="756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3,242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31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7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9"/>
              </w:rPr>
              <w:t>Number Nonvested and</w:t>
            </w:r>
          </w:p>
        </w:tc>
        <w:tc>
          <w:tcPr>
            <w:tcW w:w="280" w:type="dxa"/>
            <w:vAlign w:val="bottom"/>
          </w:tcPr>
          <w:p>
            <w:pPr>
              <w:spacing w:after="0"/>
              <w:rPr>
                <w:sz w:val="14"/>
                <w:szCs w:val="14"/>
                <w:color w:val="auto"/>
              </w:rPr>
            </w:pPr>
          </w:p>
        </w:tc>
        <w:tc>
          <w:tcPr>
            <w:tcW w:w="152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Grant date fair value per</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Balance as of December 31, 2014</w:t>
            </w:r>
          </w:p>
        </w:tc>
        <w:tc>
          <w:tcPr>
            <w:tcW w:w="5160" w:type="dxa"/>
            <w:vAlign w:val="bottom"/>
            <w:gridSpan w:val="2"/>
          </w:tcPr>
          <w:p>
            <w:pPr>
              <w:jc w:val="right"/>
              <w:ind w:right="59"/>
              <w:spacing w:after="0"/>
              <w:rPr>
                <w:sz w:val="20"/>
                <w:szCs w:val="20"/>
                <w:color w:val="auto"/>
              </w:rPr>
            </w:pPr>
            <w:r>
              <w:rPr>
                <w:rFonts w:ascii="Arial" w:cs="Arial" w:eastAsia="Arial" w:hAnsi="Arial"/>
                <w:sz w:val="18"/>
                <w:szCs w:val="18"/>
                <w:color w:val="auto"/>
              </w:rPr>
              <w:t>329</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RSUs granted</w:t>
            </w:r>
          </w:p>
        </w:tc>
        <w:tc>
          <w:tcPr>
            <w:tcW w:w="51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590</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RSUs vested</w:t>
            </w:r>
          </w:p>
        </w:tc>
        <w:tc>
          <w:tcPr>
            <w:tcW w:w="51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RSUs canceled</w:t>
            </w:r>
          </w:p>
        </w:tc>
        <w:tc>
          <w:tcPr>
            <w:tcW w:w="3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Balance as of December 31, 2015</w:t>
            </w:r>
          </w:p>
        </w:tc>
        <w:tc>
          <w:tcPr>
            <w:tcW w:w="3400" w:type="dxa"/>
            <w:vAlign w:val="bottom"/>
          </w:tcPr>
          <w:p>
            <w:pPr>
              <w:spacing w:after="0"/>
              <w:rPr>
                <w:sz w:val="20"/>
                <w:szCs w:val="20"/>
                <w:color w:val="auto"/>
              </w:rPr>
            </w:pPr>
          </w:p>
        </w:tc>
        <w:tc>
          <w:tcPr>
            <w:tcW w:w="17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663</w:t>
            </w:r>
          </w:p>
        </w:tc>
        <w:tc>
          <w:tcPr>
            <w:tcW w:w="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00" w:type="dxa"/>
            <w:vAlign w:val="bottom"/>
            <w:vMerge w:val="restart"/>
          </w:tcPr>
          <w:p>
            <w:pPr>
              <w:jc w:val="right"/>
              <w:ind w:right="1690"/>
              <w:spacing w:after="0"/>
              <w:rPr>
                <w:sz w:val="20"/>
                <w:szCs w:val="20"/>
                <w:color w:val="auto"/>
              </w:rPr>
            </w:pPr>
            <w:r>
              <w:rPr>
                <w:rFonts w:ascii="Arial" w:cs="Arial" w:eastAsia="Arial" w:hAnsi="Arial"/>
                <w:sz w:val="18"/>
                <w:szCs w:val="18"/>
                <w:color w:val="auto"/>
              </w:rPr>
              <w:t>83</w:t>
            </w: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400" w:type="dxa"/>
            <w:vAlign w:val="bottom"/>
            <w:vMerge w:val="continue"/>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 determine stock-based compensation expense using the Black-Scholes option-pricing model and the following weighted-average assumptions: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260" w:type="dxa"/>
            <w:vAlign w:val="bottom"/>
          </w:tcPr>
          <w:p>
            <w:pPr>
              <w:spacing w:after="0"/>
              <w:rPr>
                <w:sz w:val="21"/>
                <w:szCs w:val="21"/>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5.9 years</w:t>
            </w:r>
          </w:p>
        </w:tc>
        <w:tc>
          <w:tcPr>
            <w:tcW w:w="240" w:type="dxa"/>
            <w:vAlign w:val="bottom"/>
          </w:tcPr>
          <w:p>
            <w:pPr>
              <w:spacing w:after="0"/>
              <w:rPr>
                <w:sz w:val="21"/>
                <w:szCs w:val="21"/>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5.9 years</w:t>
            </w:r>
          </w:p>
        </w:tc>
        <w:tc>
          <w:tcPr>
            <w:tcW w:w="2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5.9 years</w:t>
            </w: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of options granted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9.62</w:t>
            </w:r>
          </w:p>
        </w:tc>
      </w:tr>
      <w:tr>
        <w:trPr>
          <w:trHeight w:val="27"/>
        </w:trPr>
        <w:tc>
          <w:tcPr>
            <w:tcW w:w="7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Expected volatility is derived from the historical volatilities of several unrelated public companies within the life sciences industry. Each company’s historical volatility is weighted and combined to produce the single volatility factor used by us. The risk-free interest rate is based on the U.S. Treasury yield curve in effect at the time of grant for zero coupon U.S. Treasury notes with maturities approximately equal to the option’s expected life. Given our limited history as a public company, we used the “simplified” method to estimate expected lives of options granted to the various employee groups. The “simplified” method calculates the expected life of an option as the average of the time-to-vesting and the contractual life of the options. Forfeitures were estimated based on an analysis of actual forfeitures. We periodically evaluate the adequacy of our forfeiture rate based on actual forfeiture experience, analysis of employee turnover, and other factors. Each of these inputs is subjective and generally requires significant judgment by us. Also required to compute the fair value calculation of options is the fair value of the underlying common stock.</w:t>
      </w:r>
    </w:p>
    <w:p>
      <w:pPr>
        <w:spacing w:after="0" w:line="1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grant stock options at exercise prices not less than the fair value of our common stock at the date of grant. Prior to our IPO, our board of directors obtained contemporaneous valuations from an unrelated third-party valuation firm to determine the estimated fair value of common stock based on an analysis of relevant metrics. There is inherent uncertainty in these estimates and if we or the valuation firm had made different assumptions, the amount of our stock-based compensation expense, net loss, and net loss per share amounts could have been significantly different. Following the completion of our IPO in February 2011, the fair value of options granted is based on the closing price of our common stock on the date of grant as quoted on the NASDAQ Global Select Market.</w:t>
      </w:r>
    </w:p>
    <w:p>
      <w:pPr>
        <w:spacing w:after="0" w:line="58"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fair value of RSUs granted to employees was estimated on the date of grant by multiplying the number of shares granted by the fair market value of our common stock on the grant date.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Additional information regarding our stock options outstanding and exercisable as of December 31, 2015 is summarized in the following table: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Options Outstanding</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Weighted-</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Exercise Price Per Share</w:t>
            </w:r>
          </w:p>
        </w:tc>
        <w:tc>
          <w:tcPr>
            <w:tcW w:w="140" w:type="dxa"/>
            <w:vAlign w:val="bottom"/>
            <w:vMerge w:val="restart"/>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Options Exercisable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22"/>
                <w:szCs w:val="22"/>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(In Years)</w:t>
            </w:r>
          </w:p>
        </w:tc>
        <w:tc>
          <w:tcPr>
            <w:tcW w:w="1280" w:type="dxa"/>
            <w:vAlign w:val="bottom"/>
          </w:tcPr>
          <w:p>
            <w:pPr>
              <w:jc w:val="right"/>
              <w:ind w:right="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$0.64 - $4.45</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$8.36 - $8.37</w:t>
            </w:r>
          </w:p>
        </w:tc>
        <w:tc>
          <w:tcPr>
            <w:tcW w:w="1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247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$13.01 - $14.90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$15.04 - $19.32</w:t>
            </w:r>
          </w:p>
        </w:tc>
        <w:tc>
          <w:tcPr>
            <w:tcW w:w="1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$20.46 - $21.94</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$27.00 - $29.87</w:t>
            </w:r>
          </w:p>
        </w:tc>
        <w:tc>
          <w:tcPr>
            <w:tcW w:w="1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$30.58 - $33.73</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$37.56 - $38.28</w:t>
            </w:r>
          </w:p>
        </w:tc>
        <w:tc>
          <w:tcPr>
            <w:tcW w:w="1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$43.66 - $44.07</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$46.85 - $47.55</w:t>
            </w:r>
          </w:p>
        </w:tc>
        <w:tc>
          <w:tcPr>
            <w:tcW w:w="14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Options exercisable as of December 31, 2015 had a weighted-average remaining contractual life of 6.3 years, a weighted-average exercise price per share of $17.57, and an aggregate intrinsic value of $1.7 million.</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Options outstanding that have vested as of December 31, 2015 or are expected to vest in the future are summarized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160" w:type="dxa"/>
            <w:vAlign w:val="bottom"/>
          </w:tcPr>
          <w:p>
            <w:pPr>
              <w:spacing w:after="0"/>
              <w:rPr>
                <w:sz w:val="12"/>
                <w:szCs w:val="12"/>
                <w:color w:val="auto"/>
              </w:rPr>
            </w:pPr>
          </w:p>
        </w:tc>
        <w:tc>
          <w:tcPr>
            <w:tcW w:w="12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5"/>
              </w:rPr>
              <w:t>Value (1)</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 Years)</w:t>
            </w:r>
          </w:p>
        </w:tc>
        <w:tc>
          <w:tcPr>
            <w:tcW w:w="160" w:type="dxa"/>
            <w:vAlign w:val="bottom"/>
          </w:tcPr>
          <w:p>
            <w:pPr>
              <w:spacing w:after="0"/>
              <w:rPr>
                <w:sz w:val="22"/>
                <w:szCs w:val="22"/>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2,315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Expected to vest, net of estimated forfeitures</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853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vested and expected to vest, net of forfeitures</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3,168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160" w:hanging="316"/>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intrinsic value was calculated as the difference between the closing stock price on the last trading day of 2015, which was $10.81, and the exercise price of the options, multiplied by the number of in-the-money options.</w:t>
      </w:r>
    </w:p>
    <w:p>
      <w:pPr>
        <w:spacing w:after="0" w:line="116"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total intrinsic value of options exercised during 2015, 2014, and 2013 was $13.7 million, $12.8 million, and $20.8 million, respectively. The total intrinsic value of RSUs vested and released during the year ended December 31, 2015 was approximately $1.8 million. The intrinsic value of vested and released RSUs is calculated by multiplying the fair market value of our common stock on the vesting date by the number of shares vested. As of December 31, 2015, the number of RSUs outstanding and expected to vest was 596,562, with a total intrinsic value of $6.4 million. The intrinsic value of the outstanding and expected to vest RSUs is calculated based on the market value of the Company's closing stock price of $10.81 as of December 31, 2015, the last market trading day of 2015.</w:t>
      </w:r>
    </w:p>
    <w:p>
      <w:pPr>
        <w:spacing w:after="0" w:line="139"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There were no stock-based compensation tax benefits recognized during 2015, 2014, or 2013. Capitalized stock-based compensation costs were insignificant at December 31, 2015, 2014, and 2013.</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of December 31, 2015, there was $29.8 million of total unrecognized compensation cost related to stock-based compensation arrangements that is expected to be recognized over an average period of 2.6 years.</w:t>
      </w:r>
    </w:p>
    <w:p>
      <w:pPr>
        <w:spacing w:after="0" w:line="116"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January 2011, we granted 94,972 performance-based options (the 2010 performance awards) to certain executives. These awards vest over a period of approximately four years based on continuing service and were subject to accelerated vesting if specified corporate and departmental performance goals were met for the fiscal year ended December 31, 2010. Based on achievement of 2010 departmental and corporate goals, vesting for 66,480 options was accelerated in March 2011. We recognized nil for each year during 2015 and 2014 and $8,000 of stock-based compensation expense related to the 2010 performance awards during 2013,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loss before income taxes consists of the following (in thousands):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(16,205)</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Significant components of our benefit (provision) for income taxes are as follows (in thousands):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33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9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2013</w:t>
            </w: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8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provision</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4"/>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benefit</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900" w:type="dxa"/>
            <w:vAlign w:val="bottom"/>
          </w:tcPr>
          <w:p>
            <w:pPr>
              <w:ind w:left="20"/>
              <w:spacing w:after="0"/>
              <w:rPr>
                <w:sz w:val="20"/>
                <w:szCs w:val="20"/>
                <w:color w:val="auto"/>
              </w:rPr>
            </w:pPr>
            <w:r>
              <w:rPr>
                <w:rFonts w:ascii="Arial" w:cs="Arial" w:eastAsia="Arial" w:hAnsi="Arial"/>
                <w:sz w:val="18"/>
                <w:szCs w:val="18"/>
                <w:color w:val="auto"/>
              </w:rPr>
              <w:t>Total benefit (provision) for income taxes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4,875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8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Reconciliation of income taxes at the statutory rate to the benefit from (provision for) income taxes recorded in the statements of operations is as follows:</w:t>
      </w:r>
    </w:p>
    <w:p>
      <w:pPr>
        <w:spacing w:after="0" w:line="365"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24872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03" w:lineRule="exact"/>
        <w:rPr>
          <w:sz w:val="20"/>
          <w:szCs w:val="20"/>
          <w:color w:val="auto"/>
        </w:rPr>
      </w:pPr>
    </w:p>
    <w:p>
      <w:pPr>
        <w:ind w:left="7960"/>
        <w:spacing w:after="0"/>
        <w:tabs>
          <w:tab w:leader="none" w:pos="9280" w:val="left"/>
          <w:tab w:leader="none" w:pos="106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90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4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at federal statutory rate</w:t>
            </w:r>
          </w:p>
        </w:tc>
        <w:tc>
          <w:tcPr>
            <w:tcW w:w="4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34.0 %</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State tax credit (expense), net of federal benefit</w:t>
            </w:r>
          </w:p>
        </w:tc>
        <w:tc>
          <w:tcPr>
            <w:tcW w:w="41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tax expense</w:t>
            </w:r>
          </w:p>
        </w:tc>
        <w:tc>
          <w:tcPr>
            <w:tcW w:w="4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4180" w:type="dxa"/>
            <w:vAlign w:val="bottom"/>
            <w:gridSpan w:val="2"/>
          </w:tcPr>
          <w:p>
            <w:pPr>
              <w:jc w:val="right"/>
              <w:ind w:right="18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R&amp;D Credit</w:t>
            </w:r>
          </w:p>
        </w:tc>
        <w:tc>
          <w:tcPr>
            <w:tcW w:w="4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Unrecognized tax benefit</w:t>
            </w:r>
          </w:p>
        </w:tc>
        <w:tc>
          <w:tcPr>
            <w:tcW w:w="41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Return to provision reconciliation</w:t>
            </w:r>
          </w:p>
        </w:tc>
        <w:tc>
          <w:tcPr>
            <w:tcW w:w="4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Other, net</w:t>
            </w:r>
          </w:p>
        </w:tc>
        <w:tc>
          <w:tcPr>
            <w:tcW w:w="41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4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Arial" w:cs="Arial" w:eastAsia="Arial" w:hAnsi="Arial"/>
                <w:sz w:val="18"/>
                <w:szCs w:val="18"/>
                <w:color w:val="auto"/>
              </w:rPr>
              <w:t>85</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40"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104,291</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90,250</w:t>
            </w:r>
          </w:p>
        </w:tc>
      </w:tr>
      <w:tr>
        <w:trPr>
          <w:trHeight w:val="27"/>
        </w:trPr>
        <w:tc>
          <w:tcPr>
            <w:tcW w:w="8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Reserves and accruals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4,132</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8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10,181</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7,866</w:t>
            </w:r>
          </w:p>
        </w:tc>
      </w:tr>
      <w:tr>
        <w:trPr>
          <w:trHeight w:val="27"/>
        </w:trPr>
        <w:tc>
          <w:tcPr>
            <w:tcW w:w="8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112,660</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Valuation allowance on deferred tax assets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(124,137)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(110,167)</w:t>
            </w:r>
          </w:p>
        </w:tc>
      </w:tr>
      <w:tr>
        <w:trPr>
          <w:trHeight w:val="27"/>
        </w:trPr>
        <w:tc>
          <w:tcPr>
            <w:tcW w:w="8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 and intangibles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(28,612)</w:t>
            </w:r>
          </w:p>
        </w:tc>
      </w:tr>
      <w:tr>
        <w:trPr>
          <w:trHeight w:val="237"/>
        </w:trPr>
        <w:tc>
          <w:tcPr>
            <w:tcW w:w="878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(28,612)</w:t>
            </w:r>
          </w:p>
        </w:tc>
      </w:tr>
      <w:tr>
        <w:trPr>
          <w:trHeight w:val="27"/>
        </w:trPr>
        <w:tc>
          <w:tcPr>
            <w:tcW w:w="8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(26,119)</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evaluate a number of factors to determine the realizability of our deferred tax assets. Recognition of deferred tax assets is appropriate when realization of these assets is more likely than not. Assessing the realizability of deferred tax assets is dependent upon several factors including historical financial results. The net deferred tax assets have been partially offset by a valuation allowance because we have incurred losses since our inception. The valuation allowance increased by $14.0 million and $13.9 million during 2015 and 2014, respectively. The change in valuation allowance is mainly due to an increase in the current year taxable loss and an increase in research development credits, partially offset by a decrease in temporary differences.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the valuation allowance for the year ended December 31, 2015 is as follows (in thousands):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10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2014</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110,167</w:t>
            </w:r>
          </w:p>
        </w:tc>
      </w:tr>
      <w:tr>
        <w:trPr>
          <w:trHeight w:val="243"/>
        </w:trPr>
        <w:tc>
          <w:tcPr>
            <w:tcW w:w="10140" w:type="dxa"/>
            <w:vAlign w:val="bottom"/>
          </w:tcPr>
          <w:p>
            <w:pPr>
              <w:ind w:left="380"/>
              <w:spacing w:after="0"/>
              <w:rPr>
                <w:sz w:val="20"/>
                <w:szCs w:val="20"/>
                <w:color w:val="auto"/>
              </w:rPr>
            </w:pPr>
            <w:r>
              <w:rPr>
                <w:rFonts w:ascii="Arial" w:cs="Arial" w:eastAsia="Arial" w:hAnsi="Arial"/>
                <w:sz w:val="18"/>
                <w:szCs w:val="18"/>
                <w:color w:val="auto"/>
              </w:rPr>
              <w:t>Charges to earnings</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13,970</w:t>
            </w:r>
          </w:p>
        </w:tc>
      </w:tr>
      <w:tr>
        <w:trPr>
          <w:trHeight w:val="27"/>
        </w:trPr>
        <w:tc>
          <w:tcPr>
            <w:tcW w:w="10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other accounts</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10140" w:type="dxa"/>
            <w:vAlign w:val="bottom"/>
          </w:tcPr>
          <w:p>
            <w:pPr>
              <w:ind w:left="20"/>
              <w:spacing w:after="0"/>
              <w:rPr>
                <w:sz w:val="20"/>
                <w:szCs w:val="20"/>
                <w:color w:val="auto"/>
              </w:rPr>
            </w:pPr>
            <w:r>
              <w:rPr>
                <w:rFonts w:ascii="Arial" w:cs="Arial" w:eastAsia="Arial" w:hAnsi="Arial"/>
                <w:sz w:val="18"/>
                <w:szCs w:val="18"/>
                <w:color w:val="auto"/>
              </w:rPr>
              <w:t>December 31, 2015</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124,137</w:t>
            </w:r>
          </w:p>
        </w:tc>
      </w:tr>
      <w:tr>
        <w:trPr>
          <w:trHeight w:val="27"/>
        </w:trPr>
        <w:tc>
          <w:tcPr>
            <w:tcW w:w="10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0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of December 31, 2015, we had net operating loss carryforwards for U.S. federal income tax purposes of $316.6 million, which expire in the years 2020 through 2036, and U.S. federal research and development tax credits of $7.4 million, which expire in the years 2020 through 2036. As of December 31, 2015, we had net operating loss carryforwards for state income tax purposes of $191.4 million, which expire in the years 2015 through 2036, and California research and development tax credits of $8.5 million, which do not expire. As of December 31, 2015, we had foreign net operating loss carryforwards of $2.8 million, which expire in the years 2017 through 2021.</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December 18, 2015, the Protecting Americans from Tax Hikes Act of 2015 was signed into law. This law establishes the permanency of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credits. We recorded approximately $0.7 million which was fully offset by a valuation allowance in the current year.</w:t>
      </w:r>
    </w:p>
    <w:p>
      <w:pPr>
        <w:spacing w:after="0" w:line="15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Utilization of the net operating loss carryforwards and credits may be subject to a substantial annual limitation due to the ownership change limitations provided by Section 382 of the Internal Revenue Code of 1986, as amended, and similar state provisions. The annual limitation may result in the expiration of net operating losses and credits before utilization. We have completed a Section 382 analysis for the period from our inception in May 1999 through December 31, 2015, which excluded the net operating loss carryforwards for DVS prior to the acquisition, and determined that an ownership change as defined under Section 382 occurred in November 2001, which resulted in a reduction to our U.S. federal and California net operating losses by $1.2 million and $0.7 million, respectively. Net operating losses that were subject to Section 382 limitation for California purposes expired as of December 31, 2014.</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We have not provided for U.S. federal and state income taxes on any of our non-U.S. subsidiaries’ undistributed earnings as of December 31, 2015, because such earnings are intended to be indefinitely reinvested. If we were to distribute such earnings of $0.9 million in the form of dividends, we may be subject to withholding taxes of approximately $27,000 . However, since such subsidiaries’ earnings are permanently reinvested, no deferred tax liabilities were accrued for that amount as of December 31, 2015.</w:t>
      </w:r>
    </w:p>
    <w:p>
      <w:pPr>
        <w:spacing w:after="0" w:line="133"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Effective January 1, 2010, we obtained approval for Pioneer Tax Status in Singapore. The Pioneer Tax Status allowed a full exemption from Singapore corporate tax related to contract manufacturing activities through the effective period subject to the achievement of certain milestones. Effective January 1, 2015, our Pioneer Tax Status was replaced by a Development and Expansion Incentive, which provides a reduced tax rate for qualifying income in Singapore through 2019, if certain milestones are met. Due to available capital allowances, we have not benefited from the tax exemption or from the reduced tax rate through December 31, 2015, and may not benefit from the incentive if we do not achieve the required milestones in future years.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Uncertain Tax Positions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aggregate changes in the balance of our gross unrecognized tax benefits during 2015, 2014, and 2013 were as follows (in thousands):</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2012</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6,351</w:t>
            </w:r>
          </w:p>
        </w:tc>
      </w:tr>
      <w:tr>
        <w:trPr>
          <w:trHeight w:val="243"/>
        </w:trPr>
        <w:tc>
          <w:tcPr>
            <w:tcW w:w="10140" w:type="dxa"/>
            <w:vAlign w:val="bottom"/>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1,044</w:t>
            </w:r>
          </w:p>
        </w:tc>
      </w:tr>
      <w:tr>
        <w:trPr>
          <w:trHeight w:val="27"/>
        </w:trPr>
        <w:tc>
          <w:tcPr>
            <w:tcW w:w="10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Decreases in balances related to tax position taken during prior period</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37"/>
        </w:trPr>
        <w:tc>
          <w:tcPr>
            <w:tcW w:w="10140" w:type="dxa"/>
            <w:vAlign w:val="bottom"/>
          </w:tcPr>
          <w:p>
            <w:pPr>
              <w:ind w:left="20"/>
              <w:spacing w:after="0"/>
              <w:rPr>
                <w:sz w:val="20"/>
                <w:szCs w:val="20"/>
                <w:color w:val="auto"/>
              </w:rPr>
            </w:pPr>
            <w:r>
              <w:rPr>
                <w:rFonts w:ascii="Arial" w:cs="Arial" w:eastAsia="Arial" w:hAnsi="Arial"/>
                <w:sz w:val="18"/>
                <w:szCs w:val="18"/>
                <w:color w:val="auto"/>
              </w:rPr>
              <w:t>December 31, 2013</w:t>
            </w: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6,848</w:t>
            </w:r>
          </w:p>
        </w:tc>
      </w:tr>
      <w:tr>
        <w:trPr>
          <w:trHeight w:val="27"/>
        </w:trPr>
        <w:tc>
          <w:tcPr>
            <w:tcW w:w="10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r>
      <w:tr>
        <w:trPr>
          <w:trHeight w:val="243"/>
        </w:trPr>
        <w:tc>
          <w:tcPr>
            <w:tcW w:w="10140" w:type="dxa"/>
            <w:vAlign w:val="bottom"/>
          </w:tcPr>
          <w:p>
            <w:pPr>
              <w:ind w:left="38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10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0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2014</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7,672</w:t>
            </w:r>
          </w:p>
        </w:tc>
      </w:tr>
      <w:tr>
        <w:trPr>
          <w:trHeight w:val="243"/>
        </w:trPr>
        <w:tc>
          <w:tcPr>
            <w:tcW w:w="10140" w:type="dxa"/>
            <w:vAlign w:val="bottom"/>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10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10140" w:type="dxa"/>
            <w:vAlign w:val="bottom"/>
          </w:tcPr>
          <w:p>
            <w:pPr>
              <w:ind w:left="20"/>
              <w:spacing w:after="0"/>
              <w:rPr>
                <w:sz w:val="20"/>
                <w:szCs w:val="20"/>
                <w:color w:val="auto"/>
              </w:rPr>
            </w:pPr>
            <w:r>
              <w:rPr>
                <w:rFonts w:ascii="Arial" w:cs="Arial" w:eastAsia="Arial" w:hAnsi="Arial"/>
                <w:sz w:val="18"/>
                <w:szCs w:val="18"/>
                <w:color w:val="auto"/>
              </w:rPr>
              <w:t>December 31, 2015</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8,662</w:t>
            </w:r>
          </w:p>
        </w:tc>
      </w:tr>
      <w:tr>
        <w:trPr>
          <w:trHeight w:val="27"/>
        </w:trPr>
        <w:tc>
          <w:tcPr>
            <w:tcW w:w="10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0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Accrued interest and penalties related to unrecognized tax benefits were included in the income tax provision and are immaterial as of December 31, 2015 and 2014.</w:t>
      </w:r>
    </w:p>
    <w:p>
      <w:pPr>
        <w:spacing w:after="0" w:line="11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As of December 31, 2015, the total amount of unrecognized tax benefits that, if recognized, would affect our effective tax rate is $0.6 million. We do not anticipate that our existing unrecognized tax benefits will significantly increase or decrease within the next 12 months.</w:t>
      </w:r>
    </w:p>
    <w:p>
      <w:pPr>
        <w:spacing w:after="0" w:line="116"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file income tax returns in the United States, various states, and certain foreign jurisdictions. As a result of net operating loss carryforwards, all of our tax years are open to federal and state examination in the United States. Tax years from 2009 are open to examination in various foreign countries.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94"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 sponsor a 401(k) savings plan for our employees in the United States that stipulates that eligible employees may elect to contribute to the plan, subject to certain limitations, up to the lesser of 90% of eligible compensation or the maximum amount allowed by the U.S. Internal Revenue Service. We have not made contributions to this plan since its inception.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Information About Geographic Areas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operate in one reporting segment, which is the development, manufacturing, and commercialization of life science tools for the life science and Ag-Bio industries.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w:t>
      </w:r>
    </w:p>
    <w:p>
      <w:pPr>
        <w:ind w:right="820"/>
        <w:spacing w:after="0" w:line="323" w:lineRule="auto"/>
        <w:rPr>
          <w:sz w:val="20"/>
          <w:szCs w:val="20"/>
          <w:color w:val="auto"/>
        </w:rPr>
      </w:pPr>
      <w:r>
        <w:rPr>
          <w:rFonts w:ascii="Arial" w:cs="Arial" w:eastAsia="Arial" w:hAnsi="Arial"/>
          <w:sz w:val="16"/>
          <w:szCs w:val="16"/>
          <w:color w:val="auto"/>
        </w:rPr>
        <w:t>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following table represents our product and service revenue of total product and service revenue by geography of our customers for each year presented (in thousands):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8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36,308</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36,772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33,045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18,472</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6,564</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6,639</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2,215</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114,455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115,915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70,198</w:t>
            </w:r>
          </w:p>
        </w:tc>
      </w:tr>
      <w:tr>
        <w:trPr>
          <w:trHeight w:val="27"/>
        </w:trPr>
        <w:tc>
          <w:tcPr>
            <w:tcW w:w="8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license and grant revenue is primarily generated in the United States.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had long-lived assets consisting of property and equipment, net of accumulated depreciation, in the following geographic areas (in thousands) as of:</w:t>
      </w:r>
    </w:p>
    <w:p>
      <w:pPr>
        <w:spacing w:after="0" w:line="33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2013</w:t>
            </w: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2,967</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Singapore</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3,741</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
        </w:trPr>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7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Purchase of Patents from PerkinElmer Health Sciences, Inc.</w:t>
      </w:r>
    </w:p>
    <w:p>
      <w:pPr>
        <w:spacing w:after="0" w:line="9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Some of the intellectual property rights covering our mass cytometry products were subject to a license agreement (the Original License Agreement) between Fluidigm Canada Inc. (Fluidigm Canada) and PerkinElmer Health Sciences, Inc. (PerkinElmer). Under the Original License Agreement, Fluidigm Canada received an exclusive, royalty bearing, worldwide license to certain patents owned by PerkinElmer in the field of ICP-based mass cytometry, including the analysis of elemental tagged materials in connection therewith (the Patents), and a non-exclusive license for reagents outside the field of ICP-based mass cytometry. On November 4,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will terminate on the last expiration date of the Patents, currently expected to be in December 2025, unless earlier terminated pursuant to the terms of the license agreement.</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7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Results of Operations (Unaudited)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Selected quarterly results of operations for the years ended December 31, 2015 and 2014 are as follows (in thousands, except for per share amounts):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1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840" w:type="dxa"/>
            <w:vAlign w:val="bottom"/>
          </w:tcPr>
          <w:p>
            <w:pPr>
              <w:jc w:val="center"/>
              <w:ind w:right="117"/>
              <w:spacing w:after="0"/>
              <w:rPr>
                <w:sz w:val="20"/>
                <w:szCs w:val="20"/>
                <w:color w:val="auto"/>
              </w:rPr>
            </w:pPr>
            <w:r>
              <w:rPr>
                <w:rFonts w:ascii="Arial" w:cs="Arial" w:eastAsia="Arial" w:hAnsi="Arial"/>
                <w:sz w:val="14"/>
                <w:szCs w:val="14"/>
                <w:b w:val="1"/>
                <w:bCs w:val="1"/>
                <w:color w:val="auto"/>
                <w:w w:val="99"/>
              </w:rPr>
              <w:t>Fourth</w:t>
            </w:r>
          </w:p>
        </w:tc>
      </w:tr>
      <w:tr>
        <w:trPr>
          <w:trHeight w:val="158"/>
        </w:trPr>
        <w:tc>
          <w:tcPr>
            <w:tcW w:w="412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2015</w:t>
            </w: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3"/>
                <w:szCs w:val="13"/>
                <w:color w:val="auto"/>
              </w:rPr>
            </w:pPr>
          </w:p>
        </w:tc>
        <w:tc>
          <w:tcPr>
            <w:tcW w:w="84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rPr>
              <w:t>Quarter</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30,722</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2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(12,879)</w:t>
            </w: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2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153"/>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6"/>
              </w:rPr>
              <w:t>Second</w:t>
            </w:r>
          </w:p>
        </w:tc>
        <w:tc>
          <w:tcPr>
            <w:tcW w:w="18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3"/>
                <w:szCs w:val="13"/>
                <w:color w:val="auto"/>
              </w:rPr>
            </w:pPr>
          </w:p>
        </w:tc>
        <w:tc>
          <w:tcPr>
            <w:tcW w:w="8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9"/>
              </w:rPr>
              <w:t>Fourth</w:t>
            </w:r>
          </w:p>
        </w:tc>
      </w:tr>
      <w:tr>
        <w:trPr>
          <w:trHeight w:val="158"/>
        </w:trPr>
        <w:tc>
          <w:tcPr>
            <w:tcW w:w="412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2014</w:t>
            </w: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3"/>
                <w:szCs w:val="13"/>
                <w:color w:val="auto"/>
              </w:rPr>
            </w:pPr>
          </w:p>
        </w:tc>
        <w:tc>
          <w:tcPr>
            <w:tcW w:w="84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rPr>
              <w:t>Quarter</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33,490</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2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(10,944)</w:t>
            </w: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2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459"/>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2015, our Chief Executive Officer and Chief Financial Officer concluded that, as of such date, our disclosure controls and procedures were effective at the reasonable assurance level.</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2015. Management based its assessment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Based on that evaluation, our management concluded that our internal control over financial reporting was effective as of December 31, 2015.</w:t>
      </w:r>
    </w:p>
    <w:p>
      <w:pPr>
        <w:spacing w:after="0" w:line="139"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2015 has been audited by PricewaterhouseCoopers, LLP, an independent registered public accounting firm, as stated in their report included in this Annual Report on Form 10-K.</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December 31, 2015 that have materially affected, or are reasonably likely to materially affect, our internal control over financial reporting.</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Inherent Limitations on the Effectiveness of Controls</w:t>
      </w:r>
    </w:p>
    <w:p>
      <w:pPr>
        <w:spacing w:after="0" w:line="306"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958" w:right="299" w:bottom="1440" w:gutter="0" w:footer="0" w:header="0"/>
        </w:sectPr>
      </w:pPr>
    </w:p>
    <w:bookmarkStart w:id="94" w:name="page95"/>
    <w:bookmarkEnd w:id="94"/>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Pursuant to General Instruction G(3) of Form 10-K, the information required by this Item 10 relating to our executive officers is included under the caption “Executive Officers” in Part I of this Form 10-K.</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other information required by this Item 10 will be included either (i) in an amendment to this Annual Report on Form 10-K or (ii) incorporated by reference to our Proxy Statement for the 2016 Annual Meeting of Stockholders under the headings “Corporate Governance and Board of Directors,” “Election of Class II Directors,” “Executive Officers,” and “Related Person Transactions and Section 16(a) Beneficial Ownership Reporting Compliance.” Such amendment to our Form 10-K or Proxy Statement for our 2016 Annual Meeting of Stockholders will be filed with the Securities and Exchange Commission within 120 days of our December 31, 2015 fiscal year end.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right="340" w:firstLine="432"/>
        <w:spacing w:after="0" w:line="279" w:lineRule="auto"/>
        <w:rPr>
          <w:sz w:val="20"/>
          <w:szCs w:val="20"/>
          <w:color w:val="auto"/>
        </w:rPr>
      </w:pPr>
      <w:r>
        <w:rPr>
          <w:rFonts w:ascii="Arial" w:cs="Arial" w:eastAsia="Arial" w:hAnsi="Arial"/>
          <w:sz w:val="17"/>
          <w:szCs w:val="17"/>
          <w:color w:val="auto"/>
        </w:rPr>
        <w:t>The information required by this Item 11 will be included either (i) in an amendment to this Annual Report on Form 10-K or (ii) incorporated by reference to our Proxy Statement for the 2016 Annual Meeting of Stockholders under the headings “Corporate Governance and Board of Directors” and “Executive Compensation.” Such amendment to our Form 10-K or Proxy Statement for our 2016 Annual Meeting of Stockholders will be filed with the Securities and Exchange Commission within 120 days of our December 31, 2015 fiscal year end.</w:t>
      </w:r>
    </w:p>
    <w:p>
      <w:pPr>
        <w:spacing w:after="0" w:line="248" w:lineRule="exact"/>
        <w:rPr>
          <w:sz w:val="20"/>
          <w:szCs w:val="20"/>
          <w:color w:val="auto"/>
        </w:rPr>
      </w:pPr>
    </w:p>
    <w:p>
      <w:pPr>
        <w:ind w:left="820" w:right="6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information required by this Item 12 will be included either (i) in an amendment to this Annual Report on Form 10-K or (ii) incorporated by reference to our Proxy Statement for the 2016 Annual Meeting of Stockholders under the headings “Executive Compensation” and “Security Ownership.” Such amendment to our Form 10-K or Proxy Statement for our 2016 Annual Meeting of Stockholders will be filed with the Securities and Exchange Commission within 120 days of our December 31, 2015 fiscal year end.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information required by this Item 13 will be included either (i) in an amendment to this Annual Report on Form 10-K or (ii) incorporated by reference to our Proxy Statement for the 2016 Annual Meeting of Stockholders under the headings “Corporate Governance and Board of Directors” and “Related Person Transactions and Section 16(a) Beneficial Ownership Reporting Compliance.” Such amendment to our Form 10-K or Proxy Statement for our 2016 Annual Meeting of Stockholders will be filed with the Securities and Exchange Commission within 120 days of our December 31, 2015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4"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information required by this Item 14 will be included either (i) in an amendment to this Annual Report on Form 10-K or (ii) incorporated by reference to our Proxy Statement for the 2016 Annual Meeting of Stockholders under the heading “Ratification of Appointment of Independent Registered Public Accounting Firm.” Such amendment to our Form 10-K or Proxy Statement for our 2016 Annual Meeting of Stockholders will be filed with the Securities and Exchange Commission within 120 days of our December 31, 2015 fiscal year end.</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00"/>
          </w:cols>
          <w:pgMar w:left="240" w:top="742" w:right="359" w:bottom="1440" w:gutter="0" w:footer="0" w:header="0"/>
        </w:sectPr>
      </w:pPr>
    </w:p>
    <w:bookmarkStart w:id="95" w:name="page96"/>
    <w:bookmarkEnd w:id="95"/>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See “Index to Consolidated Financial Statements” in Part II, Item 8 of this Form 10-K.</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 </w:t>
      </w:r>
      <w:r>
        <w:rPr>
          <w:rFonts w:ascii="Arial" w:cs="Arial" w:eastAsia="Arial" w:hAnsi="Arial"/>
          <w:sz w:val="18"/>
          <w:szCs w:val="18"/>
          <w:color w:val="auto"/>
        </w:rPr>
        <w:t>See “Schedule II—Valuation and Qualifying Account and Reserve” in this section of this Form 10-K.</w:t>
      </w:r>
    </w:p>
    <w:p>
      <w:pPr>
        <w:spacing w:after="0" w:line="117" w:lineRule="exact"/>
        <w:rPr>
          <w:rFonts w:ascii="Arial" w:cs="Arial" w:eastAsia="Arial" w:hAnsi="Arial"/>
          <w:sz w:val="18"/>
          <w:szCs w:val="18"/>
          <w:color w:val="auto"/>
        </w:rPr>
      </w:pPr>
    </w:p>
    <w:p>
      <w:pPr>
        <w:ind w:firstLine="8"/>
        <w:spacing w:after="0" w:line="282"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listed in the accompanying Index to Exhibits are filed herewith or are incorporated by reference to exhibits previously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U.S. Securities and Exchange Commission.</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742" w:right="29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SCHEDULE II—VALUATION AND QUALIFYING ACCOUNT AND RESERVE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Additions/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19"/>
              <w:spacing w:after="0" w:line="153" w:lineRule="exact"/>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2"/>
                <w:szCs w:val="12"/>
                <w:color w:val="auto"/>
              </w:rPr>
            </w:pPr>
          </w:p>
        </w:tc>
        <w:tc>
          <w:tcPr>
            <w:tcW w:w="88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2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2013</w:t>
            </w:r>
          </w:p>
        </w:tc>
        <w:tc>
          <w:tcPr>
            <w:tcW w:w="2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340" w:val="left"/>
          <w:tab w:leader="none" w:pos="8800" w:val="left"/>
        </w:tabs>
        <w:rPr>
          <w:sz w:val="20"/>
          <w:szCs w:val="20"/>
          <w:color w:val="auto"/>
        </w:rPr>
      </w:pPr>
      <w:r>
        <w:rPr>
          <w:rFonts w:ascii="Arial" w:cs="Arial" w:eastAsia="Arial" w:hAnsi="Arial"/>
          <w:sz w:val="18"/>
          <w:szCs w:val="18"/>
          <w:color w:val="auto"/>
        </w:rPr>
        <w:t>Dated: February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6"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Gajus V. Worthington</w:t>
      </w:r>
    </w:p>
    <w:p>
      <w:pPr>
        <w:spacing w:after="0" w:line="109"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Gajus V. Worthington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2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5" w:lineRule="exact"/>
        <w:rPr>
          <w:sz w:val="20"/>
          <w:szCs w:val="20"/>
          <w:color w:val="auto"/>
        </w:rPr>
      </w:pPr>
    </w:p>
    <w:p>
      <w:pPr>
        <w:ind w:left="2100"/>
        <w:spacing w:after="0"/>
        <w:tabs>
          <w:tab w:leader="none" w:pos="7040" w:val="left"/>
          <w:tab w:leader="none" w:pos="103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w w:val="99"/>
              </w:rPr>
              <w:t>President and Chief Executive Officer (Principal Executive</w:t>
            </w:r>
          </w:p>
        </w:tc>
        <w:tc>
          <w:tcPr>
            <w:tcW w:w="1620" w:type="dxa"/>
            <w:vAlign w:val="bottom"/>
          </w:tcPr>
          <w:p>
            <w:pPr>
              <w:spacing w:after="0"/>
              <w:rPr>
                <w:sz w:val="18"/>
                <w:szCs w:val="18"/>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Gajus V. Worthington</w:t>
            </w:r>
          </w:p>
        </w:tc>
        <w:tc>
          <w:tcPr>
            <w:tcW w:w="4760" w:type="dxa"/>
            <w:vAlign w:val="bottom"/>
          </w:tcPr>
          <w:p>
            <w:pPr>
              <w:ind w:left="160"/>
              <w:spacing w:after="0"/>
              <w:rPr>
                <w:sz w:val="20"/>
                <w:szCs w:val="20"/>
                <w:color w:val="auto"/>
              </w:rPr>
            </w:pPr>
            <w:r>
              <w:rPr>
                <w:rFonts w:ascii="Arial" w:cs="Arial" w:eastAsia="Arial" w:hAnsi="Arial"/>
                <w:sz w:val="18"/>
                <w:szCs w:val="18"/>
                <w:color w:val="auto"/>
              </w:rPr>
              <w:t>Officer); Director</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4"/>
              </w:rPr>
              <w:t>Gajus V. Worthington</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95"/>
        </w:trPr>
        <w:tc>
          <w:tcPr>
            <w:tcW w:w="4800" w:type="dxa"/>
            <w:vAlign w:val="bottom"/>
          </w:tcPr>
          <w:p>
            <w:pPr>
              <w:spacing w:after="0"/>
              <w:rPr>
                <w:sz w:val="24"/>
                <w:szCs w:val="24"/>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w w:val="98"/>
              </w:rPr>
              <w:t>Chief Financial Officer (Principal Financial and Accounting</w:t>
            </w:r>
          </w:p>
        </w:tc>
        <w:tc>
          <w:tcPr>
            <w:tcW w:w="1620" w:type="dxa"/>
            <w:vAlign w:val="bottom"/>
          </w:tcPr>
          <w:p>
            <w:pPr>
              <w:spacing w:after="0"/>
              <w:rPr>
                <w:sz w:val="24"/>
                <w:szCs w:val="24"/>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Vikram Jog</w:t>
            </w:r>
          </w:p>
        </w:tc>
        <w:tc>
          <w:tcPr>
            <w:tcW w:w="4760" w:type="dxa"/>
            <w:vAlign w:val="bottom"/>
          </w:tcPr>
          <w:p>
            <w:pPr>
              <w:ind w:left="160"/>
              <w:spacing w:after="0"/>
              <w:rPr>
                <w:sz w:val="20"/>
                <w:szCs w:val="20"/>
                <w:color w:val="auto"/>
              </w:rPr>
            </w:pPr>
            <w:r>
              <w:rPr>
                <w:rFonts w:ascii="Arial" w:cs="Arial" w:eastAsia="Arial" w:hAnsi="Arial"/>
                <w:sz w:val="18"/>
                <w:szCs w:val="18"/>
                <w:color w:val="auto"/>
              </w:rPr>
              <w:t>Officer)</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Vikram Jog</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Samuel D. Colella</w:t>
            </w:r>
          </w:p>
        </w:tc>
        <w:tc>
          <w:tcPr>
            <w:tcW w:w="4760" w:type="dxa"/>
            <w:vAlign w:val="bottom"/>
          </w:tcPr>
          <w:p>
            <w:pPr>
              <w:ind w:left="160"/>
              <w:spacing w:after="0"/>
              <w:rPr>
                <w:sz w:val="20"/>
                <w:szCs w:val="20"/>
                <w:color w:val="auto"/>
              </w:rPr>
            </w:pPr>
            <w:r>
              <w:rPr>
                <w:rFonts w:ascii="Arial" w:cs="Arial" w:eastAsia="Arial" w:hAnsi="Arial"/>
                <w:sz w:val="18"/>
                <w:szCs w:val="18"/>
                <w:color w:val="auto"/>
              </w:rPr>
              <w:t>Chairman of the Board of Directors</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3"/>
              </w:rPr>
              <w:t>Samuel D. Colella</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9"/>
              </w:rPr>
              <w:t>/s/ Gerhard F. Burbach</w:t>
            </w:r>
          </w:p>
        </w:tc>
        <w:tc>
          <w:tcPr>
            <w:tcW w:w="47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Gerhard F. Burbach</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6"/>
              </w:rPr>
              <w:t>/s/ Evan Jones</w:t>
            </w:r>
          </w:p>
        </w:tc>
        <w:tc>
          <w:tcPr>
            <w:tcW w:w="47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89"/>
              </w:rPr>
              <w:t>Evan Jones</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8"/>
              </w:rPr>
              <w:t>/s/ Patrick S. Jones</w:t>
            </w:r>
          </w:p>
        </w:tc>
        <w:tc>
          <w:tcPr>
            <w:tcW w:w="47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0"/>
              </w:rPr>
              <w:t>Patrick S. Jones</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John A. Young</w:t>
            </w:r>
          </w:p>
        </w:tc>
        <w:tc>
          <w:tcPr>
            <w:tcW w:w="476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280"/>
              <w:spacing w:after="0"/>
              <w:rPr>
                <w:sz w:val="20"/>
                <w:szCs w:val="20"/>
                <w:color w:val="auto"/>
              </w:rPr>
            </w:pPr>
            <w:r>
              <w:rPr>
                <w:rFonts w:ascii="Arial" w:cs="Arial" w:eastAsia="Arial" w:hAnsi="Arial"/>
                <w:sz w:val="18"/>
                <w:szCs w:val="18"/>
                <w:color w:val="auto"/>
                <w:w w:val="89"/>
              </w:rPr>
              <w:t>February 29, 2016</w:t>
            </w:r>
          </w:p>
        </w:tc>
      </w:tr>
      <w:tr>
        <w:trPr>
          <w:trHeight w:val="27"/>
        </w:trPr>
        <w:tc>
          <w:tcPr>
            <w:tcW w:w="4800" w:type="dxa"/>
            <w:vAlign w:val="bottom"/>
            <w:tcBorders>
              <w:bottom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1"/>
              </w:rPr>
              <w:t>John A. Young</w:t>
            </w:r>
          </w:p>
        </w:tc>
        <w:tc>
          <w:tcPr>
            <w:tcW w:w="47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525"/>
        </w:trPr>
        <w:tc>
          <w:tcPr>
            <w:tcW w:w="4800" w:type="dxa"/>
            <w:vAlign w:val="bottom"/>
          </w:tcPr>
          <w:p>
            <w:pPr>
              <w:spacing w:after="0"/>
              <w:rPr>
                <w:sz w:val="24"/>
                <w:szCs w:val="24"/>
                <w:color w:val="auto"/>
              </w:rPr>
            </w:pPr>
          </w:p>
        </w:tc>
        <w:tc>
          <w:tcPr>
            <w:tcW w:w="4760" w:type="dxa"/>
            <w:vAlign w:val="bottom"/>
          </w:tcPr>
          <w:p>
            <w:pPr>
              <w:ind w:left="820"/>
              <w:spacing w:after="0"/>
              <w:rPr>
                <w:sz w:val="20"/>
                <w:szCs w:val="20"/>
                <w:color w:val="auto"/>
              </w:rPr>
            </w:pPr>
            <w:r>
              <w:rPr>
                <w:rFonts w:ascii="Arial" w:cs="Arial" w:eastAsia="Arial" w:hAnsi="Arial"/>
                <w:sz w:val="18"/>
                <w:szCs w:val="18"/>
                <w:color w:val="auto"/>
              </w:rPr>
              <w:t>94</w:t>
            </w:r>
          </w:p>
        </w:tc>
        <w:tc>
          <w:tcPr>
            <w:tcW w:w="16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32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85"/>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00" w:type="dxa"/>
            <w:vAlign w:val="bottom"/>
            <w:gridSpan w:val="2"/>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5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ind w:left="140"/>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9"/>
              </w:rPr>
              <w:t>Agreement and Plan of Merger dated January 28, 2014 by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6"/>
              </w:rPr>
              <w:t>among Fluidigm Corporation, DVS Sciences, Inc., Dawid Merger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Sub, Inc. and Shareholder Representative Services LLC.</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Eighth Amended and Restated Certificate of Incorporation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Fluidigm Corporation filed on February 15, 2011.</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6"/>
              </w:rPr>
              <w:t>Amended and Restated Bylaws of Fluidigm Corporation effective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as of February 9, 2011.</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Specimen Common Stock Certificate of Fluidigm Corporation.</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Indenture, dated February 4, 2014, by and between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Corporation and U.S. Bank National Association.</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4.3</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First Supplemental Indenture, dated February 4, 2014, by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between Fluidigm Corporation and U.S. Bank National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4.4</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Form of Global Note (included in Exhibit 4.3).</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4.5</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4"/>
              </w:rPr>
              <w:t>Ninth Amended and Restated Investor Rights Agreement between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Fluidigm Corporation and certain holders of Fluidigm</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5"/>
              </w:rPr>
              <w:t>Corporation's capital stock named therein, including amendments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No. 1, No. 2 and No. 3.</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4.6</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ind w:left="140"/>
              <w:spacing w:after="0"/>
              <w:rPr>
                <w:sz w:val="20"/>
                <w:szCs w:val="20"/>
                <w:color w:val="auto"/>
              </w:rPr>
            </w:pPr>
            <w:r>
              <w:rPr>
                <w:rFonts w:ascii="Arial" w:cs="Arial" w:eastAsia="Arial" w:hAnsi="Arial"/>
                <w:sz w:val="18"/>
                <w:szCs w:val="18"/>
                <w:color w:val="auto"/>
              </w:rPr>
              <w:t>4.7</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56"/>
        </w:trPr>
        <w:tc>
          <w:tcPr>
            <w:tcW w:w="500" w:type="dxa"/>
            <w:vAlign w:val="bottom"/>
          </w:tcPr>
          <w:p>
            <w:pPr>
              <w:ind w:left="140"/>
              <w:spacing w:after="0"/>
              <w:rPr>
                <w:sz w:val="20"/>
                <w:szCs w:val="20"/>
                <w:color w:val="auto"/>
              </w:rPr>
            </w:pPr>
            <w:r>
              <w:rPr>
                <w:rFonts w:ascii="Arial" w:cs="Arial" w:eastAsia="Arial" w:hAnsi="Arial"/>
                <w:sz w:val="18"/>
                <w:szCs w:val="18"/>
                <w:color w:val="auto"/>
              </w:rPr>
              <w:t>4.8</w:t>
            </w:r>
          </w:p>
        </w:tc>
        <w:tc>
          <w:tcPr>
            <w:tcW w:w="1080" w:type="dxa"/>
            <w:vAlign w:val="bottom"/>
          </w:tcPr>
          <w:p>
            <w:pPr>
              <w:spacing w:after="0"/>
              <w:rPr>
                <w:sz w:val="22"/>
                <w:szCs w:val="22"/>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Business Financing Agreement by and between Bridge Bank,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National Association and Fluidigm Corporation, dated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December 16, 2010.</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4.8A</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Business Financing Modification Agreement dated March 31,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2011, by and between Bridge Bank, National Association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4.8B</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5"/>
              </w:rPr>
              <w:t>Business Financing Modification Agreement dated December 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2012, by and between Bridge Bank, National Association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4.8C</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9"/>
              </w:rPr>
              <w:t>Business Financing Modification Agreement dated January 29,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2014, by and between Bridge Bank, National Association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4.8D</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7"/>
              </w:rPr>
              <w:t>Business Financing Modification Agreement dated May 9, 2014,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7"/>
              </w:rPr>
              <w:t>by and between Bridge Bank, National Association and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56"/>
        </w:trPr>
        <w:tc>
          <w:tcPr>
            <w:tcW w:w="1580" w:type="dxa"/>
            <w:vAlign w:val="bottom"/>
            <w:gridSpan w:val="2"/>
          </w:tcPr>
          <w:p>
            <w:pPr>
              <w:ind w:left="140"/>
              <w:spacing w:after="0"/>
              <w:rPr>
                <w:sz w:val="20"/>
                <w:szCs w:val="20"/>
                <w:color w:val="auto"/>
              </w:rPr>
            </w:pPr>
            <w:r>
              <w:rPr>
                <w:rFonts w:ascii="Arial" w:cs="Arial" w:eastAsia="Arial" w:hAnsi="Arial"/>
                <w:sz w:val="18"/>
                <w:szCs w:val="18"/>
                <w:color w:val="auto"/>
              </w:rPr>
              <w:t>4.8E</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5"/>
              </w:rPr>
              <w:t>Business Financing Modification Agreement dated July 31, 2014,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7"/>
              </w:rPr>
              <w:t>by and between Bridge Bank, National Association and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472"/>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Form of Indemnification Agreement between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Corporation and its directors and officers.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1999 Stock Option Plan of Fluidigm Corporation, as amended.</w:t>
            </w:r>
          </w:p>
        </w:tc>
        <w:tc>
          <w:tcPr>
            <w:tcW w:w="0" w:type="dxa"/>
            <w:vAlign w:val="bottom"/>
          </w:tcPr>
          <w:p>
            <w:pPr>
              <w:spacing w:after="0"/>
              <w:rPr>
                <w:sz w:val="1"/>
                <w:szCs w:val="1"/>
                <w:color w:val="auto"/>
              </w:rPr>
            </w:pPr>
          </w:p>
        </w:tc>
      </w:tr>
      <w:tr>
        <w:trPr>
          <w:trHeight w:val="270"/>
        </w:trPr>
        <w:tc>
          <w:tcPr>
            <w:tcW w:w="1580" w:type="dxa"/>
            <w:vAlign w:val="bottom"/>
            <w:gridSpan w:val="2"/>
          </w:tcPr>
          <w:p>
            <w:pPr>
              <w:spacing w:after="0"/>
              <w:rPr>
                <w:sz w:val="20"/>
                <w:szCs w:val="20"/>
                <w:color w:val="auto"/>
              </w:rPr>
            </w:pPr>
            <w:r>
              <w:rPr>
                <w:rFonts w:ascii="Arial" w:cs="Arial" w:eastAsia="Arial" w:hAnsi="Arial"/>
                <w:sz w:val="18"/>
                <w:szCs w:val="18"/>
                <w:color w:val="auto"/>
              </w:rPr>
              <w:t>10.2A#</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5"/>
              </w:rPr>
              <w:t>2009 Equity Incentive Plan of Fluidigm Corporation, as amended.</w:t>
            </w:r>
          </w:p>
        </w:tc>
        <w:tc>
          <w:tcPr>
            <w:tcW w:w="0" w:type="dxa"/>
            <w:vAlign w:val="bottom"/>
          </w:tcPr>
          <w:p>
            <w:pPr>
              <w:spacing w:after="0"/>
              <w:rPr>
                <w:sz w:val="1"/>
                <w:szCs w:val="1"/>
                <w:color w:val="auto"/>
              </w:rPr>
            </w:pPr>
          </w:p>
        </w:tc>
      </w:tr>
      <w:tr>
        <w:trPr>
          <w:trHeight w:val="270"/>
        </w:trPr>
        <w:tc>
          <w:tcPr>
            <w:tcW w:w="1580" w:type="dxa"/>
            <w:vAlign w:val="bottom"/>
            <w:gridSpan w:val="2"/>
          </w:tcPr>
          <w:p>
            <w:pPr>
              <w:spacing w:after="0"/>
              <w:rPr>
                <w:sz w:val="20"/>
                <w:szCs w:val="20"/>
                <w:color w:val="auto"/>
              </w:rPr>
            </w:pPr>
            <w:r>
              <w:rPr>
                <w:rFonts w:ascii="Arial" w:cs="Arial" w:eastAsia="Arial" w:hAnsi="Arial"/>
                <w:sz w:val="18"/>
                <w:szCs w:val="18"/>
                <w:color w:val="auto"/>
              </w:rPr>
              <w:t>10.3A#</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3"/>
                <w:szCs w:val="23"/>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2011 Equity Incentive Plan of Fluidigm Corporation.</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00" w:type="dxa"/>
            <w:vAlign w:val="bottom"/>
          </w:tcPr>
          <w:p>
            <w:pPr>
              <w:ind w:left="400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1/29/2014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2/7/2011</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97"/>
              </w:rPr>
              <w:t>S-1/A</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9"/>
              </w:rPr>
              <w:t>1/28/2011</w:t>
            </w:r>
          </w:p>
        </w:tc>
      </w:tr>
      <w:tr>
        <w:trPr>
          <w:trHeight w:val="702"/>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7"/>
              </w:rPr>
              <w:t>4.8A</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91"/>
              </w:rPr>
              <w:t>4/4/2011</w:t>
            </w:r>
          </w:p>
        </w:tc>
      </w:tr>
      <w:tr>
        <w:trPr>
          <w:trHeight w:val="702"/>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4.8B</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0"/>
              </w:rPr>
              <w:t>12/27/2012</w:t>
            </w:r>
          </w:p>
        </w:tc>
      </w:tr>
      <w:tr>
        <w:trPr>
          <w:trHeight w:val="702"/>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9"/>
              </w:rPr>
              <w:t>1/29/2014</w:t>
            </w:r>
          </w:p>
        </w:tc>
      </w:tr>
      <w:tr>
        <w:trPr>
          <w:trHeight w:val="702"/>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89"/>
              </w:rPr>
              <w:t>10-Q</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10.5</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9"/>
              </w:rPr>
              <w:t>5/12/2014</w:t>
            </w:r>
          </w:p>
        </w:tc>
      </w:tr>
      <w:tr>
        <w:trPr>
          <w:trHeight w:val="702"/>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89"/>
              </w:rPr>
              <w:t>10-Q</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91"/>
              </w:rPr>
              <w:t>8/4/2014</w:t>
            </w:r>
          </w:p>
        </w:tc>
      </w:tr>
      <w:tr>
        <w:trPr>
          <w:trHeight w:val="918"/>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97"/>
              </w:rPr>
              <w:t>S-1/A</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9"/>
              </w:rPr>
              <w:t>1/28/2011</w:t>
            </w:r>
          </w:p>
        </w:tc>
      </w:tr>
      <w:tr>
        <w:trPr>
          <w:trHeight w:val="486"/>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9"/>
              </w:rPr>
              <w:t>12/3/2010</w:t>
            </w:r>
          </w:p>
        </w:tc>
      </w:tr>
      <w:tr>
        <w:trPr>
          <w:trHeight w:val="270"/>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3"/>
              </w:rPr>
              <w:t>10.2A</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9"/>
              </w:rPr>
              <w:t>12/3/2010</w:t>
            </w:r>
          </w:p>
        </w:tc>
      </w:tr>
      <w:tr>
        <w:trPr>
          <w:trHeight w:val="270"/>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10.3</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9"/>
              </w:rPr>
              <w:t>12/3/2010</w:t>
            </w:r>
          </w:p>
        </w:tc>
      </w:tr>
      <w:tr>
        <w:trPr>
          <w:trHeight w:val="270"/>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3"/>
              </w:rPr>
              <w:t>10.3A</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9"/>
              </w:rPr>
              <w:t>12/3/2010</w:t>
            </w:r>
          </w:p>
        </w:tc>
      </w:tr>
      <w:tr>
        <w:trPr>
          <w:trHeight w:val="270"/>
        </w:trPr>
        <w:tc>
          <w:tcPr>
            <w:tcW w:w="1040" w:type="dxa"/>
            <w:vAlign w:val="bottom"/>
          </w:tcPr>
          <w:p>
            <w:pPr>
              <w:jc w:val="center"/>
              <w:ind w:right="510"/>
              <w:spacing w:after="0"/>
              <w:rPr>
                <w:sz w:val="20"/>
                <w:szCs w:val="20"/>
                <w:color w:val="auto"/>
              </w:rPr>
            </w:pPr>
            <w:r>
              <w:rPr>
                <w:rFonts w:ascii="Arial" w:cs="Arial" w:eastAsia="Arial" w:hAnsi="Arial"/>
                <w:sz w:val="18"/>
                <w:szCs w:val="18"/>
                <w:color w:val="auto"/>
                <w:w w:val="97"/>
              </w:rPr>
              <w:t>S-1/A</w:t>
            </w:r>
          </w:p>
        </w:tc>
        <w:tc>
          <w:tcPr>
            <w:tcW w:w="1540" w:type="dxa"/>
            <w:vAlign w:val="bottom"/>
          </w:tcPr>
          <w:p>
            <w:pPr>
              <w:jc w:val="center"/>
              <w:ind w:left="10"/>
              <w:spacing w:after="0"/>
              <w:rPr>
                <w:sz w:val="20"/>
                <w:szCs w:val="20"/>
                <w:color w:val="auto"/>
              </w:rPr>
            </w:pPr>
            <w:r>
              <w:rPr>
                <w:rFonts w:ascii="Arial" w:cs="Arial" w:eastAsia="Arial" w:hAnsi="Arial"/>
                <w:sz w:val="18"/>
                <w:szCs w:val="18"/>
                <w:color w:val="auto"/>
                <w:w w:val="91"/>
              </w:rPr>
              <w:t>10.4</w:t>
            </w:r>
          </w:p>
        </w:tc>
        <w:tc>
          <w:tcPr>
            <w:tcW w:w="1320" w:type="dxa"/>
            <w:vAlign w:val="bottom"/>
          </w:tcPr>
          <w:p>
            <w:pPr>
              <w:jc w:val="center"/>
              <w:ind w:left="430"/>
              <w:spacing w:after="0"/>
              <w:rPr>
                <w:sz w:val="20"/>
                <w:szCs w:val="20"/>
                <w:color w:val="auto"/>
              </w:rPr>
            </w:pPr>
            <w:r>
              <w:rPr>
                <w:rFonts w:ascii="Arial" w:cs="Arial" w:eastAsia="Arial" w:hAnsi="Arial"/>
                <w:sz w:val="18"/>
                <w:szCs w:val="18"/>
                <w:color w:val="auto"/>
                <w:w w:val="89"/>
              </w:rPr>
              <w:t>1/28/2011</w:t>
            </w:r>
          </w:p>
        </w:tc>
      </w:tr>
    </w:tbl>
    <w:p>
      <w:pPr>
        <w:sectPr>
          <w:pgSz w:w="11900" w:h="16838" w:orient="portrait"/>
          <w:cols w:equalWidth="0" w:num="2">
            <w:col w:w="6580" w:space="20"/>
            <w:col w:w="4760"/>
          </w:cols>
          <w:pgMar w:left="280" w:top="742" w:right="259" w:bottom="1440" w:gutter="0" w:footer="0" w:header="0"/>
        </w:sectPr>
      </w:pPr>
    </w:p>
    <w:bookmarkStart w:id="99" w:name="page100"/>
    <w:bookmarkEnd w:id="99"/>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86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6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680" w:type="dxa"/>
            <w:vAlign w:val="bottom"/>
            <w:gridSpan w:val="2"/>
            <w:vMerge w:val="restart"/>
          </w:tcPr>
          <w:p>
            <w:pPr>
              <w:spacing w:after="0"/>
              <w:rPr>
                <w:sz w:val="20"/>
                <w:szCs w:val="20"/>
                <w:color w:val="auto"/>
              </w:rPr>
            </w:pPr>
            <w:r>
              <w:rPr>
                <w:rFonts w:ascii="Arial" w:cs="Arial" w:eastAsia="Arial" w:hAnsi="Arial"/>
                <w:sz w:val="18"/>
                <w:szCs w:val="18"/>
                <w:color w:val="auto"/>
              </w:rPr>
              <w:t>10.4A#</w:t>
            </w:r>
          </w:p>
        </w:tc>
        <w:tc>
          <w:tcPr>
            <w:tcW w:w="4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680" w:type="dxa"/>
            <w:vAlign w:val="bottom"/>
            <w:gridSpan w:val="2"/>
            <w:vMerge w:val="continue"/>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10.5†</w:t>
            </w:r>
          </w:p>
        </w:tc>
        <w:tc>
          <w:tcPr>
            <w:tcW w:w="4860" w:type="dxa"/>
            <w:vAlign w:val="bottom"/>
          </w:tcPr>
          <w:p>
            <w:pPr>
              <w:ind w:left="40"/>
              <w:spacing w:after="0"/>
              <w:rPr>
                <w:sz w:val="20"/>
                <w:szCs w:val="20"/>
                <w:color w:val="auto"/>
              </w:rPr>
            </w:pPr>
            <w:r>
              <w:rPr>
                <w:rFonts w:ascii="Arial" w:cs="Arial" w:eastAsia="Arial" w:hAnsi="Arial"/>
                <w:sz w:val="18"/>
                <w:szCs w:val="18"/>
                <w:color w:val="auto"/>
              </w:rPr>
              <w:t>Second Amended and Restated License Agreement by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between California Institute of Technology and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Corporation, effective as of May 1, 2004.</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10.5A†</w:t>
            </w:r>
          </w:p>
        </w:tc>
        <w:tc>
          <w:tcPr>
            <w:tcW w:w="4860" w:type="dxa"/>
            <w:vAlign w:val="bottom"/>
          </w:tcPr>
          <w:p>
            <w:pPr>
              <w:ind w:left="40"/>
              <w:spacing w:after="0"/>
              <w:rPr>
                <w:sz w:val="20"/>
                <w:szCs w:val="20"/>
                <w:color w:val="auto"/>
              </w:rPr>
            </w:pPr>
            <w:r>
              <w:rPr>
                <w:rFonts w:ascii="Arial" w:cs="Arial" w:eastAsia="Arial" w:hAnsi="Arial"/>
                <w:sz w:val="18"/>
                <w:szCs w:val="18"/>
                <w:color w:val="auto"/>
              </w:rPr>
              <w:t>First Addendum, effective as of March 29, 2007, to Second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9"/>
              </w:rPr>
              <w:t>Amended and Restated License Agreement by and between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California Institute of Technology and Fluidigm Corporation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effective as of May 1, 2004.</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10.6†</w:t>
            </w:r>
          </w:p>
        </w:tc>
        <w:tc>
          <w:tcPr>
            <w:tcW w:w="4860" w:type="dxa"/>
            <w:vAlign w:val="bottom"/>
          </w:tcPr>
          <w:p>
            <w:pPr>
              <w:ind w:left="40"/>
              <w:spacing w:after="0"/>
              <w:rPr>
                <w:sz w:val="20"/>
                <w:szCs w:val="20"/>
                <w:color w:val="auto"/>
              </w:rPr>
            </w:pPr>
            <w:r>
              <w:rPr>
                <w:rFonts w:ascii="Arial" w:cs="Arial" w:eastAsia="Arial" w:hAnsi="Arial"/>
                <w:sz w:val="18"/>
                <w:szCs w:val="18"/>
                <w:color w:val="auto"/>
                <w:w w:val="92"/>
              </w:rPr>
              <w:t>Co-Exclusive License Agreement between President and Fellows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of Harvard College and Fluidigm Corporation effective as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10.6A†</w:t>
            </w:r>
          </w:p>
        </w:tc>
        <w:tc>
          <w:tcPr>
            <w:tcW w:w="4860" w:type="dxa"/>
            <w:vAlign w:val="bottom"/>
          </w:tcPr>
          <w:p>
            <w:pPr>
              <w:ind w:left="40"/>
              <w:spacing w:after="0"/>
              <w:rPr>
                <w:sz w:val="20"/>
                <w:szCs w:val="20"/>
                <w:color w:val="auto"/>
              </w:rPr>
            </w:pPr>
            <w:r>
              <w:rPr>
                <w:rFonts w:ascii="Arial" w:cs="Arial" w:eastAsia="Arial" w:hAnsi="Arial"/>
                <w:sz w:val="18"/>
                <w:szCs w:val="18"/>
                <w:color w:val="auto"/>
                <w:w w:val="95"/>
              </w:rPr>
              <w:t>First Amendment to Co-Exclusive License Agreement between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President and Fellows of Harvard College and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Corporation effective as of October 15, 2000.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10.7†</w:t>
            </w:r>
          </w:p>
        </w:tc>
        <w:tc>
          <w:tcPr>
            <w:tcW w:w="4860" w:type="dxa"/>
            <w:vAlign w:val="bottom"/>
          </w:tcPr>
          <w:p>
            <w:pPr>
              <w:ind w:left="40"/>
              <w:spacing w:after="0"/>
              <w:rPr>
                <w:sz w:val="20"/>
                <w:szCs w:val="20"/>
                <w:color w:val="auto"/>
              </w:rPr>
            </w:pPr>
            <w:r>
              <w:rPr>
                <w:rFonts w:ascii="Arial" w:cs="Arial" w:eastAsia="Arial" w:hAnsi="Arial"/>
                <w:sz w:val="18"/>
                <w:szCs w:val="18"/>
                <w:color w:val="auto"/>
                <w:w w:val="92"/>
              </w:rPr>
              <w:t>Co-Exclusive License Agreement between President and Fellows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of Harvard College and Fluidigm Corporation effective as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10.8†</w:t>
            </w:r>
          </w:p>
        </w:tc>
        <w:tc>
          <w:tcPr>
            <w:tcW w:w="4860" w:type="dxa"/>
            <w:vAlign w:val="bottom"/>
          </w:tcPr>
          <w:p>
            <w:pPr>
              <w:ind w:left="40"/>
              <w:spacing w:after="0"/>
              <w:rPr>
                <w:sz w:val="20"/>
                <w:szCs w:val="20"/>
                <w:color w:val="auto"/>
              </w:rPr>
            </w:pPr>
            <w:r>
              <w:rPr>
                <w:rFonts w:ascii="Arial" w:cs="Arial" w:eastAsia="Arial" w:hAnsi="Arial"/>
                <w:sz w:val="18"/>
                <w:szCs w:val="18"/>
                <w:color w:val="auto"/>
                <w:w w:val="92"/>
              </w:rPr>
              <w:t>Co-Exclusive License Agreement between President and Fellows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of Harvard College and Fluidigm Corporation effective as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10.9†</w:t>
            </w:r>
          </w:p>
        </w:tc>
        <w:tc>
          <w:tcPr>
            <w:tcW w:w="4860" w:type="dxa"/>
            <w:vAlign w:val="bottom"/>
          </w:tcPr>
          <w:p>
            <w:pPr>
              <w:ind w:left="40"/>
              <w:spacing w:after="0"/>
              <w:rPr>
                <w:sz w:val="20"/>
                <w:szCs w:val="20"/>
                <w:color w:val="auto"/>
              </w:rPr>
            </w:pPr>
            <w:r>
              <w:rPr>
                <w:rFonts w:ascii="Arial" w:cs="Arial" w:eastAsia="Arial" w:hAnsi="Arial"/>
                <w:sz w:val="18"/>
                <w:szCs w:val="18"/>
                <w:color w:val="auto"/>
                <w:w w:val="99"/>
              </w:rPr>
              <w:t>Letter Agreement between President and Fellows of Harvard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8"/>
              </w:rPr>
              <w:t>College and Fluidigm Corporation dated December 22, 2004.</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8"/>
              </w:rPr>
              <w:t>Form of Amended and Restated Employment and Severance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Agreement between Fluidigm Corporation and each of its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executive officers.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10.18#</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3"/>
              </w:rPr>
              <w:t>Offer Letter dated May 3, 2010 to Fredric Walder and Addendum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thereto dated November 8, 2010.</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2"/>
              </w:rPr>
              <w:t>Lease Agreement between ARE - San Francisco No. 17 LLC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6"/>
              </w:rPr>
              <w:t>Fluidigm Corporation, dated September 14, 2010, as amended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September 22, 2010.</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10.19A</w:t>
            </w:r>
          </w:p>
        </w:tc>
        <w:tc>
          <w:tcPr>
            <w:tcW w:w="4860" w:type="dxa"/>
            <w:vAlign w:val="bottom"/>
          </w:tcPr>
          <w:p>
            <w:pPr>
              <w:ind w:left="40"/>
              <w:spacing w:after="0"/>
              <w:rPr>
                <w:sz w:val="20"/>
                <w:szCs w:val="20"/>
                <w:color w:val="auto"/>
              </w:rPr>
            </w:pPr>
            <w:r>
              <w:rPr>
                <w:rFonts w:ascii="Arial" w:cs="Arial" w:eastAsia="Arial" w:hAnsi="Arial"/>
                <w:sz w:val="18"/>
                <w:szCs w:val="18"/>
                <w:color w:val="auto"/>
                <w:w w:val="99"/>
              </w:rPr>
              <w:t>Second Amendment to Lease Agreement between ARE-San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5"/>
              </w:rPr>
              <w:t>Francisco No. 17, LLC and Fluidigm Corporation, dated April 9,</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10.19B</w:t>
            </w:r>
          </w:p>
        </w:tc>
        <w:tc>
          <w:tcPr>
            <w:tcW w:w="4860" w:type="dxa"/>
            <w:vAlign w:val="bottom"/>
          </w:tcPr>
          <w:p>
            <w:pPr>
              <w:ind w:left="40"/>
              <w:spacing w:after="0"/>
              <w:rPr>
                <w:sz w:val="20"/>
                <w:szCs w:val="20"/>
                <w:color w:val="auto"/>
              </w:rPr>
            </w:pPr>
            <w:r>
              <w:rPr>
                <w:rFonts w:ascii="Arial" w:cs="Arial" w:eastAsia="Arial" w:hAnsi="Arial"/>
                <w:sz w:val="18"/>
                <w:szCs w:val="18"/>
                <w:color w:val="auto"/>
              </w:rPr>
              <w:t>Fourth Amendment to Lease Agreement between ARE-San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4"/>
              </w:rPr>
              <w:t>Francisco No. 17, LLC and Fluidigm Corporation, dated June 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10.19C</w:t>
            </w:r>
          </w:p>
        </w:tc>
        <w:tc>
          <w:tcPr>
            <w:tcW w:w="4860" w:type="dxa"/>
            <w:vAlign w:val="bottom"/>
          </w:tcPr>
          <w:p>
            <w:pPr>
              <w:ind w:left="40"/>
              <w:spacing w:after="0"/>
              <w:rPr>
                <w:sz w:val="20"/>
                <w:szCs w:val="20"/>
                <w:color w:val="auto"/>
              </w:rPr>
            </w:pPr>
            <w:r>
              <w:rPr>
                <w:rFonts w:ascii="Arial" w:cs="Arial" w:eastAsia="Arial" w:hAnsi="Arial"/>
                <w:sz w:val="18"/>
                <w:szCs w:val="18"/>
                <w:color w:val="auto"/>
              </w:rPr>
              <w:t>Fifth Amendment to Lease Agreement between ARE-San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Francisco No. 17, LLC and Fluidigm Corporation, dated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September 15, 2014.</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10.19D</w:t>
            </w:r>
          </w:p>
        </w:tc>
        <w:tc>
          <w:tcPr>
            <w:tcW w:w="4860" w:type="dxa"/>
            <w:vAlign w:val="bottom"/>
          </w:tcPr>
          <w:p>
            <w:pPr>
              <w:ind w:left="40"/>
              <w:spacing w:after="0"/>
              <w:rPr>
                <w:sz w:val="20"/>
                <w:szCs w:val="20"/>
                <w:color w:val="auto"/>
              </w:rPr>
            </w:pPr>
            <w:r>
              <w:rPr>
                <w:rFonts w:ascii="Arial" w:cs="Arial" w:eastAsia="Arial" w:hAnsi="Arial"/>
                <w:sz w:val="18"/>
                <w:szCs w:val="18"/>
                <w:color w:val="auto"/>
              </w:rPr>
              <w:t>Sixth Amendment to Lease Agreement between ARE-San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Francisco No. 17, LLC and Fluidigm Corporation, dated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December 8,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by Reference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From Exhibit</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Filed</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10.4A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270"/>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10.5A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918"/>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10.6A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0"/>
        <w:spacing w:after="0"/>
        <w:tabs>
          <w:tab w:leader="none" w:pos="2120" w:val="left"/>
          <w:tab w:leader="none" w:pos="35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12/11/2012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85"/>
              </w:rPr>
              <w:t>S-1</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3"/>
              </w:rPr>
              <w:t>10.17</w:t>
            </w:r>
          </w:p>
        </w:tc>
        <w:tc>
          <w:tcPr>
            <w:tcW w:w="1280" w:type="dxa"/>
            <w:vAlign w:val="bottom"/>
          </w:tcPr>
          <w:p>
            <w:pPr>
              <w:jc w:val="center"/>
              <w:ind w:left="350"/>
              <w:spacing w:after="0"/>
              <w:rPr>
                <w:sz w:val="20"/>
                <w:szCs w:val="20"/>
                <w:color w:val="auto"/>
              </w:rPr>
            </w:pPr>
            <w:r>
              <w:rPr>
                <w:rFonts w:ascii="Arial" w:cs="Arial" w:eastAsia="Arial" w:hAnsi="Arial"/>
                <w:sz w:val="18"/>
                <w:szCs w:val="18"/>
                <w:color w:val="auto"/>
                <w:w w:val="89"/>
              </w:rPr>
              <w:t>12/3/2010</w:t>
            </w:r>
          </w:p>
        </w:tc>
      </w:tr>
      <w:tr>
        <w:trPr>
          <w:trHeight w:val="270"/>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3"/>
              </w:rPr>
              <w:t>10.18</w:t>
            </w:r>
          </w:p>
        </w:tc>
        <w:tc>
          <w:tcPr>
            <w:tcW w:w="1280" w:type="dxa"/>
            <w:vAlign w:val="bottom"/>
          </w:tcPr>
          <w:p>
            <w:pPr>
              <w:jc w:val="center"/>
              <w:ind w:left="350"/>
              <w:spacing w:after="0"/>
              <w:rPr>
                <w:sz w:val="20"/>
                <w:szCs w:val="20"/>
                <w:color w:val="auto"/>
              </w:rPr>
            </w:pPr>
            <w:r>
              <w:rPr>
                <w:rFonts w:ascii="Arial" w:cs="Arial" w:eastAsia="Arial" w:hAnsi="Arial"/>
                <w:sz w:val="18"/>
                <w:szCs w:val="18"/>
                <w:color w:val="auto"/>
                <w:w w:val="91"/>
              </w:rPr>
              <w:t>4/4/2011</w:t>
            </w:r>
          </w:p>
        </w:tc>
      </w:tr>
      <w:tr>
        <w:trPr>
          <w:trHeight w:val="486"/>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97"/>
              </w:rPr>
              <w:t>S-1/A</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3"/>
              </w:rPr>
              <w:t>10.19</w:t>
            </w:r>
          </w:p>
        </w:tc>
        <w:tc>
          <w:tcPr>
            <w:tcW w:w="1280" w:type="dxa"/>
            <w:vAlign w:val="bottom"/>
          </w:tcPr>
          <w:p>
            <w:pPr>
              <w:jc w:val="center"/>
              <w:ind w:left="350"/>
              <w:spacing w:after="0"/>
              <w:rPr>
                <w:sz w:val="20"/>
                <w:szCs w:val="20"/>
                <w:color w:val="auto"/>
              </w:rPr>
            </w:pPr>
            <w:r>
              <w:rPr>
                <w:rFonts w:ascii="Arial" w:cs="Arial" w:eastAsia="Arial" w:hAnsi="Arial"/>
                <w:sz w:val="18"/>
                <w:szCs w:val="18"/>
                <w:color w:val="auto"/>
                <w:w w:val="91"/>
              </w:rPr>
              <w:t>1/7/2011</w:t>
            </w:r>
          </w:p>
        </w:tc>
      </w:tr>
      <w:tr>
        <w:trPr>
          <w:trHeight w:val="702"/>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4"/>
              </w:rPr>
              <w:t>10.19A</w:t>
            </w:r>
          </w:p>
        </w:tc>
        <w:tc>
          <w:tcPr>
            <w:tcW w:w="1280" w:type="dxa"/>
            <w:vAlign w:val="bottom"/>
          </w:tcPr>
          <w:p>
            <w:pPr>
              <w:jc w:val="center"/>
              <w:ind w:left="350"/>
              <w:spacing w:after="0"/>
              <w:rPr>
                <w:sz w:val="20"/>
                <w:szCs w:val="20"/>
                <w:color w:val="auto"/>
              </w:rPr>
            </w:pPr>
            <w:r>
              <w:rPr>
                <w:rFonts w:ascii="Arial" w:cs="Arial" w:eastAsia="Arial" w:hAnsi="Arial"/>
                <w:sz w:val="18"/>
                <w:szCs w:val="18"/>
                <w:color w:val="auto"/>
                <w:w w:val="91"/>
              </w:rPr>
              <w:t>5/9/2013</w:t>
            </w:r>
          </w:p>
        </w:tc>
      </w:tr>
      <w:tr>
        <w:trPr>
          <w:trHeight w:val="702"/>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85"/>
              </w:rPr>
              <w:t>10.3</w:t>
            </w:r>
          </w:p>
        </w:tc>
        <w:tc>
          <w:tcPr>
            <w:tcW w:w="1280" w:type="dxa"/>
            <w:vAlign w:val="bottom"/>
          </w:tcPr>
          <w:p>
            <w:pPr>
              <w:jc w:val="center"/>
              <w:ind w:left="350"/>
              <w:spacing w:after="0"/>
              <w:rPr>
                <w:sz w:val="20"/>
                <w:szCs w:val="20"/>
                <w:color w:val="auto"/>
              </w:rPr>
            </w:pPr>
            <w:r>
              <w:rPr>
                <w:rFonts w:ascii="Arial" w:cs="Arial" w:eastAsia="Arial" w:hAnsi="Arial"/>
                <w:sz w:val="18"/>
                <w:szCs w:val="18"/>
                <w:color w:val="auto"/>
                <w:w w:val="91"/>
              </w:rPr>
              <w:t>8/4/2014</w:t>
            </w:r>
          </w:p>
        </w:tc>
      </w:tr>
      <w:tr>
        <w:trPr>
          <w:trHeight w:val="702"/>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89"/>
              </w:rPr>
              <w:t>10-Q</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85"/>
              </w:rPr>
              <w:t>10.2</w:t>
            </w:r>
          </w:p>
        </w:tc>
        <w:tc>
          <w:tcPr>
            <w:tcW w:w="1280" w:type="dxa"/>
            <w:vAlign w:val="bottom"/>
          </w:tcPr>
          <w:p>
            <w:pPr>
              <w:jc w:val="center"/>
              <w:ind w:left="350"/>
              <w:spacing w:after="0"/>
              <w:rPr>
                <w:sz w:val="20"/>
                <w:szCs w:val="20"/>
                <w:color w:val="auto"/>
              </w:rPr>
            </w:pPr>
            <w:r>
              <w:rPr>
                <w:rFonts w:ascii="Arial" w:cs="Arial" w:eastAsia="Arial" w:hAnsi="Arial"/>
                <w:sz w:val="18"/>
                <w:szCs w:val="18"/>
                <w:color w:val="auto"/>
                <w:w w:val="89"/>
              </w:rPr>
              <w:t>11/6/2014</w:t>
            </w:r>
          </w:p>
        </w:tc>
      </w:tr>
      <w:tr>
        <w:trPr>
          <w:trHeight w:val="702"/>
        </w:trPr>
        <w:tc>
          <w:tcPr>
            <w:tcW w:w="1000" w:type="dxa"/>
            <w:vAlign w:val="bottom"/>
          </w:tcPr>
          <w:p>
            <w:pPr>
              <w:jc w:val="center"/>
              <w:ind w:right="470"/>
              <w:spacing w:after="0"/>
              <w:rPr>
                <w:sz w:val="20"/>
                <w:szCs w:val="20"/>
                <w:color w:val="auto"/>
              </w:rPr>
            </w:pPr>
            <w:r>
              <w:rPr>
                <w:rFonts w:ascii="Arial" w:cs="Arial" w:eastAsia="Arial" w:hAnsi="Arial"/>
                <w:sz w:val="18"/>
                <w:szCs w:val="18"/>
                <w:color w:val="auto"/>
                <w:w w:val="99"/>
              </w:rPr>
              <w:t>8-K</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85"/>
              </w:rPr>
              <w:t>10.1</w:t>
            </w:r>
          </w:p>
        </w:tc>
        <w:tc>
          <w:tcPr>
            <w:tcW w:w="1280" w:type="dxa"/>
            <w:vAlign w:val="bottom"/>
          </w:tcPr>
          <w:p>
            <w:pPr>
              <w:jc w:val="center"/>
              <w:ind w:left="370"/>
              <w:spacing w:after="0"/>
              <w:rPr>
                <w:sz w:val="20"/>
                <w:szCs w:val="20"/>
                <w:color w:val="auto"/>
              </w:rPr>
            </w:pPr>
            <w:r>
              <w:rPr>
                <w:rFonts w:ascii="Arial" w:cs="Arial" w:eastAsia="Arial" w:hAnsi="Arial"/>
                <w:sz w:val="18"/>
                <w:szCs w:val="18"/>
                <w:color w:val="auto"/>
                <w:w w:val="90"/>
              </w:rPr>
              <w:t>12/14/2015</w:t>
            </w:r>
          </w:p>
        </w:tc>
      </w:tr>
    </w:tbl>
    <w:p>
      <w:pPr>
        <w:spacing w:after="0" w:line="632" w:lineRule="exact"/>
        <w:rPr>
          <w:sz w:val="20"/>
          <w:szCs w:val="20"/>
          <w:color w:val="auto"/>
        </w:rPr>
      </w:pPr>
    </w:p>
    <w:p>
      <w:pPr>
        <w:sectPr>
          <w:pgSz w:w="11900" w:h="16838" w:orient="portrait"/>
          <w:cols w:equalWidth="0" w:num="2">
            <w:col w:w="6540" w:space="120"/>
            <w:col w:w="4600"/>
          </w:cols>
          <w:pgMar w:left="280" w:top="888" w:right="359" w:bottom="1440" w:gutter="0" w:footer="0" w:header="0"/>
        </w:sectPr>
      </w:pP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60"/>
          </w:cols>
          <w:pgMar w:left="280" w:top="888" w:right="359" w:bottom="1440" w:gutter="0" w:footer="0" w:header="0"/>
          <w:type w:val="continuous"/>
        </w:sectPr>
      </w:pPr>
    </w:p>
    <w:bookmarkStart w:id="100" w:name="page101"/>
    <w:bookmarkEnd w:id="100"/>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86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6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10.20</w:t>
            </w:r>
          </w:p>
        </w:tc>
        <w:tc>
          <w:tcPr>
            <w:tcW w:w="118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5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7"/>
              </w:rPr>
              <w:t>Tenancy for Flatted Factory Space in Singapore between JTC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7"/>
              </w:rPr>
              <w:t>Corporation and Fluidigm Corporation dated July 27, 2005, 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amended August 12, 2008 and May 31, 2010.</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4"/>
              </w:rPr>
              <w:t>Offer of Tenancy for Facility Lease between Fluidigm Singapore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Pte. Ltd. and SBC Institutional Trust Services (Singapore)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8"/>
              </w:rPr>
              <w:t>Limited, as trustee of Ascendas Real Estate Investment Trust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dated October 14, 2013.</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9"/>
              </w:rPr>
              <w:t>Offer of Tenancy for Lease of Additional Space at Singapore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Facility between Fluidigm Singapore Pte. Ltd. and HSBC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9"/>
              </w:rPr>
              <w:t>Institutional Trust Services (Singapore) Limited, as trustee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9"/>
              </w:rPr>
              <w:t>Ascendas Real Estate Investment Trust, dated April 2, 2015.</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10.23†</w:t>
            </w:r>
          </w:p>
        </w:tc>
        <w:tc>
          <w:tcPr>
            <w:tcW w:w="4860" w:type="dxa"/>
            <w:vAlign w:val="bottom"/>
          </w:tcPr>
          <w:p>
            <w:pPr>
              <w:ind w:left="40"/>
              <w:spacing w:after="0"/>
              <w:rPr>
                <w:sz w:val="20"/>
                <w:szCs w:val="20"/>
                <w:color w:val="auto"/>
              </w:rPr>
            </w:pPr>
            <w:r>
              <w:rPr>
                <w:rFonts w:ascii="Arial" w:cs="Arial" w:eastAsia="Arial" w:hAnsi="Arial"/>
                <w:sz w:val="18"/>
                <w:szCs w:val="18"/>
                <w:color w:val="auto"/>
              </w:rPr>
              <w:t>Office Lease by and among Rodick Equities Inc.,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4"/>
              </w:rPr>
              <w:t>Canada Inc., and Fluidigm Corporation, dated August 17, 2015.</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1180" w:type="dxa"/>
            <w:vAlign w:val="bottom"/>
          </w:tcPr>
          <w:p>
            <w:pPr>
              <w:spacing w:after="0"/>
              <w:rPr>
                <w:sz w:val="24"/>
                <w:szCs w:val="24"/>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Executive Bonus Plan.</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w w:val="87"/>
              </w:rPr>
              <w:t>10.26#</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4"/>
              </w:rPr>
              <w:t>Letter Agreement between Fluidigm Corporation and William M.</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4"/>
              </w:rPr>
              <w:t>Smith, Fluidigm Corporation's Executive Vice President of Legal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Affairs and General Counsel, dated March 4, 2014.</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10.27†</w:t>
            </w:r>
          </w:p>
        </w:tc>
        <w:tc>
          <w:tcPr>
            <w:tcW w:w="4860" w:type="dxa"/>
            <w:vAlign w:val="bottom"/>
          </w:tcPr>
          <w:p>
            <w:pPr>
              <w:ind w:left="40"/>
              <w:spacing w:after="0"/>
              <w:rPr>
                <w:sz w:val="20"/>
                <w:szCs w:val="20"/>
                <w:color w:val="auto"/>
              </w:rPr>
            </w:pPr>
            <w:r>
              <w:rPr>
                <w:rFonts w:ascii="Arial" w:cs="Arial" w:eastAsia="Arial" w:hAnsi="Arial"/>
                <w:sz w:val="18"/>
                <w:szCs w:val="18"/>
                <w:color w:val="auto"/>
                <w:w w:val="98"/>
              </w:rPr>
              <w:t>License Agreement between MDS Analytical Technologies, 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6"/>
              </w:rPr>
              <w:t>business unit of MDS INC., and DVS Sciences Inc., dated July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17, 2008.</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18"/>
                <w:szCs w:val="18"/>
                <w:color w:val="auto"/>
              </w:rPr>
              <w:t>10.28†</w:t>
            </w:r>
          </w:p>
        </w:tc>
        <w:tc>
          <w:tcPr>
            <w:tcW w:w="4860" w:type="dxa"/>
            <w:vAlign w:val="bottom"/>
          </w:tcPr>
          <w:p>
            <w:pPr>
              <w:ind w:left="40"/>
              <w:spacing w:after="0"/>
              <w:rPr>
                <w:sz w:val="20"/>
                <w:szCs w:val="20"/>
                <w:color w:val="auto"/>
              </w:rPr>
            </w:pPr>
            <w:r>
              <w:rPr>
                <w:rFonts w:ascii="Arial" w:cs="Arial" w:eastAsia="Arial" w:hAnsi="Arial"/>
                <w:sz w:val="18"/>
                <w:szCs w:val="18"/>
                <w:color w:val="auto"/>
                <w:w w:val="92"/>
              </w:rPr>
              <w:t>Sublicense Agreement between DVS Sciences Inc. and Fluidigm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Corporation, dated January 28, 2014.</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4"/>
              </w:rPr>
              <w:t>Computation of ratio of earnings to combined fixed charges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preference dividends.</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1180" w:type="dxa"/>
            <w:vAlign w:val="bottom"/>
          </w:tcPr>
          <w:p>
            <w:pPr>
              <w:spacing w:after="0"/>
              <w:rPr>
                <w:sz w:val="23"/>
                <w:szCs w:val="23"/>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Subsidiaries of Fluidigm Corporation.</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0"/>
              </w:rPr>
              <w:t>Consent of PricewaterhouseCoopers LLP, Independent Registered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Public Accounting Firm.</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5"/>
              </w:rPr>
              <w:t>Consent of Ernst &amp; Young LLP, Independent Registered Public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Accounting Firm.</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Power of Attorney (contained in the signature page to this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Form 10-K).</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8"/>
              </w:rPr>
              <w:t>Certification Pursuant to 18 U.S.C. Section 1350, as Adopted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7"/>
              </w:rPr>
              <w:t>Pursuant to Section 302 of the Sarbanes-Oxley Act of 2002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8"/>
              </w:rPr>
              <w:t>Certification Pursuant to 18 U.S.C. Section 1350, as Adopted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7"/>
              </w:rPr>
              <w:t>Pursuant to Section 302 of the Sarbanes-Oxley Act of 2002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8"/>
              </w:rPr>
              <w:t>Certification Pursuant to 18 U.S.C. Section 1350, as Adopted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7"/>
              </w:rPr>
              <w:t>Pursuant to Section 906 of the Sarbanes-Oxley Act of 2002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1180" w:type="dxa"/>
            <w:vAlign w:val="bottom"/>
          </w:tcPr>
          <w:p>
            <w:pPr>
              <w:spacing w:after="0"/>
              <w:rPr>
                <w:sz w:val="22"/>
                <w:szCs w:val="22"/>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8"/>
              </w:rPr>
              <w:t>Certification Pursuant to 18 U.S.C. Section 1350, as Adopted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w w:val="97"/>
              </w:rPr>
              <w:t>Pursuant to Section 906 of the Sarbanes-Oxley Act of 2002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6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70"/>
        </w:trPr>
        <w:tc>
          <w:tcPr>
            <w:tcW w:w="16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6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6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60" w:type="dxa"/>
            <w:vAlign w:val="bottom"/>
          </w:tcPr>
          <w:p>
            <w:pPr>
              <w:ind w:left="39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by Reference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From Exhibit</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Filed</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0" w:type="dxa"/>
            <w:vAlign w:val="bottom"/>
          </w:tcPr>
          <w:p>
            <w:pPr>
              <w:spacing w:after="0"/>
              <w:rPr>
                <w:sz w:val="1"/>
                <w:szCs w:val="1"/>
                <w:color w:val="auto"/>
              </w:rPr>
            </w:pPr>
          </w:p>
        </w:tc>
      </w:tr>
      <w:tr>
        <w:trPr>
          <w:trHeight w:val="918"/>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8/10/2015</w:t>
            </w:r>
          </w:p>
        </w:tc>
        <w:tc>
          <w:tcPr>
            <w:tcW w:w="0" w:type="dxa"/>
            <w:vAlign w:val="bottom"/>
          </w:tcPr>
          <w:p>
            <w:pPr>
              <w:spacing w:after="0"/>
              <w:rPr>
                <w:sz w:val="1"/>
                <w:szCs w:val="1"/>
                <w:color w:val="auto"/>
              </w:rPr>
            </w:pPr>
          </w:p>
        </w:tc>
      </w:tr>
      <w:tr>
        <w:trPr>
          <w:trHeight w:val="918"/>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11/9/2015</w:t>
            </w:r>
          </w:p>
        </w:tc>
        <w:tc>
          <w:tcPr>
            <w:tcW w:w="0" w:type="dxa"/>
            <w:vAlign w:val="bottom"/>
          </w:tcPr>
          <w:p>
            <w:pPr>
              <w:spacing w:after="0"/>
              <w:rPr>
                <w:sz w:val="1"/>
                <w:szCs w:val="1"/>
                <w:color w:val="auto"/>
              </w:rPr>
            </w:pPr>
          </w:p>
        </w:tc>
      </w:tr>
      <w:tr>
        <w:trPr>
          <w:trHeight w:val="97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270"/>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5/12/2014</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10-Q/A</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9/15/2014</w:t>
            </w:r>
          </w:p>
        </w:tc>
        <w:tc>
          <w:tcPr>
            <w:tcW w:w="0" w:type="dxa"/>
            <w:vAlign w:val="bottom"/>
          </w:tcPr>
          <w:p>
            <w:pPr>
              <w:spacing w:after="0"/>
              <w:rPr>
                <w:sz w:val="1"/>
                <w:szCs w:val="1"/>
                <w:color w:val="auto"/>
              </w:rPr>
            </w:pPr>
          </w:p>
        </w:tc>
      </w:tr>
      <w:tr>
        <w:trPr>
          <w:trHeight w:val="702"/>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10-Q/A</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9/15/2014</w:t>
            </w:r>
          </w:p>
        </w:tc>
        <w:tc>
          <w:tcPr>
            <w:tcW w:w="0" w:type="dxa"/>
            <w:vAlign w:val="bottom"/>
          </w:tcPr>
          <w:p>
            <w:pPr>
              <w:spacing w:after="0"/>
              <w:rPr>
                <w:sz w:val="1"/>
                <w:szCs w:val="1"/>
                <w:color w:val="auto"/>
              </w:rPr>
            </w:pPr>
          </w:p>
        </w:tc>
      </w:tr>
      <w:tr>
        <w:trPr>
          <w:trHeight w:val="486"/>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2/26/2015</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540" w:space="120"/>
            <w:col w:w="4600"/>
          </w:cols>
          <w:pgMar w:left="280" w:top="888" w:right="3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by Reference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980" w:type="dxa"/>
            <w:vAlign w:val="bottom"/>
            <w:gridSpan w:val="2"/>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From Exhibit</w:t>
            </w: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58"/>
        </w:trPr>
        <w:tc>
          <w:tcPr>
            <w:tcW w:w="16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4980" w:type="dxa"/>
            <w:vAlign w:val="bottom"/>
            <w:gridSpan w:val="2"/>
            <w:vMerge w:val="continue"/>
          </w:tcPr>
          <w:p>
            <w:pPr>
              <w:spacing w:after="0"/>
              <w:rPr>
                <w:sz w:val="13"/>
                <w:szCs w:val="13"/>
                <w:color w:val="auto"/>
              </w:rPr>
            </w:pPr>
          </w:p>
        </w:tc>
        <w:tc>
          <w:tcPr>
            <w:tcW w:w="15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7"/>
              </w:rPr>
              <w:t>From Form</w:t>
            </w:r>
          </w:p>
        </w:tc>
        <w:tc>
          <w:tcPr>
            <w:tcW w:w="16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Number</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600" w:type="dxa"/>
            <w:vAlign w:val="bottom"/>
            <w:gridSpan w:val="3"/>
            <w:vMerge w:val="restart"/>
          </w:tcPr>
          <w:p>
            <w:pPr>
              <w:ind w:left="4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6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0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3"/>
                <w:szCs w:val="23"/>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Label Document</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0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3"/>
                <w:szCs w:val="23"/>
                <w:color w:val="auto"/>
              </w:rPr>
            </w:pPr>
          </w:p>
        </w:tc>
        <w:tc>
          <w:tcPr>
            <w:tcW w:w="498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Document</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Filed herewith</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27"/>
        <w:spacing w:after="0"/>
        <w:tabs>
          <w:tab w:leader="none" w:pos="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Portions of the exhibit have been omitted pursuant to an order granted by the Securities and Exchange Commission for confidential treatment.</w:t>
      </w:r>
    </w:p>
    <w:p>
      <w:pPr>
        <w:spacing w:after="0" w:line="237" w:lineRule="exact"/>
        <w:rPr>
          <w:sz w:val="20"/>
          <w:szCs w:val="20"/>
          <w:color w:val="auto"/>
        </w:rPr>
      </w:pPr>
    </w:p>
    <w:p>
      <w:pPr>
        <w:ind w:left="180" w:hanging="172"/>
        <w:spacing w:after="0" w:line="257" w:lineRule="auto"/>
        <w:tabs>
          <w:tab w:leader="none" w:pos="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Fluidigm Corporation specifically incorporates it by reference.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888" w:right="27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
        <w:spacing w:after="0"/>
        <w:rPr>
          <w:sz w:val="20"/>
          <w:szCs w:val="20"/>
          <w:color w:val="auto"/>
        </w:rPr>
      </w:pPr>
      <w:r>
        <w:rPr>
          <w:rFonts w:ascii="Arial" w:cs="Arial" w:eastAsia="Arial" w:hAnsi="Arial"/>
          <w:sz w:val="18"/>
          <w:szCs w:val="18"/>
          <w:color w:val="auto"/>
        </w:rPr>
        <w:t>(In thousands)</w:t>
      </w:r>
    </w:p>
    <w:p>
      <w:pPr>
        <w:spacing w:after="0" w:line="252" w:lineRule="exact"/>
        <w:rPr>
          <w:sz w:val="20"/>
          <w:szCs w:val="20"/>
          <w:color w:val="auto"/>
        </w:rPr>
      </w:pPr>
    </w:p>
    <w:p>
      <w:pPr>
        <w:ind w:left="32"/>
        <w:spacing w:after="0"/>
        <w:rPr>
          <w:sz w:val="20"/>
          <w:szCs w:val="20"/>
          <w:color w:val="auto"/>
        </w:rPr>
      </w:pPr>
      <w:r>
        <w:rPr>
          <w:rFonts w:ascii="Arial" w:cs="Arial" w:eastAsia="Arial" w:hAnsi="Arial"/>
          <w:sz w:val="18"/>
          <w:szCs w:val="18"/>
          <w:color w:val="auto"/>
        </w:rPr>
        <w:t>Earnings:</w:t>
      </w:r>
    </w:p>
    <w:p>
      <w:pPr>
        <w:spacing w:after="0" w:line="252" w:lineRule="exact"/>
        <w:rPr>
          <w:sz w:val="20"/>
          <w:szCs w:val="20"/>
          <w:color w:val="auto"/>
        </w:rPr>
      </w:pPr>
    </w:p>
    <w:p>
      <w:pPr>
        <w:jc w:val="both"/>
        <w:ind w:left="672" w:right="260" w:hanging="215"/>
        <w:spacing w:after="0" w:line="264" w:lineRule="auto"/>
        <w:rPr>
          <w:sz w:val="20"/>
          <w:szCs w:val="20"/>
          <w:color w:val="auto"/>
        </w:rPr>
      </w:pPr>
      <w:r>
        <w:rPr>
          <w:rFonts w:ascii="Arial" w:cs="Arial" w:eastAsia="Arial" w:hAnsi="Arial"/>
          <w:sz w:val="18"/>
          <w:szCs w:val="18"/>
          <w:color w:val="auto"/>
        </w:rPr>
        <w:t>Net loss attributed to common stockholders before income taxes</w:t>
      </w:r>
    </w:p>
    <w:p>
      <w:pPr>
        <w:spacing w:after="0" w:line="208" w:lineRule="exact"/>
        <w:rPr>
          <w:sz w:val="20"/>
          <w:szCs w:val="20"/>
          <w:color w:val="auto"/>
        </w:rPr>
      </w:pPr>
    </w:p>
    <w:p>
      <w:pPr>
        <w:ind w:left="672" w:hanging="215"/>
        <w:spacing w:after="0" w:line="277" w:lineRule="auto"/>
        <w:rPr>
          <w:sz w:val="20"/>
          <w:szCs w:val="20"/>
          <w:color w:val="auto"/>
        </w:rPr>
      </w:pPr>
      <w:r>
        <w:rPr>
          <w:rFonts w:ascii="Arial" w:cs="Arial" w:eastAsia="Arial" w:hAnsi="Arial"/>
          <w:sz w:val="18"/>
          <w:szCs w:val="18"/>
          <w:color w:val="auto"/>
        </w:rPr>
        <w:t>Add: Combined fixed charges and preference dividends</w:t>
      </w:r>
    </w:p>
    <w:p>
      <w:pPr>
        <w:spacing w:after="0" w:line="19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Less: Capitalized interest</w:t>
      </w:r>
    </w:p>
    <w:p>
      <w:pPr>
        <w:spacing w:after="0" w:line="387" w:lineRule="exact"/>
        <w:rPr>
          <w:sz w:val="20"/>
          <w:szCs w:val="20"/>
          <w:color w:val="auto"/>
        </w:rPr>
      </w:pPr>
    </w:p>
    <w:p>
      <w:pPr>
        <w:ind w:left="32"/>
        <w:spacing w:after="0"/>
        <w:rPr>
          <w:sz w:val="20"/>
          <w:szCs w:val="20"/>
          <w:color w:val="auto"/>
        </w:rPr>
      </w:pPr>
      <w:r>
        <w:rPr>
          <w:rFonts w:ascii="Arial" w:cs="Arial" w:eastAsia="Arial" w:hAnsi="Arial"/>
          <w:sz w:val="17"/>
          <w:szCs w:val="17"/>
          <w:color w:val="auto"/>
        </w:rPr>
        <w:t>Total earnings for computation of ratio</w:t>
      </w:r>
    </w:p>
    <w:p>
      <w:pPr>
        <w:spacing w:after="0" w:line="264" w:lineRule="exact"/>
        <w:rPr>
          <w:sz w:val="20"/>
          <w:szCs w:val="20"/>
          <w:color w:val="auto"/>
        </w:rPr>
      </w:pPr>
    </w:p>
    <w:p>
      <w:pPr>
        <w:ind w:left="32"/>
        <w:spacing w:after="0"/>
        <w:rPr>
          <w:sz w:val="20"/>
          <w:szCs w:val="20"/>
          <w:color w:val="auto"/>
        </w:rPr>
      </w:pPr>
      <w:r>
        <w:rPr>
          <w:rFonts w:ascii="Arial" w:cs="Arial" w:eastAsia="Arial" w:hAnsi="Arial"/>
          <w:sz w:val="18"/>
          <w:szCs w:val="18"/>
          <w:color w:val="auto"/>
        </w:rPr>
        <w:t>Fixed Charges:</w:t>
      </w:r>
    </w:p>
    <w:p>
      <w:pPr>
        <w:spacing w:after="0" w:line="252" w:lineRule="exact"/>
        <w:rPr>
          <w:sz w:val="20"/>
          <w:szCs w:val="20"/>
          <w:color w:val="auto"/>
        </w:rPr>
      </w:pPr>
    </w:p>
    <w:p>
      <w:pPr>
        <w:ind w:left="672" w:right="580" w:hanging="215"/>
        <w:spacing w:after="0" w:line="342" w:lineRule="auto"/>
        <w:rPr>
          <w:sz w:val="20"/>
          <w:szCs w:val="20"/>
          <w:color w:val="auto"/>
        </w:rPr>
      </w:pPr>
      <w:r>
        <w:rPr>
          <w:rFonts w:ascii="Arial" w:cs="Arial" w:eastAsia="Arial" w:hAnsi="Arial"/>
          <w:sz w:val="16"/>
          <w:szCs w:val="16"/>
          <w:color w:val="auto"/>
        </w:rPr>
        <w:t>Interest expense including capitalized interest</w:t>
      </w:r>
    </w:p>
    <w:p>
      <w:pPr>
        <w:spacing w:after="0" w:line="151" w:lineRule="exact"/>
        <w:rPr>
          <w:sz w:val="20"/>
          <w:szCs w:val="20"/>
          <w:color w:val="auto"/>
        </w:rPr>
      </w:pPr>
    </w:p>
    <w:p>
      <w:pPr>
        <w:ind w:left="672" w:right="140" w:hanging="215"/>
        <w:spacing w:after="0" w:line="277" w:lineRule="auto"/>
        <w:rPr>
          <w:sz w:val="20"/>
          <w:szCs w:val="20"/>
          <w:color w:val="auto"/>
        </w:rPr>
      </w:pPr>
      <w:r>
        <w:rPr>
          <w:rFonts w:ascii="Arial" w:cs="Arial" w:eastAsia="Arial" w:hAnsi="Arial"/>
          <w:sz w:val="18"/>
          <w:szCs w:val="18"/>
          <w:color w:val="auto"/>
        </w:rPr>
        <w:t>Estimated interest component of rent</w:t>
      </w:r>
    </w:p>
    <w:p>
      <w:pPr>
        <w:spacing w:after="0" w:line="333" w:lineRule="exact"/>
        <w:rPr>
          <w:sz w:val="20"/>
          <w:szCs w:val="20"/>
          <w:color w:val="auto"/>
        </w:rPr>
      </w:pPr>
    </w:p>
    <w:p>
      <w:pPr>
        <w:ind w:left="32"/>
        <w:spacing w:after="0"/>
        <w:rPr>
          <w:sz w:val="20"/>
          <w:szCs w:val="20"/>
          <w:color w:val="auto"/>
        </w:rPr>
      </w:pPr>
      <w:r>
        <w:rPr>
          <w:rFonts w:ascii="Arial" w:cs="Arial" w:eastAsia="Arial" w:hAnsi="Arial"/>
          <w:sz w:val="18"/>
          <w:szCs w:val="18"/>
          <w:color w:val="auto"/>
        </w:rPr>
        <w:t>Total fixed charges</w:t>
      </w:r>
    </w:p>
    <w:p>
      <w:pPr>
        <w:spacing w:after="0" w:line="252" w:lineRule="exact"/>
        <w:rPr>
          <w:sz w:val="20"/>
          <w:szCs w:val="20"/>
          <w:color w:val="auto"/>
        </w:rPr>
      </w:pPr>
    </w:p>
    <w:p>
      <w:pPr>
        <w:ind w:left="252" w:right="40" w:hanging="215"/>
        <w:spacing w:after="0" w:line="277" w:lineRule="auto"/>
        <w:rPr>
          <w:sz w:val="20"/>
          <w:szCs w:val="20"/>
          <w:color w:val="auto"/>
        </w:rPr>
      </w:pPr>
      <w:r>
        <w:rPr>
          <w:rFonts w:ascii="Arial" w:cs="Arial" w:eastAsia="Arial" w:hAnsi="Arial"/>
          <w:sz w:val="18"/>
          <w:szCs w:val="18"/>
          <w:color w:val="auto"/>
        </w:rPr>
        <w:t>Combined fixed charges and preference dividends:</w:t>
      </w:r>
    </w:p>
    <w:p>
      <w:pPr>
        <w:spacing w:after="0" w:line="197" w:lineRule="exact"/>
        <w:rPr>
          <w:sz w:val="20"/>
          <w:szCs w:val="20"/>
          <w:color w:val="auto"/>
        </w:rPr>
      </w:pPr>
    </w:p>
    <w:p>
      <w:pPr>
        <w:ind w:left="672" w:right="580" w:hanging="215"/>
        <w:spacing w:after="0" w:line="342" w:lineRule="auto"/>
        <w:rPr>
          <w:sz w:val="20"/>
          <w:szCs w:val="20"/>
          <w:color w:val="auto"/>
        </w:rPr>
      </w:pPr>
      <w:r>
        <w:rPr>
          <w:rFonts w:ascii="Arial" w:cs="Arial" w:eastAsia="Arial" w:hAnsi="Arial"/>
          <w:sz w:val="16"/>
          <w:szCs w:val="16"/>
          <w:color w:val="auto"/>
        </w:rPr>
        <w:t>Interest expense including capitalized interest</w:t>
      </w:r>
    </w:p>
    <w:p>
      <w:pPr>
        <w:spacing w:after="0" w:line="151" w:lineRule="exact"/>
        <w:rPr>
          <w:sz w:val="20"/>
          <w:szCs w:val="20"/>
          <w:color w:val="auto"/>
        </w:rPr>
      </w:pPr>
    </w:p>
    <w:p>
      <w:pPr>
        <w:ind w:left="672" w:right="140" w:hanging="215"/>
        <w:spacing w:after="0" w:line="277" w:lineRule="auto"/>
        <w:rPr>
          <w:sz w:val="20"/>
          <w:szCs w:val="20"/>
          <w:color w:val="auto"/>
        </w:rPr>
      </w:pPr>
      <w:r>
        <w:rPr>
          <w:rFonts w:ascii="Arial" w:cs="Arial" w:eastAsia="Arial" w:hAnsi="Arial"/>
          <w:sz w:val="18"/>
          <w:szCs w:val="18"/>
          <w:color w:val="auto"/>
        </w:rPr>
        <w:t>Estimated interest component of rent</w:t>
      </w:r>
    </w:p>
    <w:p>
      <w:pPr>
        <w:spacing w:after="0" w:line="19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Deemed dividend</w:t>
      </w:r>
    </w:p>
    <w:p>
      <w:pPr>
        <w:spacing w:after="0" w:line="387" w:lineRule="exact"/>
        <w:rPr>
          <w:sz w:val="20"/>
          <w:szCs w:val="20"/>
          <w:color w:val="auto"/>
        </w:rPr>
      </w:pPr>
    </w:p>
    <w:p>
      <w:pPr>
        <w:ind w:left="252" w:right="480" w:hanging="215"/>
        <w:spacing w:after="0" w:line="277" w:lineRule="auto"/>
        <w:rPr>
          <w:sz w:val="20"/>
          <w:szCs w:val="20"/>
          <w:color w:val="auto"/>
        </w:rPr>
      </w:pPr>
      <w:r>
        <w:rPr>
          <w:rFonts w:ascii="Arial" w:cs="Arial" w:eastAsia="Arial" w:hAnsi="Arial"/>
          <w:sz w:val="18"/>
          <w:szCs w:val="18"/>
          <w:color w:val="auto"/>
        </w:rPr>
        <w:t>Total combined fixed charges and preference dividends</w:t>
      </w:r>
    </w:p>
    <w:p>
      <w:pPr>
        <w:spacing w:after="0" w:line="197" w:lineRule="exact"/>
        <w:rPr>
          <w:sz w:val="20"/>
          <w:szCs w:val="20"/>
          <w:color w:val="auto"/>
        </w:rPr>
      </w:pPr>
    </w:p>
    <w:p>
      <w:pPr>
        <w:ind w:left="32"/>
        <w:spacing w:after="0"/>
        <w:rPr>
          <w:sz w:val="20"/>
          <w:szCs w:val="20"/>
          <w:color w:val="auto"/>
        </w:rPr>
      </w:pPr>
      <w:r>
        <w:rPr>
          <w:rFonts w:ascii="Arial" w:cs="Arial" w:eastAsia="Arial" w:hAnsi="Arial"/>
          <w:sz w:val="17"/>
          <w:szCs w:val="17"/>
          <w:color w:val="auto"/>
        </w:rPr>
        <w:t>Ratio of earnings to fixed charges (1)</w:t>
      </w:r>
    </w:p>
    <w:p>
      <w:pPr>
        <w:spacing w:after="0" w:line="264" w:lineRule="exact"/>
        <w:rPr>
          <w:sz w:val="20"/>
          <w:szCs w:val="20"/>
          <w:color w:val="auto"/>
        </w:rPr>
      </w:pPr>
    </w:p>
    <w:p>
      <w:pPr>
        <w:ind w:left="252" w:right="40" w:hanging="215"/>
        <w:spacing w:after="0" w:line="381" w:lineRule="auto"/>
        <w:rPr>
          <w:sz w:val="20"/>
          <w:szCs w:val="20"/>
          <w:color w:val="auto"/>
        </w:rPr>
      </w:pPr>
      <w:r>
        <w:rPr>
          <w:rFonts w:ascii="Arial" w:cs="Arial" w:eastAsia="Arial" w:hAnsi="Arial"/>
          <w:sz w:val="15"/>
          <w:szCs w:val="15"/>
          <w:color w:val="auto"/>
        </w:rPr>
        <w:t>Ratio of earnings to combined fixed charges and preference dividends (1)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ind w:right="3200"/>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3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3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Fiscal Years 2011 through 2015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5213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6"/>
                <w:szCs w:val="16"/>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6"/>
                <w:szCs w:val="16"/>
                <w:color w:val="auto"/>
              </w:rPr>
            </w:pPr>
          </w:p>
        </w:tc>
        <w:tc>
          <w:tcPr>
            <w:tcW w:w="13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-8255</wp:posOffset>
            </wp:positionV>
            <wp:extent cx="72466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574675</wp:posOffset>
            </wp:positionV>
            <wp:extent cx="7246620"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(22,304)</w:t>
            </w:r>
          </w:p>
        </w:tc>
        <w:tc>
          <w:tcPr>
            <w:tcW w:w="3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(18,888)</w:t>
            </w:r>
          </w:p>
        </w:tc>
        <w:tc>
          <w:tcPr>
            <w:tcW w:w="3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(16,389)</w:t>
            </w:r>
          </w:p>
        </w:tc>
        <w:tc>
          <w:tcPr>
            <w:tcW w:w="3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(57,705)</w:t>
            </w:r>
          </w:p>
        </w:tc>
        <w:tc>
          <w:tcPr>
            <w:tcW w:w="3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(54,790)</w:t>
            </w:r>
          </w:p>
        </w:tc>
      </w:tr>
      <w:tr>
        <w:trPr>
          <w:trHeight w:val="675"/>
        </w:trPr>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3,578</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7,081</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8,353</w:t>
            </w:r>
          </w:p>
        </w:tc>
      </w:tr>
      <w:tr>
        <w:trPr>
          <w:trHeight w:val="459"/>
        </w:trPr>
        <w:tc>
          <w:tcPr>
            <w:tcW w:w="40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47"/>
        </w:trPr>
        <w:tc>
          <w:tcPr>
            <w:tcW w:w="4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(18,726)</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(17,882)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(15,220)</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(50,624)</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-650875</wp:posOffset>
            </wp:positionV>
            <wp:extent cx="72466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17145</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3,101</w:t>
            </w:r>
          </w:p>
        </w:tc>
        <w:tc>
          <w:tcPr>
            <w:tcW w:w="3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3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5,344</w:t>
            </w:r>
          </w:p>
        </w:tc>
        <w:tc>
          <w:tcPr>
            <w:tcW w:w="3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5,808</w:t>
            </w:r>
          </w:p>
        </w:tc>
      </w:tr>
      <w:tr>
        <w:trPr>
          <w:trHeight w:val="675"/>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1,155</w:t>
            </w:r>
          </w:p>
        </w:tc>
        <w:tc>
          <w:tcPr>
            <w:tcW w:w="3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1,737</w:t>
            </w:r>
          </w:p>
        </w:tc>
        <w:tc>
          <w:tcPr>
            <w:tcW w:w="3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2,545</w:t>
            </w:r>
          </w:p>
        </w:tc>
      </w:tr>
      <w:tr>
        <w:trPr>
          <w:trHeight w:val="27"/>
        </w:trPr>
        <w:tc>
          <w:tcPr>
            <w:tcW w:w="1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47"/>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3,578</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3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7,081</w:t>
            </w:r>
          </w:p>
        </w:tc>
        <w:tc>
          <w:tcPr>
            <w:tcW w:w="3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-788035</wp:posOffset>
            </wp:positionV>
            <wp:extent cx="7246620"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17145</wp:posOffset>
            </wp:positionV>
            <wp:extent cx="724662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3,101</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5,344</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5,808</w:t>
            </w:r>
          </w:p>
        </w:tc>
      </w:tr>
      <w:tr>
        <w:trPr>
          <w:trHeight w:val="675"/>
        </w:trPr>
        <w:tc>
          <w:tcPr>
            <w:tcW w:w="4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1,155</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1,737</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2,545</w:t>
            </w:r>
          </w:p>
        </w:tc>
      </w:tr>
      <w:tr>
        <w:trPr>
          <w:trHeight w:val="459"/>
        </w:trPr>
        <w:tc>
          <w:tcPr>
            <w:tcW w:w="4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9,900</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763"/>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13,478</w:t>
            </w:r>
          </w:p>
        </w:tc>
        <w:tc>
          <w:tcPr>
            <w:tcW w:w="36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36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3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7,081</w:t>
            </w:r>
          </w:p>
        </w:tc>
        <w:tc>
          <w:tcPr>
            <w:tcW w:w="3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8,353</w:t>
            </w:r>
          </w:p>
        </w:tc>
      </w:tr>
      <w:tr>
        <w:trPr>
          <w:trHeight w:val="459"/>
        </w:trPr>
        <w:tc>
          <w:tcPr>
            <w:tcW w:w="46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75"/>
        </w:trPr>
        <w:tc>
          <w:tcPr>
            <w:tcW w:w="46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-1937385</wp:posOffset>
            </wp:positionV>
            <wp:extent cx="724662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-1131570</wp:posOffset>
            </wp:positionV>
            <wp:extent cx="7246620" cy="428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-410845</wp:posOffset>
            </wp:positionV>
            <wp:extent cx="7246620" cy="428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32" w:space="260"/>
            <w:col w:w="8220"/>
          </w:cols>
          <w:pgMar w:left="248" w:top="364" w:right="239" w:bottom="1440" w:gutter="0" w:footer="0" w:header="0"/>
        </w:sectPr>
      </w:pPr>
    </w:p>
    <w:p>
      <w:pPr>
        <w:spacing w:after="0" w:line="69" w:lineRule="exact"/>
        <w:rPr>
          <w:sz w:val="20"/>
          <w:szCs w:val="20"/>
          <w:color w:val="auto"/>
        </w:rPr>
      </w:pPr>
    </w:p>
    <w:p>
      <w:pPr>
        <w:ind w:left="-8" w:right="100" w:firstLine="8"/>
        <w:spacing w:after="0" w:line="277" w:lineRule="auto"/>
        <w:tabs>
          <w:tab w:leader="none" w:pos="2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Earnings for 2011, 2012, 2013, 2014, and 2015 were insufficient to cover fixed charges by $22.3 million, $18.9 million, $16.4 million, $57.7 million, and $54.8 million respectively.</w:t>
      </w:r>
    </w:p>
    <w:p>
      <w:pPr>
        <w:sectPr>
          <w:pgSz w:w="11900" w:h="16838" w:orient="portrait"/>
          <w:cols w:equalWidth="0" w:num="1">
            <w:col w:w="11412"/>
          </w:cols>
          <w:pgMar w:left="248" w:top="364" w:right="23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333-172206, 333-180363, 333-187204 and 333-202325), Form S-8/S-3 (No. 333-194084) and Form S-3ASR (No. 333-193624) of Fluidigm Corporation of our report dated February 29, 2016, relating to the consolidated financial statements, financial statement schedule, and the effectiveness of internal control over financial reporting,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23.2</w:t>
      </w:r>
    </w:p>
    <w:p>
      <w:pPr>
        <w:spacing w:after="0" w:line="253"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6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Registration Statements (Form S-3ASR No. 333-193624) of Fluidigm Corporation,</w:t>
      </w:r>
    </w:p>
    <w:p>
      <w:pPr>
        <w:spacing w:after="0" w:line="260" w:lineRule="exact"/>
        <w:rPr>
          <w:rFonts w:ascii="Arial" w:cs="Arial" w:eastAsia="Arial" w:hAnsi="Arial"/>
          <w:sz w:val="22"/>
          <w:szCs w:val="22"/>
          <w:color w:val="auto"/>
        </w:rPr>
      </w:pPr>
    </w:p>
    <w:p>
      <w:pPr>
        <w:ind w:left="660" w:right="360" w:hanging="652"/>
        <w:spacing w:after="0" w:line="343" w:lineRule="auto"/>
        <w:tabs>
          <w:tab w:leader="none" w:pos="6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Registration Statements (Form S-8 Nos. 333-172206, 333-180363, 333-187204, and 333-202325) pertaining to the 1999 Stock Option Plan, 2009 Equity Incentive Plan, and 2011 Equity Incentive Plan of Fluidigm Corporation, and</w:t>
      </w:r>
    </w:p>
    <w:p>
      <w:pPr>
        <w:spacing w:after="0" w:line="145" w:lineRule="exact"/>
        <w:rPr>
          <w:rFonts w:ascii="Arial" w:cs="Arial" w:eastAsia="Arial" w:hAnsi="Arial"/>
          <w:sz w:val="19"/>
          <w:szCs w:val="19"/>
          <w:color w:val="auto"/>
        </w:rPr>
      </w:pPr>
    </w:p>
    <w:p>
      <w:pPr>
        <w:ind w:left="660" w:right="200" w:hanging="652"/>
        <w:spacing w:after="0" w:line="250"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Registration Statement (Form S-8/S-3 No. 333-194084) pertaining to (a) the 2011 Equity Incentive Plan of Fluidigm Corporation, (b) stock options granted under the DVS Sciences, Inc. 2010 Equity Incentive Plan, as amended, assumed by Fluidigm Corporation, and (c) the DVS Sciences, Inc. Stock Restriction Agreements and Restricted Stock Purchase Agreements assumed by Fluidigm Corporation;</w:t>
      </w:r>
    </w:p>
    <w:p>
      <w:pPr>
        <w:spacing w:after="0" w:line="229" w:lineRule="exact"/>
        <w:rPr>
          <w:sz w:val="20"/>
          <w:szCs w:val="20"/>
          <w:color w:val="auto"/>
        </w:rPr>
      </w:pPr>
    </w:p>
    <w:p>
      <w:pPr>
        <w:ind w:right="340"/>
        <w:spacing w:after="0" w:line="287" w:lineRule="auto"/>
        <w:rPr>
          <w:sz w:val="20"/>
          <w:szCs w:val="20"/>
          <w:color w:val="auto"/>
        </w:rPr>
      </w:pPr>
      <w:r>
        <w:rPr>
          <w:rFonts w:ascii="Arial" w:cs="Arial" w:eastAsia="Arial" w:hAnsi="Arial"/>
          <w:sz w:val="21"/>
          <w:szCs w:val="21"/>
          <w:color w:val="auto"/>
        </w:rPr>
        <w:t>of our report dated February 26, 2015, with respect to the consolidated financial statements of Fluidigm Corporation included in this Annual Report (Form 10-K) of Fluidigm Corporation for the year ended December 31, 2015.</w:t>
      </w:r>
    </w:p>
    <w:p>
      <w:pPr>
        <w:spacing w:after="0" w:line="19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/s/ Ernst &amp; Young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Redwood City, 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February 29, 2016</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482"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120" w:hanging="655"/>
        <w:spacing w:after="0" w:line="286" w:lineRule="auto"/>
        <w:tabs>
          <w:tab w:leader="none" w:pos="1492"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482"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200" w:hanging="655"/>
        <w:spacing w:after="0" w:line="286" w:lineRule="auto"/>
        <w:tabs>
          <w:tab w:leader="none" w:pos="1492"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8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340" w:hanging="655"/>
        <w:spacing w:after="0" w:line="342" w:lineRule="auto"/>
        <w:tabs>
          <w:tab w:leader="none" w:pos="1482"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140" w:hanging="655"/>
        <w:spacing w:after="0" w:line="277" w:lineRule="auto"/>
        <w:tabs>
          <w:tab w:leader="none" w:pos="14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6760" w:val="left"/>
          <w:tab w:leader="none" w:pos="7440" w:val="left"/>
        </w:tabs>
        <w:rPr>
          <w:sz w:val="20"/>
          <w:szCs w:val="20"/>
          <w:color w:val="auto"/>
        </w:rPr>
      </w:pPr>
      <w:r>
        <w:rPr>
          <w:rFonts w:ascii="Arial" w:cs="Arial" w:eastAsia="Arial" w:hAnsi="Arial"/>
          <w:sz w:val="18"/>
          <w:szCs w:val="18"/>
          <w:color w:val="auto"/>
        </w:rPr>
        <w:t>Date: February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31750</wp:posOffset>
            </wp:positionV>
            <wp:extent cx="2667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742"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71" w:lineRule="exact"/>
        <w:rPr>
          <w:rFonts w:ascii="Arial" w:cs="Arial" w:eastAsia="Arial" w:hAnsi="Arial"/>
          <w:sz w:val="18"/>
          <w:szCs w:val="18"/>
          <w:color w:val="auto"/>
        </w:rPr>
      </w:pPr>
    </w:p>
    <w:p>
      <w:pPr>
        <w:ind w:left="1960" w:right="240" w:hanging="1304"/>
        <w:spacing w:after="0" w:line="264" w:lineRule="auto"/>
        <w:tabs>
          <w:tab w:leader="none" w:pos="1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960" w:right="280" w:hanging="1304"/>
        <w:spacing w:after="0" w:line="264" w:lineRule="auto"/>
        <w:tabs>
          <w:tab w:leader="none" w:pos="1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1960" w:right="20" w:hanging="1304"/>
        <w:spacing w:after="0" w:line="291" w:lineRule="auto"/>
        <w:tabs>
          <w:tab w:leader="none" w:pos="131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5"/>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960" w:right="460" w:hanging="1304"/>
        <w:spacing w:after="0" w:line="264" w:lineRule="auto"/>
        <w:tabs>
          <w:tab w:leader="none" w:pos="13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760" w:val="left"/>
          <w:tab w:leader="none" w:pos="7440" w:val="left"/>
        </w:tabs>
        <w:rPr>
          <w:sz w:val="20"/>
          <w:szCs w:val="20"/>
          <w:color w:val="auto"/>
        </w:rPr>
      </w:pPr>
      <w:r>
        <w:rPr>
          <w:rFonts w:ascii="Arial" w:cs="Arial" w:eastAsia="Arial" w:hAnsi="Arial"/>
          <w:sz w:val="18"/>
          <w:szCs w:val="18"/>
          <w:color w:val="auto"/>
        </w:rPr>
        <w:t>Date: February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31750</wp:posOffset>
            </wp:positionV>
            <wp:extent cx="2667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2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left="1060" w:right="460" w:firstLine="1"/>
        <w:spacing w:after="0" w:line="277" w:lineRule="auto"/>
        <w:tabs>
          <w:tab w:leader="none" w:pos="12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2015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060" w:right="480" w:firstLine="1"/>
        <w:spacing w:after="0" w:line="277" w:lineRule="auto"/>
        <w:tabs>
          <w:tab w:leader="none" w:pos="13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678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Date: February 29, 2016</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left="900" w:right="620" w:hanging="1"/>
        <w:spacing w:after="0" w:line="277" w:lineRule="auto"/>
        <w:tabs>
          <w:tab w:leader="none" w:pos="11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2015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900" w:right="640" w:hanging="1"/>
        <w:spacing w:after="0" w:line="277" w:lineRule="auto"/>
        <w:tabs>
          <w:tab w:leader="none" w:pos="11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6500"/>
        <w:spacing w:after="0"/>
        <w:tabs>
          <w:tab w:leader="none" w:pos="7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31750</wp:posOffset>
            </wp:positionV>
            <wp:extent cx="23926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Date: February 29,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lvl w:ilvl="1">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1"/>
    </w:lvl>
  </w:abstractNum>
  <w:abstractNum w:abstractNumId="24">
    <w:nsid w:val="6CEAF087"/>
    <w:multiLevelType w:val="hybridMultilevel"/>
    <w:lvl w:ilvl="0">
      <w:lvlJc w:val="left"/>
      <w:lvlText w:val="%1."/>
      <w:numFmt w:val="decimal"/>
      <w:start w:val="3"/>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6"/>
    </w:lvl>
  </w:abstractNum>
  <w:abstractNum w:abstractNumId="27">
    <w:nsid w:val="3006C83E"/>
    <w:multiLevelType w:val="hybridMultilevel"/>
    <w:lvl w:ilvl="0">
      <w:lvlJc w:val="left"/>
      <w:lvlText w:val="%1."/>
      <w:numFmt w:val="decimal"/>
      <w:start w:val="9"/>
    </w:lvl>
  </w:abstractNum>
  <w:abstractNum w:abstractNumId="28">
    <w:nsid w:val="614FD4A1"/>
    <w:multiLevelType w:val="hybridMultilevel"/>
    <w:lvl w:ilvl="0">
      <w:lvlJc w:val="left"/>
      <w:lvlText w:val="%1."/>
      <w:numFmt w:val="decimal"/>
      <w:start w:val="10"/>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lvl w:ilvl="1">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2019-12-29T11:40:11Z</dcterms:created>
  <dcterms:modified xsi:type="dcterms:W3CDTF">2019-12-29T11:40:11Z</dcterms:modified>
</cp:coreProperties>
</file>