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44d2_s8.htm"/>
      <w:bookmarkStart w:id="1" w:name="kstm2622144d2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STANDARD BIOTOOLS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125"/>
        <w:gridCol w:w="60"/>
        <w:gridCol w:w="2375"/>
      </w:tblGrid>
      <w:tr>
        <w:trPr/>
        <w:tc>
          <w:tcPr>
            <w:tcW w:w="31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vMerge w:val="restart"/>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77-0513190</w:t>
            </w:r>
          </w:p>
        </w:tc>
      </w:tr>
      <w:tr>
        <w:trPr/>
        <w:tc>
          <w:tcPr>
            <w:tcW w:w="3125" w:type="dxa"/>
            <w:tcBorders/>
            <w:vAlign w:val="center"/>
          </w:tcPr>
          <w:p>
            <w:pPr>
              <w:pStyle w:val="TableContents"/>
              <w:bidi w:val="0"/>
              <w:spacing w:before="0" w:after="283"/>
              <w:jc w:val="center"/>
              <w:rPr/>
            </w:pPr>
            <w:r>
              <w:rPr>
                <w:b/>
              </w:rPr>
              <w:t>(State or other jurisdiction of</w:t>
            </w:r>
            <w:r>
              <w:rPr/>
              <w:t xml:space="preserve"> </w:t>
            </w:r>
            <w:r>
              <w:rPr>
                <w:b/>
              </w:rPr>
              <w:br/>
              <w:t>incorporation or organization)</w:t>
            </w:r>
          </w:p>
        </w:tc>
        <w:tc>
          <w:tcPr>
            <w:tcW w:w="6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center"/>
              <w:rPr/>
            </w:pPr>
            <w:r>
              <w:rPr>
                <w:b/>
              </w:rPr>
              <w:t>(I.R.S. Employer</w:t>
            </w:r>
            <w:r>
              <w:rPr/>
              <w:t xml:space="preserve"> </w:t>
            </w:r>
            <w:r>
              <w:rPr>
                <w:b/>
              </w:rPr>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Milk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 Amended and Restated 2017 Employee Stock Purchase Plan, As Amended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Egholm,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Milk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266-6000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C. Hicks,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T. Rudy,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Massachusetts 02111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060"/>
        <w:gridCol w:w="60"/>
        <w:gridCol w:w="249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This Registration Statement on Form S-8 (this “Registration Statement”) is being filed by Standard BioTools Inc. (f/k/a Fluidigm Corporation) (the “Registrant”) for the purpose of registering an additional 1,200,000 shares of common stock, par value $0.001 per share, of the Registrant reserved for issuance under the Standard BioTools Inc. Amended and Restated 2017 Employee Stock Purchase Plan, as Amended, effective as of June 17, 2026. This Registration Statement registers additional securities of the same class as other securities for which a registration statement filed on Form S-8 (File No. 333-239810) relating to an employee benefit plan is effective. The information contained in the Registrant’s registration statement on Form S-8 filed with the Securities and Exchange Commission on </w:t>
      </w:r>
      <w:hyperlink r:id="rId2">
        <w:r>
          <w:rPr>
            <w:rStyle w:val="InternetLink"/>
            <w:rFonts w:ascii="Times New Roman;Times;Serif" w:hAnsi="Times New Roman;Times;Serif"/>
            <w:b w:val="false"/>
            <w:i w:val="false"/>
            <w:caps w:val="false"/>
            <w:smallCaps w:val="false"/>
            <w:sz w:val="20"/>
          </w:rPr>
          <w:t>July 10, 2020</w:t>
        </w:r>
      </w:hyperlink>
      <w:r>
        <w:rPr>
          <w:rFonts w:ascii="Times New Roman;Times;Serif" w:hAnsi="Times New Roman;Times;Serif"/>
          <w:b w:val="false"/>
          <w:i w:val="false"/>
          <w:caps w:val="false"/>
          <w:smallCaps w:val="false"/>
          <w:sz w:val="20"/>
        </w:rPr>
        <w:t xml:space="preserve"> (File No. 333-239810) is hereby incorporated by reference pursuant to General Instruction E of Form S-8, except for those items being updated by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40"/>
        <w:gridCol w:w="4265"/>
      </w:tblGrid>
      <w:tr>
        <w:trPr/>
        <w:tc>
          <w:tcPr>
            <w:tcW w:w="740" w:type="dxa"/>
            <w:tcBorders/>
            <w:vAlign w:val="center"/>
          </w:tcPr>
          <w:p>
            <w:pPr>
              <w:pStyle w:val="TableContents"/>
              <w:bidi w:val="0"/>
              <w:spacing w:before="0" w:after="283"/>
              <w:jc w:val="left"/>
              <w:rPr>
                <w:b/>
              </w:rPr>
            </w:pPr>
            <w:r>
              <w:rPr>
                <w:b/>
              </w:rPr>
              <w:t>Item 6.</w:t>
            </w:r>
          </w:p>
        </w:tc>
        <w:tc>
          <w:tcPr>
            <w:tcW w:w="4265" w:type="dxa"/>
            <w:tcBorders/>
            <w:vAlign w:val="center"/>
          </w:tcPr>
          <w:p>
            <w:pPr>
              <w:pStyle w:val="TableContents"/>
              <w:bidi w:val="0"/>
              <w:spacing w:before="0" w:after="283"/>
              <w:jc w:val="both"/>
              <w:rPr>
                <w:b/>
              </w:rPr>
            </w:pPr>
            <w:r>
              <w:rPr>
                <w:b/>
              </w:rPr>
              <w:t>Indemnification of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certificate of incorporation, as amended, of the Registrant provides that the Registrant may indemnify its directors, officers, employees or agents to the fullest extent permitted by applicable law and the bylaws, as amended, of the Registrant provide that the Registrant shall indemnify its directors and officers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certificate of incorporation, as amended, of the Registrant provides for such limitation of liability with respect to its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set forth above shall not be exclusive of any other right which an indemnified person may have or hereafter acquire under any statute, the Registrant’s certificate of incorporation, as amended, the Registrant’s bylaws, as amended, any agreement, any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standard policies of insurance that provide coverage (1) to its directors and officers against loss rising from claims made by reason of breach of duty or other wrongful act and (2) to the Registrant with respect to indemnification payments that the Registrant may make to such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620"/>
        <w:gridCol w:w="935"/>
      </w:tblGrid>
      <w:tr>
        <w:trPr/>
        <w:tc>
          <w:tcPr>
            <w:tcW w:w="620" w:type="dxa"/>
            <w:tcBorders/>
            <w:vAlign w:val="center"/>
          </w:tcPr>
          <w:p>
            <w:pPr>
              <w:pStyle w:val="TableContents"/>
              <w:bidi w:val="0"/>
              <w:spacing w:before="0" w:after="283"/>
              <w:jc w:val="left"/>
              <w:rPr>
                <w:b/>
                <w:sz w:val="20"/>
              </w:rPr>
            </w:pPr>
            <w:r>
              <w:rPr>
                <w:b/>
                <w:sz w:val="20"/>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9"/>
        <w:gridCol w:w="6721"/>
        <w:gridCol w:w="500"/>
        <w:gridCol w:w="1422"/>
        <w:gridCol w:w="743"/>
      </w:tblGrid>
      <w:tr>
        <w:trPr/>
        <w:tc>
          <w:tcPr>
            <w:tcW w:w="819" w:type="dxa"/>
            <w:tcBorders/>
            <w:vAlign w:val="center"/>
          </w:tcPr>
          <w:p>
            <w:pPr>
              <w:pStyle w:val="TableContents"/>
              <w:bidi w:val="0"/>
              <w:spacing w:before="0" w:after="283"/>
              <w:jc w:val="center"/>
              <w:rPr>
                <w:b/>
              </w:rPr>
            </w:pPr>
            <w:r>
              <w:rPr>
                <w:b/>
              </w:rPr>
              <w:t xml:space="preserve">Exhibit </w:t>
              <w:br/>
              <w:t>No.</w:t>
            </w:r>
          </w:p>
        </w:tc>
        <w:tc>
          <w:tcPr>
            <w:tcW w:w="672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5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1422" w:type="dxa"/>
            <w:tcBorders/>
            <w:vAlign w:val="center"/>
          </w:tcPr>
          <w:p>
            <w:pPr>
              <w:pStyle w:val="TableContents"/>
              <w:bidi w:val="0"/>
              <w:spacing w:before="0" w:after="283"/>
              <w:jc w:val="center"/>
              <w:rPr>
                <w:b/>
              </w:rPr>
            </w:pPr>
            <w:r>
              <w:rPr>
                <w:b/>
              </w:rPr>
              <w:t xml:space="preserve">Incorporated </w:t>
              <w:br/>
              <w:t xml:space="preserve">by Reference </w:t>
              <w:br/>
              <w:t xml:space="preserve">From Exhibit </w:t>
              <w:br/>
              <w:t>Number</w:t>
            </w:r>
          </w:p>
        </w:tc>
        <w:tc>
          <w:tcPr>
            <w:tcW w:w="743"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r>
          </w:p>
        </w:tc>
      </w:tr>
      <w:tr>
        <w:trPr/>
        <w:tc>
          <w:tcPr>
            <w:tcW w:w="819" w:type="dxa"/>
            <w:tcBorders/>
            <w:vAlign w:val="center"/>
          </w:tcPr>
          <w:p>
            <w:pPr>
              <w:pStyle w:val="TableContents"/>
              <w:bidi w:val="0"/>
              <w:spacing w:before="0" w:after="283"/>
              <w:jc w:val="center"/>
              <w:rPr/>
            </w:pPr>
            <w:hyperlink r:id="rId3">
              <w:r>
                <w:rPr>
                  <w:rStyle w:val="InternetLink"/>
                  <w:rFonts w:ascii="Times New Roman;Times;Serif" w:hAnsi="Times New Roman;Times;Serif"/>
                  <w:sz w:val="20"/>
                </w:rPr>
                <w:t>4.1</w:t>
              </w:r>
            </w:hyperlink>
          </w:p>
        </w:tc>
        <w:tc>
          <w:tcPr>
            <w:tcW w:w="6721"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Specimen Common Stock Certificate of the Registrant.</w:t>
              </w:r>
            </w:hyperlink>
          </w:p>
        </w:tc>
        <w:tc>
          <w:tcPr>
            <w:tcW w:w="500" w:type="dxa"/>
            <w:tcBorders/>
            <w:vAlign w:val="center"/>
          </w:tcPr>
          <w:p>
            <w:pPr>
              <w:pStyle w:val="TableContents"/>
              <w:bidi w:val="0"/>
              <w:spacing w:before="0" w:after="283"/>
              <w:jc w:val="center"/>
              <w:rPr/>
            </w:pPr>
            <w:hyperlink r:id="rId5">
              <w:r>
                <w:rPr>
                  <w:rStyle w:val="InternetLink"/>
                  <w:rFonts w:ascii="Times New Roman;Times;Serif" w:hAnsi="Times New Roman;Times;Serif"/>
                  <w:sz w:val="20"/>
                </w:rPr>
                <w:t>S-8</w:t>
              </w:r>
            </w:hyperlink>
          </w:p>
        </w:tc>
        <w:tc>
          <w:tcPr>
            <w:tcW w:w="1422" w:type="dxa"/>
            <w:tcBorders/>
            <w:vAlign w:val="center"/>
          </w:tcPr>
          <w:p>
            <w:pPr>
              <w:pStyle w:val="TableContents"/>
              <w:bidi w:val="0"/>
              <w:spacing w:before="0" w:after="283"/>
              <w:jc w:val="center"/>
              <w:rPr/>
            </w:pPr>
            <w:hyperlink r:id="rId6">
              <w:r>
                <w:rPr>
                  <w:rStyle w:val="InternetLink"/>
                  <w:rFonts w:ascii="Times New Roman;Times;Serif" w:hAnsi="Times New Roman;Times;Serif"/>
                  <w:sz w:val="20"/>
                </w:rPr>
                <w:t>4.1</w:t>
              </w:r>
            </w:hyperlink>
          </w:p>
        </w:tc>
        <w:tc>
          <w:tcPr>
            <w:tcW w:w="743" w:type="dxa"/>
            <w:tcBorders/>
            <w:vAlign w:val="center"/>
          </w:tcPr>
          <w:p>
            <w:pPr>
              <w:pStyle w:val="TableContents"/>
              <w:bidi w:val="0"/>
              <w:spacing w:before="0" w:after="283"/>
              <w:jc w:val="center"/>
              <w:rPr/>
            </w:pPr>
            <w:hyperlink r:id="rId7">
              <w:r>
                <w:rPr>
                  <w:rStyle w:val="InternetLink"/>
                  <w:rFonts w:ascii="Times New Roman;Times;Serif" w:hAnsi="Times New Roman;Times;Serif"/>
                  <w:sz w:val="20"/>
                </w:rPr>
                <w:t>4/1/2022</w:t>
              </w:r>
            </w:hyperlink>
          </w:p>
        </w:tc>
      </w:tr>
      <w:tr>
        <w:trPr/>
        <w:tc>
          <w:tcPr>
            <w:tcW w:w="819" w:type="dxa"/>
            <w:tcBorders/>
            <w:vAlign w:val="center"/>
          </w:tcPr>
          <w:p>
            <w:pPr>
              <w:pStyle w:val="TableContents"/>
              <w:bidi w:val="0"/>
              <w:spacing w:before="0" w:after="283"/>
              <w:jc w:val="center"/>
              <w:rPr/>
            </w:pPr>
            <w:hyperlink r:id="rId8">
              <w:r>
                <w:rPr>
                  <w:rStyle w:val="InternetLink"/>
                  <w:rFonts w:ascii="Times New Roman;Times;Serif" w:hAnsi="Times New Roman;Times;Serif"/>
                  <w:sz w:val="20"/>
                </w:rPr>
                <w:t>4.2</w:t>
              </w:r>
            </w:hyperlink>
          </w:p>
        </w:tc>
        <w:tc>
          <w:tcPr>
            <w:tcW w:w="6721"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Eighth Amended and Restated Certificate of Incorporation of the Registrant filed on February 15, 2011.</w:t>
              </w:r>
            </w:hyperlink>
          </w:p>
        </w:tc>
        <w:tc>
          <w:tcPr>
            <w:tcW w:w="500" w:type="dxa"/>
            <w:tcBorders/>
            <w:vAlign w:val="center"/>
          </w:tcPr>
          <w:p>
            <w:pPr>
              <w:pStyle w:val="TableContents"/>
              <w:bidi w:val="0"/>
              <w:spacing w:before="0" w:after="283"/>
              <w:jc w:val="center"/>
              <w:rPr/>
            </w:pPr>
            <w:hyperlink r:id="rId10">
              <w:r>
                <w:rPr>
                  <w:rStyle w:val="InternetLink"/>
                  <w:rFonts w:ascii="Times New Roman;Times;Serif" w:hAnsi="Times New Roman;Times;Serif"/>
                  <w:sz w:val="20"/>
                </w:rPr>
                <w:t>10-K</w:t>
              </w:r>
            </w:hyperlink>
          </w:p>
        </w:tc>
        <w:tc>
          <w:tcPr>
            <w:tcW w:w="1422" w:type="dxa"/>
            <w:tcBorders/>
            <w:vAlign w:val="center"/>
          </w:tcPr>
          <w:p>
            <w:pPr>
              <w:pStyle w:val="TableContents"/>
              <w:bidi w:val="0"/>
              <w:spacing w:before="0" w:after="283"/>
              <w:jc w:val="center"/>
              <w:rPr/>
            </w:pPr>
            <w:hyperlink r:id="rId11">
              <w:r>
                <w:rPr>
                  <w:rStyle w:val="InternetLink"/>
                  <w:rFonts w:ascii="Times New Roman;Times;Serif" w:hAnsi="Times New Roman;Times;Serif"/>
                  <w:sz w:val="20"/>
                </w:rPr>
                <w:t>3.1</w:t>
              </w:r>
            </w:hyperlink>
          </w:p>
        </w:tc>
        <w:tc>
          <w:tcPr>
            <w:tcW w:w="743" w:type="dxa"/>
            <w:tcBorders/>
            <w:vAlign w:val="center"/>
          </w:tcPr>
          <w:p>
            <w:pPr>
              <w:pStyle w:val="TableContents"/>
              <w:bidi w:val="0"/>
              <w:spacing w:before="0" w:after="283"/>
              <w:jc w:val="center"/>
              <w:rPr/>
            </w:pPr>
            <w:hyperlink r:id="rId12">
              <w:r>
                <w:rPr>
                  <w:rStyle w:val="InternetLink"/>
                  <w:rFonts w:ascii="Times New Roman;Times;Serif" w:hAnsi="Times New Roman;Times;Serif"/>
                  <w:sz w:val="20"/>
                </w:rPr>
                <w:t>3/28/2011</w:t>
              </w:r>
            </w:hyperlink>
          </w:p>
        </w:tc>
      </w:tr>
      <w:tr>
        <w:trPr/>
        <w:tc>
          <w:tcPr>
            <w:tcW w:w="819" w:type="dxa"/>
            <w:tcBorders/>
            <w:vAlign w:val="center"/>
          </w:tcPr>
          <w:p>
            <w:pPr>
              <w:pStyle w:val="TableContents"/>
              <w:bidi w:val="0"/>
              <w:spacing w:before="0" w:after="283"/>
              <w:jc w:val="center"/>
              <w:rPr/>
            </w:pPr>
            <w:hyperlink r:id="rId13">
              <w:r>
                <w:rPr>
                  <w:rStyle w:val="InternetLink"/>
                  <w:rFonts w:ascii="Times New Roman;Times;Serif" w:hAnsi="Times New Roman;Times;Serif"/>
                  <w:sz w:val="20"/>
                </w:rPr>
                <w:t>4.3</w:t>
              </w:r>
            </w:hyperlink>
          </w:p>
        </w:tc>
        <w:tc>
          <w:tcPr>
            <w:tcW w:w="6721"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Certificate of Amendment to the Eighth Amended and Restated Certificate of Incorporation filed on April 1, 2022.</w:t>
              </w:r>
            </w:hyperlink>
          </w:p>
        </w:tc>
        <w:tc>
          <w:tcPr>
            <w:tcW w:w="500" w:type="dxa"/>
            <w:tcBorders/>
            <w:vAlign w:val="center"/>
          </w:tcPr>
          <w:p>
            <w:pPr>
              <w:pStyle w:val="TableContents"/>
              <w:bidi w:val="0"/>
              <w:spacing w:before="0" w:after="283"/>
              <w:jc w:val="center"/>
              <w:rPr/>
            </w:pPr>
            <w:hyperlink r:id="rId15">
              <w:r>
                <w:rPr>
                  <w:rStyle w:val="InternetLink"/>
                  <w:rFonts w:ascii="Times New Roman;Times;Serif" w:hAnsi="Times New Roman;Times;Serif"/>
                  <w:sz w:val="20"/>
                </w:rPr>
                <w:t>S-8</w:t>
              </w:r>
            </w:hyperlink>
          </w:p>
        </w:tc>
        <w:tc>
          <w:tcPr>
            <w:tcW w:w="1422" w:type="dxa"/>
            <w:tcBorders/>
            <w:vAlign w:val="center"/>
          </w:tcPr>
          <w:p>
            <w:pPr>
              <w:pStyle w:val="TableContents"/>
              <w:bidi w:val="0"/>
              <w:spacing w:before="0" w:after="283"/>
              <w:jc w:val="center"/>
              <w:rPr/>
            </w:pPr>
            <w:hyperlink r:id="rId16">
              <w:r>
                <w:rPr>
                  <w:rStyle w:val="InternetLink"/>
                  <w:rFonts w:ascii="Times New Roman;Times;Serif" w:hAnsi="Times New Roman;Times;Serif"/>
                  <w:sz w:val="20"/>
                </w:rPr>
                <w:t>4.3</w:t>
              </w:r>
            </w:hyperlink>
          </w:p>
        </w:tc>
        <w:tc>
          <w:tcPr>
            <w:tcW w:w="743" w:type="dxa"/>
            <w:tcBorders/>
            <w:vAlign w:val="center"/>
          </w:tcPr>
          <w:p>
            <w:pPr>
              <w:pStyle w:val="TableContents"/>
              <w:bidi w:val="0"/>
              <w:spacing w:before="0" w:after="283"/>
              <w:jc w:val="center"/>
              <w:rPr/>
            </w:pPr>
            <w:hyperlink r:id="rId17">
              <w:r>
                <w:rPr>
                  <w:rStyle w:val="InternetLink"/>
                  <w:rFonts w:ascii="Times New Roman;Times;Serif" w:hAnsi="Times New Roman;Times;Serif"/>
                  <w:sz w:val="20"/>
                </w:rPr>
                <w:t>4/1/2022</w:t>
              </w:r>
            </w:hyperlink>
          </w:p>
        </w:tc>
      </w:tr>
      <w:tr>
        <w:trPr/>
        <w:tc>
          <w:tcPr>
            <w:tcW w:w="819" w:type="dxa"/>
            <w:tcBorders/>
            <w:vAlign w:val="center"/>
          </w:tcPr>
          <w:p>
            <w:pPr>
              <w:pStyle w:val="TableContents"/>
              <w:bidi w:val="0"/>
              <w:spacing w:before="0" w:after="283"/>
              <w:jc w:val="center"/>
              <w:rPr/>
            </w:pPr>
            <w:hyperlink r:id="rId18">
              <w:r>
                <w:rPr>
                  <w:rStyle w:val="InternetLink"/>
                  <w:rFonts w:ascii="Times New Roman;Times;Serif" w:hAnsi="Times New Roman;Times;Serif"/>
                  <w:sz w:val="20"/>
                </w:rPr>
                <w:t>4.4</w:t>
              </w:r>
            </w:hyperlink>
          </w:p>
        </w:tc>
        <w:tc>
          <w:tcPr>
            <w:tcW w:w="6721"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Second Certificate of Amendment to the Eighth Amended and Restated Certificate of Incorporation filed on January 4, 2024.</w:t>
              </w:r>
            </w:hyperlink>
          </w:p>
        </w:tc>
        <w:tc>
          <w:tcPr>
            <w:tcW w:w="500" w:type="dxa"/>
            <w:tcBorders/>
            <w:vAlign w:val="center"/>
          </w:tcPr>
          <w:p>
            <w:pPr>
              <w:pStyle w:val="TableContents"/>
              <w:bidi w:val="0"/>
              <w:spacing w:before="0" w:after="283"/>
              <w:jc w:val="center"/>
              <w:rPr/>
            </w:pPr>
            <w:hyperlink r:id="rId20">
              <w:r>
                <w:rPr>
                  <w:rStyle w:val="InternetLink"/>
                  <w:rFonts w:ascii="Times New Roman;Times;Serif" w:hAnsi="Times New Roman;Times;Serif"/>
                  <w:sz w:val="20"/>
                </w:rPr>
                <w:t>8-K</w:t>
              </w:r>
            </w:hyperlink>
          </w:p>
        </w:tc>
        <w:tc>
          <w:tcPr>
            <w:tcW w:w="1422" w:type="dxa"/>
            <w:tcBorders/>
            <w:vAlign w:val="center"/>
          </w:tcPr>
          <w:p>
            <w:pPr>
              <w:pStyle w:val="TableContents"/>
              <w:bidi w:val="0"/>
              <w:spacing w:before="0" w:after="283"/>
              <w:jc w:val="center"/>
              <w:rPr/>
            </w:pPr>
            <w:hyperlink r:id="rId21">
              <w:r>
                <w:rPr>
                  <w:rStyle w:val="InternetLink"/>
                  <w:rFonts w:ascii="Times New Roman;Times;Serif" w:hAnsi="Times New Roman;Times;Serif"/>
                  <w:sz w:val="20"/>
                </w:rPr>
                <w:t>3.1</w:t>
              </w:r>
            </w:hyperlink>
          </w:p>
        </w:tc>
        <w:tc>
          <w:tcPr>
            <w:tcW w:w="743" w:type="dxa"/>
            <w:tcBorders/>
            <w:vAlign w:val="center"/>
          </w:tcPr>
          <w:p>
            <w:pPr>
              <w:pStyle w:val="TableContents"/>
              <w:bidi w:val="0"/>
              <w:spacing w:before="0" w:after="283"/>
              <w:jc w:val="center"/>
              <w:rPr/>
            </w:pPr>
            <w:hyperlink r:id="rId22">
              <w:r>
                <w:rPr>
                  <w:rStyle w:val="InternetLink"/>
                  <w:rFonts w:ascii="Times New Roman;Times;Serif" w:hAnsi="Times New Roman;Times;Serif"/>
                  <w:sz w:val="20"/>
                </w:rPr>
                <w:t>1/5/2024</w:t>
              </w:r>
            </w:hyperlink>
          </w:p>
        </w:tc>
      </w:tr>
      <w:tr>
        <w:trPr/>
        <w:tc>
          <w:tcPr>
            <w:tcW w:w="819" w:type="dxa"/>
            <w:tcBorders/>
            <w:vAlign w:val="center"/>
          </w:tcPr>
          <w:p>
            <w:pPr>
              <w:pStyle w:val="TableContents"/>
              <w:bidi w:val="0"/>
              <w:spacing w:before="0" w:after="283"/>
              <w:jc w:val="center"/>
              <w:rPr/>
            </w:pPr>
            <w:hyperlink r:id="rId23">
              <w:r>
                <w:rPr>
                  <w:rStyle w:val="InternetLink"/>
                </w:rPr>
                <w:t>4.5</w:t>
              </w:r>
            </w:hyperlink>
          </w:p>
        </w:tc>
        <w:tc>
          <w:tcPr>
            <w:tcW w:w="6721" w:type="dxa"/>
            <w:tcBorders/>
            <w:vAlign w:val="center"/>
          </w:tcPr>
          <w:p>
            <w:pPr>
              <w:pStyle w:val="TableContents"/>
              <w:bidi w:val="0"/>
              <w:spacing w:before="0" w:after="283"/>
              <w:jc w:val="left"/>
              <w:rPr/>
            </w:pPr>
            <w:hyperlink r:id="rId24">
              <w:r>
                <w:rPr>
                  <w:rStyle w:val="InternetLink"/>
                </w:rPr>
                <w:t>Amended and Restated Bylaws of Standard BioTools Inc.</w:t>
              </w:r>
            </w:hyperlink>
          </w:p>
        </w:tc>
        <w:tc>
          <w:tcPr>
            <w:tcW w:w="500" w:type="dxa"/>
            <w:tcBorders/>
            <w:vAlign w:val="center"/>
          </w:tcPr>
          <w:p>
            <w:pPr>
              <w:pStyle w:val="TableContents"/>
              <w:bidi w:val="0"/>
              <w:spacing w:before="0" w:after="283"/>
              <w:jc w:val="center"/>
              <w:rPr/>
            </w:pPr>
            <w:hyperlink r:id="rId25">
              <w:r>
                <w:rPr>
                  <w:rStyle w:val="InternetLink"/>
                </w:rPr>
                <w:t>S-8</w:t>
              </w:r>
            </w:hyperlink>
          </w:p>
        </w:tc>
        <w:tc>
          <w:tcPr>
            <w:tcW w:w="1422" w:type="dxa"/>
            <w:tcBorders/>
            <w:vAlign w:val="center"/>
          </w:tcPr>
          <w:p>
            <w:pPr>
              <w:pStyle w:val="TableContents"/>
              <w:bidi w:val="0"/>
              <w:spacing w:before="0" w:after="283"/>
              <w:jc w:val="center"/>
              <w:rPr/>
            </w:pPr>
            <w:hyperlink r:id="rId26">
              <w:r>
                <w:rPr>
                  <w:rStyle w:val="InternetLink"/>
                </w:rPr>
                <w:t>4.8</w:t>
              </w:r>
            </w:hyperlink>
          </w:p>
        </w:tc>
        <w:tc>
          <w:tcPr>
            <w:tcW w:w="743" w:type="dxa"/>
            <w:tcBorders/>
            <w:vAlign w:val="center"/>
          </w:tcPr>
          <w:p>
            <w:pPr>
              <w:pStyle w:val="TableContents"/>
              <w:bidi w:val="0"/>
              <w:spacing w:before="0" w:after="283"/>
              <w:jc w:val="center"/>
              <w:rPr/>
            </w:pPr>
            <w:hyperlink r:id="rId27">
              <w:r>
                <w:rPr>
                  <w:rStyle w:val="InternetLink"/>
                </w:rPr>
                <w:t>4/1/2022</w:t>
              </w:r>
            </w:hyperlink>
          </w:p>
        </w:tc>
      </w:tr>
      <w:tr>
        <w:trPr/>
        <w:tc>
          <w:tcPr>
            <w:tcW w:w="819" w:type="dxa"/>
            <w:tcBorders/>
            <w:vAlign w:val="center"/>
          </w:tcPr>
          <w:p>
            <w:pPr>
              <w:pStyle w:val="TableContents"/>
              <w:bidi w:val="0"/>
              <w:spacing w:before="0" w:after="283"/>
              <w:jc w:val="center"/>
              <w:rPr/>
            </w:pPr>
            <w:hyperlink w:anchor="tm2622144d2_ex5-1.htm">
              <w:r>
                <w:rPr>
                  <w:rStyle w:val="InternetLink"/>
                  <w:rFonts w:ascii="Times New Roman;Times;Serif" w:hAnsi="Times New Roman;Times;Serif"/>
                  <w:sz w:val="20"/>
                </w:rPr>
                <w:t>5.1*</w:t>
              </w:r>
            </w:hyperlink>
          </w:p>
        </w:tc>
        <w:tc>
          <w:tcPr>
            <w:tcW w:w="6721" w:type="dxa"/>
            <w:tcBorders/>
            <w:vAlign w:val="center"/>
          </w:tcPr>
          <w:p>
            <w:pPr>
              <w:pStyle w:val="TableContents"/>
              <w:bidi w:val="0"/>
              <w:spacing w:before="0" w:after="283"/>
              <w:jc w:val="left"/>
              <w:rPr/>
            </w:pPr>
            <w:hyperlink w:anchor="tm2622144d2_ex5-1.htm">
              <w:r>
                <w:rPr>
                  <w:rStyle w:val="InternetLink"/>
                  <w:rFonts w:ascii="Times New Roman;Times;Serif" w:hAnsi="Times New Roman;Times;Serif"/>
                  <w:sz w:val="20"/>
                </w:rPr>
                <w:t>Opinion of Mintz, Levin, Cohn, Ferris, Glovsky and Popeo, P.C.</w:t>
              </w:r>
            </w:hyperlink>
          </w:p>
        </w:tc>
        <w:tc>
          <w:tcPr>
            <w:tcW w:w="50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r>
        <w:trPr/>
        <w:tc>
          <w:tcPr>
            <w:tcW w:w="819" w:type="dxa"/>
            <w:tcBorders/>
            <w:vAlign w:val="center"/>
          </w:tcPr>
          <w:p>
            <w:pPr>
              <w:pStyle w:val="TableContents"/>
              <w:bidi w:val="0"/>
              <w:spacing w:before="0" w:after="283"/>
              <w:jc w:val="center"/>
              <w:rPr/>
            </w:pPr>
            <w:hyperlink w:anchor="tm2622144d2_ex23-1.htm">
              <w:r>
                <w:rPr>
                  <w:rStyle w:val="InternetLink"/>
                  <w:rFonts w:ascii="Times New Roman;Times;Serif" w:hAnsi="Times New Roman;Times;Serif"/>
                  <w:sz w:val="20"/>
                </w:rPr>
                <w:t>23.1*</w:t>
              </w:r>
            </w:hyperlink>
          </w:p>
        </w:tc>
        <w:tc>
          <w:tcPr>
            <w:tcW w:w="6721" w:type="dxa"/>
            <w:tcBorders/>
            <w:vAlign w:val="center"/>
          </w:tcPr>
          <w:p>
            <w:pPr>
              <w:pStyle w:val="TableContents"/>
              <w:bidi w:val="0"/>
              <w:spacing w:before="0" w:after="283"/>
              <w:jc w:val="left"/>
              <w:rPr/>
            </w:pPr>
            <w:hyperlink w:anchor="tm2622144d2_ex23-1.htm">
              <w:r>
                <w:rPr>
                  <w:rStyle w:val="InternetLink"/>
                  <w:rFonts w:ascii="Times New Roman;Times;Serif" w:hAnsi="Times New Roman;Times;Serif"/>
                  <w:sz w:val="20"/>
                </w:rPr>
                <w:t>Consent of PricewaterhouseCoopers LLP, Independent Registered Public Accounting Firm.</w:t>
              </w:r>
            </w:hyperlink>
          </w:p>
        </w:tc>
        <w:tc>
          <w:tcPr>
            <w:tcW w:w="50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r>
        <w:trPr/>
        <w:tc>
          <w:tcPr>
            <w:tcW w:w="819" w:type="dxa"/>
            <w:tcBorders/>
            <w:vAlign w:val="center"/>
          </w:tcPr>
          <w:p>
            <w:pPr>
              <w:pStyle w:val="TableContents"/>
              <w:bidi w:val="0"/>
              <w:spacing w:before="0" w:after="283"/>
              <w:jc w:val="center"/>
              <w:rPr/>
            </w:pPr>
            <w:hyperlink w:anchor="tm2622144d2_ex5-1.htm">
              <w:r>
                <w:rPr>
                  <w:rStyle w:val="InternetLink"/>
                  <w:rFonts w:ascii="Times New Roman;Times;Serif" w:hAnsi="Times New Roman;Times;Serif"/>
                  <w:sz w:val="20"/>
                </w:rPr>
                <w:t>23.2*</w:t>
              </w:r>
            </w:hyperlink>
          </w:p>
        </w:tc>
        <w:tc>
          <w:tcPr>
            <w:tcW w:w="6721" w:type="dxa"/>
            <w:tcBorders/>
            <w:vAlign w:val="center"/>
          </w:tcPr>
          <w:p>
            <w:pPr>
              <w:pStyle w:val="TableContents"/>
              <w:bidi w:val="0"/>
              <w:spacing w:before="0" w:after="283"/>
              <w:jc w:val="left"/>
              <w:rPr/>
            </w:pPr>
            <w:hyperlink w:anchor="tm2622144d2_ex5-1.htm">
              <w:r>
                <w:rPr>
                  <w:rStyle w:val="InternetLink"/>
                  <w:rFonts w:ascii="Times New Roman;Times;Serif" w:hAnsi="Times New Roman;Times;Serif"/>
                  <w:sz w:val="20"/>
                </w:rPr>
                <w:t>Consent of Mintz, Levin, Cohn, Ferris, Glovsky and Popeo, P.C. (included as part of Exhibit 5.1 hereto).</w:t>
              </w:r>
            </w:hyperlink>
          </w:p>
        </w:tc>
        <w:tc>
          <w:tcPr>
            <w:tcW w:w="50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r>
        <w:trPr/>
        <w:tc>
          <w:tcPr>
            <w:tcW w:w="819" w:type="dxa"/>
            <w:tcBorders/>
            <w:vAlign w:val="center"/>
          </w:tcPr>
          <w:p>
            <w:pPr>
              <w:pStyle w:val="TableContents"/>
              <w:bidi w:val="0"/>
              <w:spacing w:before="0" w:after="283"/>
              <w:jc w:val="center"/>
              <w:rPr/>
            </w:pPr>
            <w:hyperlink w:anchor="m_001">
              <w:r>
                <w:rPr>
                  <w:rStyle w:val="InternetLink"/>
                  <w:rFonts w:ascii="Times New Roman;Times;Serif" w:hAnsi="Times New Roman;Times;Serif"/>
                  <w:sz w:val="20"/>
                </w:rPr>
                <w:t>24.1*</w:t>
              </w:r>
            </w:hyperlink>
          </w:p>
        </w:tc>
        <w:tc>
          <w:tcPr>
            <w:tcW w:w="6721" w:type="dxa"/>
            <w:tcBorders/>
            <w:vAlign w:val="center"/>
          </w:tcPr>
          <w:p>
            <w:pPr>
              <w:pStyle w:val="TableContents"/>
              <w:bidi w:val="0"/>
              <w:spacing w:before="0" w:after="283"/>
              <w:jc w:val="left"/>
              <w:rPr/>
            </w:pPr>
            <w:hyperlink w:anchor="m_001">
              <w:r>
                <w:rPr>
                  <w:rStyle w:val="InternetLink"/>
                  <w:rFonts w:ascii="Times New Roman;Times;Serif" w:hAnsi="Times New Roman;Times;Serif"/>
                  <w:sz w:val="20"/>
                </w:rPr>
                <w:t>Power of Attorney (included on the signature page to this registration statement).</w:t>
              </w:r>
            </w:hyperlink>
          </w:p>
        </w:tc>
        <w:tc>
          <w:tcPr>
            <w:tcW w:w="50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r>
        <w:trPr/>
        <w:tc>
          <w:tcPr>
            <w:tcW w:w="819" w:type="dxa"/>
            <w:tcBorders/>
            <w:vAlign w:val="center"/>
          </w:tcPr>
          <w:p>
            <w:pPr>
              <w:pStyle w:val="TableContents"/>
              <w:bidi w:val="0"/>
              <w:spacing w:before="0" w:after="283"/>
              <w:jc w:val="center"/>
              <w:rPr/>
            </w:pPr>
            <w:hyperlink r:id="rId28">
              <w:r>
                <w:rPr>
                  <w:rStyle w:val="InternetLink"/>
                  <w:rFonts w:ascii="Times New Roman;Times;Serif" w:hAnsi="Times New Roman;Times;Serif"/>
                  <w:sz w:val="20"/>
                </w:rPr>
                <w:t>99.1#</w:t>
              </w:r>
            </w:hyperlink>
          </w:p>
        </w:tc>
        <w:tc>
          <w:tcPr>
            <w:tcW w:w="6721"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shd w:fill="FFFFFF" w:val="clear"/>
                </w:rPr>
                <w:t>Standard BioTools Inc. Amended and Restated 2017 Employee Stock Purchase Plan, as Amended.</w:t>
              </w:r>
            </w:hyperlink>
          </w:p>
        </w:tc>
        <w:tc>
          <w:tcPr>
            <w:tcW w:w="500" w:type="dxa"/>
            <w:tcBorders/>
            <w:vAlign w:val="center"/>
          </w:tcPr>
          <w:p>
            <w:pPr>
              <w:pStyle w:val="TableContents"/>
              <w:bidi w:val="0"/>
              <w:spacing w:before="0" w:after="283"/>
              <w:jc w:val="center"/>
              <w:rPr/>
            </w:pPr>
            <w:hyperlink r:id="rId30">
              <w:r>
                <w:rPr>
                  <w:rStyle w:val="InternetLink"/>
                  <w:rFonts w:ascii="Times New Roman;Times;Serif" w:hAnsi="Times New Roman;Times;Serif"/>
                  <w:sz w:val="20"/>
                </w:rPr>
                <w:t>8-K</w:t>
              </w:r>
            </w:hyperlink>
          </w:p>
        </w:tc>
        <w:tc>
          <w:tcPr>
            <w:tcW w:w="1422" w:type="dxa"/>
            <w:tcBorders/>
            <w:vAlign w:val="center"/>
          </w:tcPr>
          <w:p>
            <w:pPr>
              <w:pStyle w:val="TableContents"/>
              <w:bidi w:val="0"/>
              <w:spacing w:before="0" w:after="283"/>
              <w:jc w:val="center"/>
              <w:rPr/>
            </w:pPr>
            <w:hyperlink r:id="rId31">
              <w:r>
                <w:rPr>
                  <w:rStyle w:val="InternetLink"/>
                  <w:rFonts w:ascii="Times New Roman;Times;Serif" w:hAnsi="Times New Roman;Times;Serif"/>
                  <w:sz w:val="20"/>
                </w:rPr>
                <w:t>10.2</w:t>
              </w:r>
            </w:hyperlink>
          </w:p>
        </w:tc>
        <w:tc>
          <w:tcPr>
            <w:tcW w:w="743" w:type="dxa"/>
            <w:tcBorders/>
            <w:vAlign w:val="center"/>
          </w:tcPr>
          <w:p>
            <w:pPr>
              <w:pStyle w:val="TableContents"/>
              <w:bidi w:val="0"/>
              <w:spacing w:before="0" w:after="283"/>
              <w:jc w:val="center"/>
              <w:rPr/>
            </w:pPr>
            <w:hyperlink r:id="rId32">
              <w:r>
                <w:rPr>
                  <w:rStyle w:val="InternetLink"/>
                  <w:rFonts w:ascii="Times New Roman;Times;Serif" w:hAnsi="Times New Roman;Times;Serif"/>
                  <w:sz w:val="20"/>
                </w:rPr>
                <w:t>6/18/2026</w:t>
              </w:r>
            </w:hyperlink>
          </w:p>
        </w:tc>
      </w:tr>
      <w:tr>
        <w:trPr/>
        <w:tc>
          <w:tcPr>
            <w:tcW w:w="819" w:type="dxa"/>
            <w:tcBorders/>
            <w:vAlign w:val="center"/>
          </w:tcPr>
          <w:p>
            <w:pPr>
              <w:pStyle w:val="TableContents"/>
              <w:bidi w:val="0"/>
              <w:spacing w:before="0" w:after="283"/>
              <w:jc w:val="center"/>
              <w:rPr/>
            </w:pPr>
            <w:hyperlink w:anchor="tm2622144d2_ex-filingfees.htm">
              <w:r>
                <w:rPr>
                  <w:rStyle w:val="InternetLink"/>
                  <w:rFonts w:ascii="Times New Roman;Times;Serif" w:hAnsi="Times New Roman;Times;Serif"/>
                  <w:sz w:val="20"/>
                </w:rPr>
                <w:t>107*</w:t>
              </w:r>
            </w:hyperlink>
          </w:p>
        </w:tc>
        <w:tc>
          <w:tcPr>
            <w:tcW w:w="6721" w:type="dxa"/>
            <w:tcBorders/>
            <w:vAlign w:val="center"/>
          </w:tcPr>
          <w:p>
            <w:pPr>
              <w:pStyle w:val="TableContents"/>
              <w:bidi w:val="0"/>
              <w:spacing w:before="0" w:after="283"/>
              <w:jc w:val="left"/>
              <w:rPr/>
            </w:pPr>
            <w:hyperlink w:anchor="tm2622144d2_ex-filingfees.htm">
              <w:r>
                <w:rPr>
                  <w:rStyle w:val="InternetLink"/>
                  <w:rFonts w:ascii="Times New Roman;Times;Serif" w:hAnsi="Times New Roman;Times;Serif"/>
                  <w:sz w:val="20"/>
                </w:rPr>
                <w:t>Filing Fee Table</w:t>
              </w:r>
            </w:hyperlink>
          </w:p>
        </w:tc>
        <w:tc>
          <w:tcPr>
            <w:tcW w:w="500" w:type="dxa"/>
            <w:tcBorders/>
            <w:vAlign w:val="center"/>
          </w:tcPr>
          <w:p>
            <w:pPr>
              <w:pStyle w:val="TableContents"/>
              <w:bidi w:val="0"/>
              <w:spacing w:before="0" w:after="283"/>
              <w:jc w:val="left"/>
              <w:rPr/>
            </w:pPr>
            <w:r>
              <w:rPr/>
              <w:t> </w:t>
            </w:r>
          </w:p>
        </w:tc>
        <w:tc>
          <w:tcPr>
            <w:tcW w:w="142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 contract,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m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August 5, 2026.</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Egholm,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Egholm,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Michael Egholm, Ph.D. and Alex Kim,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2570"/>
        <w:gridCol w:w="4250"/>
        <w:gridCol w:w="1280"/>
      </w:tblGrid>
      <w:tr>
        <w:trPr/>
        <w:tc>
          <w:tcPr>
            <w:tcW w:w="257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Signature</w:t>
            </w:r>
          </w:p>
        </w:tc>
        <w:tc>
          <w:tcPr>
            <w:tcW w:w="425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c>
          <w:tcPr>
            <w:tcW w:w="128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Date</w:t>
            </w:r>
          </w:p>
        </w:tc>
      </w:tr>
      <w:tr>
        <w:trPr/>
        <w:tc>
          <w:tcPr>
            <w:tcW w:w="2570" w:type="dxa"/>
            <w:tcBorders/>
            <w:vAlign w:val="center"/>
          </w:tcPr>
          <w:p>
            <w:pPr>
              <w:pStyle w:val="TableContents"/>
              <w:bidi w:val="0"/>
              <w:spacing w:before="0" w:after="283"/>
              <w:jc w:val="center"/>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Michael Egholm, Ph.D.</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Michael Egholm, Ph.D.</w:t>
            </w:r>
          </w:p>
        </w:tc>
        <w:tc>
          <w:tcPr>
            <w:tcW w:w="4250" w:type="dxa"/>
            <w:tcBorders/>
            <w:vAlign w:val="center"/>
          </w:tcPr>
          <w:p>
            <w:pPr>
              <w:pStyle w:val="TableContents"/>
              <w:bidi w:val="0"/>
              <w:spacing w:before="0" w:after="283"/>
              <w:jc w:val="center"/>
              <w:rPr/>
            </w:pPr>
            <w:r>
              <w:rPr/>
              <w:t>(Principal Executive Officer)</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Alex Kim</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Alex Kim</w:t>
            </w:r>
          </w:p>
        </w:tc>
        <w:tc>
          <w:tcPr>
            <w:tcW w:w="4250" w:type="dxa"/>
            <w:tcBorders/>
            <w:vAlign w:val="center"/>
          </w:tcPr>
          <w:p>
            <w:pPr>
              <w:pStyle w:val="TableContents"/>
              <w:bidi w:val="0"/>
              <w:spacing w:before="0" w:after="283"/>
              <w:jc w:val="center"/>
              <w:rPr/>
            </w:pPr>
            <w:r>
              <w:rPr/>
              <w:t>(Principal Financial and Accounting Officer)</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Tom Carey</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Tom Carey</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Frank R. Witney, Ph.D.</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Frank R. Witney, Ph.D.</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Fenel M. Eloi</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Fenel M. Eloi</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Troy Cox</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Troy Cox</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Eli Casdin</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Eli Casdin</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r>
        <w:trPr/>
        <w:tc>
          <w:tcPr>
            <w:tcW w:w="2570" w:type="dxa"/>
            <w:tcBorders>
              <w:bottom w:val="single" w:sz="8" w:space="0" w:color="000000"/>
            </w:tcBorders>
            <w:tcMar>
              <w:bottom w:w="28" w:type="dxa"/>
            </w:tcMar>
            <w:vAlign w:val="center"/>
          </w:tcPr>
          <w:p>
            <w:pPr>
              <w:pStyle w:val="TableContents"/>
              <w:bidi w:val="0"/>
              <w:spacing w:before="0" w:after="283"/>
              <w:jc w:val="left"/>
              <w:rPr/>
            </w:pPr>
            <w:r>
              <w:rPr/>
              <w:t>/s/ Kathy Hibbs</w:t>
            </w:r>
          </w:p>
        </w:tc>
        <w:tc>
          <w:tcPr>
            <w:tcW w:w="42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2570" w:type="dxa"/>
            <w:tcBorders/>
            <w:vAlign w:val="center"/>
          </w:tcPr>
          <w:p>
            <w:pPr>
              <w:pStyle w:val="TableContents"/>
              <w:bidi w:val="0"/>
              <w:spacing w:before="0" w:after="283"/>
              <w:jc w:val="left"/>
              <w:rPr/>
            </w:pPr>
            <w:r>
              <w:rPr/>
              <w:t>Kathy Hibbs</w:t>
            </w:r>
          </w:p>
        </w:tc>
        <w:tc>
          <w:tcPr>
            <w:tcW w:w="4250" w:type="dxa"/>
            <w:tcBorders/>
            <w:vAlign w:val="center"/>
          </w:tcPr>
          <w:p>
            <w:pPr>
              <w:pStyle w:val="TableContents"/>
              <w:bidi w:val="0"/>
              <w:spacing w:before="0" w:after="283"/>
              <w:jc w:val="center"/>
              <w:rPr/>
            </w:pPr>
            <w:r>
              <w:rPr/>
              <w:t> </w:t>
            </w:r>
          </w:p>
        </w:tc>
        <w:tc>
          <w:tcPr>
            <w:tcW w:w="128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3" w:name="tm2622144d2_ex5-1.htm"/>
      <w:bookmarkStart w:id="4" w:name="kstm2622144d2_ex51"/>
      <w:bookmarkEnd w:id="3"/>
      <w:bookmarkEnd w:id="4"/>
      <w:r>
        <w:rPr>
          <w:b/>
          <w:sz w:val="20"/>
        </w:rPr>
        <w:t>Exhibit 5.1</w:t>
      </w:r>
      <w:r>
        <w:br w:type="page"/>
      </w:r>
    </w:p>
    <w:p>
      <w:pPr>
        <w:pStyle w:val="TextBody"/>
        <w:bidi w:val="0"/>
        <w:spacing w:before="0" w:after="283"/>
        <w:jc w:val="left"/>
        <w:rPr/>
      </w:pPr>
      <w:r>
        <w:rPr/>
        <w:t> </w:t>
      </w:r>
    </w:p>
    <w:tbl>
      <w:tblPr>
        <w:tblW w:w="3260" w:type="dxa"/>
        <w:jc w:val="left"/>
        <w:tblInd w:w="0" w:type="dxa"/>
        <w:tblLayout w:type="fixed"/>
        <w:tblCellMar>
          <w:top w:w="0" w:type="dxa"/>
          <w:left w:w="0" w:type="dxa"/>
          <w:bottom w:w="0" w:type="dxa"/>
          <w:right w:w="0" w:type="dxa"/>
        </w:tblCellMar>
      </w:tblPr>
      <w:tblGrid>
        <w:gridCol w:w="75"/>
        <w:gridCol w:w="1425"/>
        <w:gridCol w:w="1760"/>
      </w:tblGrid>
      <w:tr>
        <w:trPr/>
        <w:tc>
          <w:tcPr>
            <w:tcW w:w="75"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center"/>
              <w:rPr/>
            </w:pPr>
            <w:r>
              <w:rPr/>
              <w:drawing>
                <wp:inline distT="0" distB="0" distL="0" distR="0">
                  <wp:extent cx="866775"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3"/>
                          <a:stretch>
                            <a:fillRect/>
                          </a:stretch>
                        </pic:blipFill>
                        <pic:spPr bwMode="auto">
                          <a:xfrm>
                            <a:off x="0" y="0"/>
                            <a:ext cx="866775" cy="1123950"/>
                          </a:xfrm>
                          <a:prstGeom prst="rect">
                            <a:avLst/>
                          </a:prstGeom>
                        </pic:spPr>
                      </pic:pic>
                    </a:graphicData>
                  </a:graphic>
                </wp:inline>
              </w:drawing>
            </w:r>
            <w:r>
              <w:rPr/>
              <w:t> </w:t>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617 542 6000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p>
            <w:pPr>
              <w:pStyle w:val="TableContents"/>
              <w:bidi w:val="0"/>
              <w:spacing w:before="0" w:after="283"/>
              <w:jc w:val="left"/>
              <w:rPr/>
            </w:pPr>
            <w:r>
              <w:rPr/>
              <w:t> </w:t>
            </w:r>
          </w:p>
        </w:tc>
      </w:tr>
    </w:tbl>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Milk Street, 10th Floor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02109</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305"/>
        <w:gridCol w:w="29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counsel to Standard BioTools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1,200,000 additional shares (the “Shares”) of the Company’s common stock, par value $0.001 per share, that may be issued pursuant to the Company’s Amended and Restated 2017 Employee Stock Purchase Plan, as Amended (the “ESPP”). This opinion is being rendered in connection with the filing of the Registration Statement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ESPP.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when issued and delivered in accordance with the terms of the ESPP, will be validly issued, fully paid and non-assessable.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Boston    Los Angeles    MIAMI    New York    San Diego    San Francisco    toronto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1325"/>
        <w:gridCol w:w="975"/>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r>
              <w:rPr/>
              <w:drawing>
                <wp:inline distT="0" distB="0" distL="0" distR="0">
                  <wp:extent cx="5715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571500" cy="7143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75"/>
        <w:gridCol w:w="4565"/>
      </w:tblGrid>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Mintz, Levin, Cohn, Ferris, Glovsky and Popeo, P.C. </w:t>
            </w:r>
          </w:p>
        </w:tc>
      </w:tr>
      <w:tr>
        <w:trPr/>
        <w:tc>
          <w:tcPr>
            <w:tcW w:w="7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tm2622144d2_ex23-1.htm"/>
      <w:bookmarkStart w:id="6" w:name="kstm2622144d2_ex231"/>
      <w:bookmarkEnd w:id="5"/>
      <w:bookmarkEnd w:id="6"/>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Standard BioTools Inc. of our report dated March 16, 2026 relating to the financial statements, and the effectiveness of internal control over financial reporting, which appears in Standard BioTools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22144d2_ex-filingfees.htm"/>
      <w:bookmarkStart w:id="8" w:name="kstm2622144d2_exfilingfees"/>
      <w:bookmarkStart w:id="9" w:name="tm2622144d2_ex-filingfees.htm"/>
      <w:bookmarkStart w:id="10" w:name="kstm2622144d2_exfilingfees"/>
      <w:bookmarkEnd w:id="9"/>
      <w:bookmarkEnd w:id="10"/>
      <w:r>
        <w:br w:type="page"/>
      </w:r>
    </w:p>
    <w:tbl>
      <w:tblPr>
        <w:tblW w:w="3605" w:type="dxa"/>
        <w:jc w:val="left"/>
        <w:tblInd w:w="0" w:type="dxa"/>
        <w:tblLayout w:type="fixed"/>
        <w:tblCellMar>
          <w:top w:w="28" w:type="dxa"/>
          <w:left w:w="28" w:type="dxa"/>
          <w:bottom w:w="28" w:type="dxa"/>
          <w:right w:w="28" w:type="dxa"/>
        </w:tblCellMar>
      </w:tblPr>
      <w:tblGrid>
        <w:gridCol w:w="3451"/>
        <w:gridCol w:w="154"/>
      </w:tblGrid>
      <w:tr>
        <w:trPr/>
        <w:tc>
          <w:tcPr>
            <w:tcW w:w="360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5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b/>
              </w:rPr>
            </w:pPr>
            <w:r>
              <w:rPr>
                <w:b/>
              </w:rPr>
              <w:t xml:space="preserve">STANDARD BIOTOOLS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3"/>
        <w:gridCol w:w="1301"/>
        <w:gridCol w:w="1210"/>
        <w:gridCol w:w="1245"/>
        <w:gridCol w:w="1604"/>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3" w:type="dxa"/>
            <w:tcBorders/>
            <w:shd w:fill="E7E7E2" w:val="clear"/>
            <w:vAlign w:val="center"/>
          </w:tcPr>
          <w:p>
            <w:pPr>
              <w:pStyle w:val="TableContents"/>
              <w:bidi w:val="0"/>
              <w:spacing w:before="0" w:after="283"/>
              <w:jc w:val="left"/>
              <w:rPr/>
            </w:pPr>
            <w:r>
              <w:rPr/>
              <w:t xml:space="preserve">Common Stock $0.001 par value per share </w:t>
            </w:r>
          </w:p>
        </w:tc>
        <w:tc>
          <w:tcPr>
            <w:tcW w:w="1301" w:type="dxa"/>
            <w:tcBorders/>
            <w:shd w:fill="E7E7E2" w:val="clear"/>
            <w:vAlign w:val="center"/>
          </w:tcPr>
          <w:p>
            <w:pPr>
              <w:pStyle w:val="TableContents"/>
              <w:bidi w:val="0"/>
              <w:spacing w:before="0" w:after="283"/>
              <w:jc w:val="center"/>
              <w:rPr/>
            </w:pPr>
            <w:r>
              <w:rPr/>
              <w:t xml:space="preserve">457(a) </w:t>
            </w:r>
          </w:p>
        </w:tc>
        <w:tc>
          <w:tcPr>
            <w:tcW w:w="1210" w:type="dxa"/>
            <w:tcBorders/>
            <w:shd w:fill="E7E7E2" w:val="clear"/>
            <w:vAlign w:val="center"/>
          </w:tcPr>
          <w:p>
            <w:pPr>
              <w:pStyle w:val="TableContents"/>
              <w:bidi w:val="0"/>
              <w:spacing w:before="0" w:after="283"/>
              <w:jc w:val="right"/>
              <w:rPr/>
            </w:pPr>
            <w:r>
              <w:rPr/>
              <w:t xml:space="preserve">1,200,000 </w:t>
            </w:r>
          </w:p>
        </w:tc>
        <w:tc>
          <w:tcPr>
            <w:tcW w:w="1245" w:type="dxa"/>
            <w:tcBorders/>
            <w:shd w:fill="E7E7E2" w:val="clear"/>
            <w:vAlign w:val="center"/>
          </w:tcPr>
          <w:p>
            <w:pPr>
              <w:pStyle w:val="TableContents"/>
              <w:bidi w:val="0"/>
              <w:spacing w:before="0" w:after="283"/>
              <w:jc w:val="right"/>
              <w:rPr/>
            </w:pPr>
            <w:r>
              <w:rPr/>
              <w:t xml:space="preserve">$ 0.8815 </w:t>
            </w:r>
          </w:p>
        </w:tc>
        <w:tc>
          <w:tcPr>
            <w:tcW w:w="1604" w:type="dxa"/>
            <w:tcBorders/>
            <w:shd w:fill="E7E7E2" w:val="clear"/>
            <w:vAlign w:val="center"/>
          </w:tcPr>
          <w:p>
            <w:pPr>
              <w:pStyle w:val="TableContents"/>
              <w:bidi w:val="0"/>
              <w:spacing w:before="0" w:after="283"/>
              <w:jc w:val="right"/>
              <w:rPr/>
            </w:pPr>
            <w:r>
              <w:rPr/>
              <w:t xml:space="preserve">$ 1,057,800.00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$ 146.08 </w:t>
            </w:r>
          </w:p>
        </w:tc>
      </w:tr>
      <w:tr>
        <w:trPr/>
        <w:tc>
          <w:tcPr>
            <w:tcW w:w="4788" w:type="dxa"/>
            <w:gridSpan w:val="5"/>
            <w:tcBorders/>
            <w:vAlign w:val="center"/>
          </w:tcPr>
          <w:p>
            <w:pPr>
              <w:pStyle w:val="TableContents"/>
              <w:bidi w:val="0"/>
              <w:spacing w:before="0" w:after="0"/>
              <w:ind w:left="0" w:right="0" w:hanging="0"/>
              <w:jc w:val="right"/>
              <w:rPr/>
            </w:pPr>
            <w:r>
              <w:rPr/>
              <w:t>Total Offering Amounts:</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0"/>
              <w:ind w:left="0" w:right="0" w:hanging="0"/>
              <w:jc w:val="right"/>
              <w:rPr/>
            </w:pPr>
            <w:bookmarkStart w:id="11" w:name="MaxAggtOfferingPrice"/>
            <w:bookmarkEnd w:id="11"/>
            <w:r>
              <w:rPr/>
              <w:t xml:space="preserve">$ 1,057,800.00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$ 146.08 </w:t>
            </w:r>
          </w:p>
        </w:tc>
      </w:tr>
      <w:tr>
        <w:trPr/>
        <w:tc>
          <w:tcPr>
            <w:tcW w:w="4788" w:type="dxa"/>
            <w:gridSpan w:val="5"/>
            <w:tcBorders/>
            <w:vAlign w:val="center"/>
          </w:tcPr>
          <w:p>
            <w:pPr>
              <w:pStyle w:val="TableContents"/>
              <w:bidi w:val="0"/>
              <w:spacing w:before="0" w:after="0"/>
              <w:ind w:left="0" w:right="0" w:hanging="0"/>
              <w:jc w:val="right"/>
              <w:rPr/>
            </w:pPr>
            <w:r>
              <w:rPr/>
              <w:t xml:space="preserve">Total Fee Offsets: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88" w:type="dxa"/>
            <w:gridSpan w:val="5"/>
            <w:tcBorders/>
            <w:vAlign w:val="center"/>
          </w:tcPr>
          <w:p>
            <w:pPr>
              <w:pStyle w:val="TableContents"/>
              <w:bidi w:val="0"/>
              <w:spacing w:before="0" w:after="0"/>
              <w:ind w:left="0" w:right="0" w:hanging="0"/>
              <w:jc w:val="right"/>
              <w:rPr/>
            </w:pPr>
            <w:r>
              <w:rPr/>
              <w:t xml:space="preserve">Net Fee Due: </w:t>
            </w:r>
          </w:p>
        </w:tc>
        <w:tc>
          <w:tcPr>
            <w:tcW w:w="12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4" w:name="NetFeeAmt"/>
            <w:bookmarkEnd w:id="14"/>
            <w:r>
              <w:rPr/>
              <w:t xml:space="preserve">$ 146.08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Note 1(a): The number of shares of common stock, par value $0.001 per share ("Common Stock") of Standard BioTools Inc. (the "Registrant") stated above consists of additional shares of Common Stock available for issuance pursuant to the Standard BioTools Inc. Amended and Restated 2017 Employee Stock Purchase Plan, as Amended (the "ESPP"). In addition, pursuant to Rule 416(a) under the Securities Act of 1933, as amended (the "Securities Act"), this Registration Statement shall also cover any additional shares of the Registrant's Common Stock that become issuable under the ESPP by reason of an event such as any stock split, stock dividend or similar adjustment effected without the Registrant's receipt of consideration that increases the number of the outstanding shares of Common Stock. Note 1(b): Estimated solely for the purpose of calculating the amount of the registration fee pursuant to Rule 457(c) and Rule 457(h) under the Securities Act. The offering price per share and the aggregate offering price for shares reserved for future grant or issuance under the ESPP are based upon a price of $0.8815 per share, which is the average of the high and the low price of Registrant's Common Stock as reported on The Nasdaq Global Select Market as of a date (August 3, 2026) within five business days prior to filing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2194/000116219420000090/fldmforms-8esppeipincrease.htm" TargetMode="External"/><Relationship Id="rId3" Type="http://schemas.openxmlformats.org/officeDocument/2006/relationships/hyperlink" Target="https://www.sec.gov/Archives/edgar/data/1162194/000119312522093794/d300506dex41.htm" TargetMode="External"/><Relationship Id="rId4" Type="http://schemas.openxmlformats.org/officeDocument/2006/relationships/hyperlink" Target="https://www.sec.gov/Archives/edgar/data/1162194/000119312522093794/d300506dex41.htm" TargetMode="External"/><Relationship Id="rId5" Type="http://schemas.openxmlformats.org/officeDocument/2006/relationships/hyperlink" Target="https://www.sec.gov/Archives/edgar/data/1162194/000119312522093794/d300506dex41.htm" TargetMode="External"/><Relationship Id="rId6" Type="http://schemas.openxmlformats.org/officeDocument/2006/relationships/hyperlink" Target="https://www.sec.gov/Archives/edgar/data/1162194/000119312522093794/d300506dex41.htm" TargetMode="External"/><Relationship Id="rId7" Type="http://schemas.openxmlformats.org/officeDocument/2006/relationships/hyperlink" Target="https://www.sec.gov/Archives/edgar/data/1162194/000119312522093794/d300506dex41.htm" TargetMode="External"/><Relationship Id="rId8" Type="http://schemas.openxmlformats.org/officeDocument/2006/relationships/hyperlink" Target="https://www.sec.gov/Archives/edgar/data/1162194/000119312511078412/dex31.htm" TargetMode="External"/><Relationship Id="rId9" Type="http://schemas.openxmlformats.org/officeDocument/2006/relationships/hyperlink" Target="https://www.sec.gov/Archives/edgar/data/1162194/000119312511078412/dex31.htm" TargetMode="External"/><Relationship Id="rId10" Type="http://schemas.openxmlformats.org/officeDocument/2006/relationships/hyperlink" Target="https://www.sec.gov/Archives/edgar/data/1162194/000119312511078412/dex31.htm" TargetMode="External"/><Relationship Id="rId11" Type="http://schemas.openxmlformats.org/officeDocument/2006/relationships/hyperlink" Target="https://www.sec.gov/Archives/edgar/data/1162194/000119312511078412/dex31.htm" TargetMode="External"/><Relationship Id="rId12" Type="http://schemas.openxmlformats.org/officeDocument/2006/relationships/hyperlink" Target="https://www.sec.gov/Archives/edgar/data/1162194/000119312511078412/dex31.htm" TargetMode="External"/><Relationship Id="rId13" Type="http://schemas.openxmlformats.org/officeDocument/2006/relationships/hyperlink" Target="https://www.sec.gov/Archives/edgar/data/1162194/000119312522093794/d300506dex43.htm" TargetMode="External"/><Relationship Id="rId14" Type="http://schemas.openxmlformats.org/officeDocument/2006/relationships/hyperlink" Target="https://www.sec.gov/Archives/edgar/data/1162194/000119312522093794/d300506dex43.htm" TargetMode="External"/><Relationship Id="rId15" Type="http://schemas.openxmlformats.org/officeDocument/2006/relationships/hyperlink" Target="https://www.sec.gov/Archives/edgar/data/1162194/000119312522093794/d300506dex43.htm" TargetMode="External"/><Relationship Id="rId16" Type="http://schemas.openxmlformats.org/officeDocument/2006/relationships/hyperlink" Target="https://www.sec.gov/Archives/edgar/data/1162194/000119312522093794/d300506dex43.htm" TargetMode="External"/><Relationship Id="rId17" Type="http://schemas.openxmlformats.org/officeDocument/2006/relationships/hyperlink" Target="https://www.sec.gov/Archives/edgar/data/1162194/000119312522093794/d300506dex43.htm" TargetMode="External"/><Relationship Id="rId18" Type="http://schemas.openxmlformats.org/officeDocument/2006/relationships/hyperlink" Target="https://www.sec.gov/Archives/edgar/data/1162194/000110465924001640/tm2333984d3_ex3-1.htm" TargetMode="External"/><Relationship Id="rId19" Type="http://schemas.openxmlformats.org/officeDocument/2006/relationships/hyperlink" Target="https://www.sec.gov/Archives/edgar/data/1162194/000110465924001640/tm2333984d3_ex3-1.htm" TargetMode="External"/><Relationship Id="rId20" Type="http://schemas.openxmlformats.org/officeDocument/2006/relationships/hyperlink" Target="https://www.sec.gov/Archives/edgar/data/1162194/000110465924001640/tm2333984d3_ex3-1.htm" TargetMode="External"/><Relationship Id="rId21" Type="http://schemas.openxmlformats.org/officeDocument/2006/relationships/hyperlink" Target="https://www.sec.gov/Archives/edgar/data/1162194/000110465924001640/tm2333984d3_ex3-1.htm" TargetMode="External"/><Relationship Id="rId22" Type="http://schemas.openxmlformats.org/officeDocument/2006/relationships/hyperlink" Target="https://www.sec.gov/Archives/edgar/data/1162194/000110465924001640/tm2333984d3_ex3-1.htm" TargetMode="External"/><Relationship Id="rId23" Type="http://schemas.openxmlformats.org/officeDocument/2006/relationships/hyperlink" Target="https://www.sec.gov/Archives/edgar/data/1162194/000119312522093794/d300506dex48.htm" TargetMode="External"/><Relationship Id="rId24" Type="http://schemas.openxmlformats.org/officeDocument/2006/relationships/hyperlink" Target="https://www.sec.gov/Archives/edgar/data/1162194/000119312522093794/d300506dex48.htm" TargetMode="External"/><Relationship Id="rId25" Type="http://schemas.openxmlformats.org/officeDocument/2006/relationships/hyperlink" Target="https://www.sec.gov/Archives/edgar/data/1162194/000119312522093794/d300506dex48.htm" TargetMode="External"/><Relationship Id="rId26" Type="http://schemas.openxmlformats.org/officeDocument/2006/relationships/hyperlink" Target="https://www.sec.gov/Archives/edgar/data/1162194/000119312522093794/d300506dex48.htm" TargetMode="External"/><Relationship Id="rId27" Type="http://schemas.openxmlformats.org/officeDocument/2006/relationships/hyperlink" Target="https://www.sec.gov/Archives/edgar/data/1162194/000119312522093794/d300506dex48.htm" TargetMode="External"/><Relationship Id="rId28" Type="http://schemas.openxmlformats.org/officeDocument/2006/relationships/hyperlink" Target="https://www.sec.gov/Archives/edgar/data/1162194/000119312526275946/lab-ex10_2.htm" TargetMode="External"/><Relationship Id="rId29" Type="http://schemas.openxmlformats.org/officeDocument/2006/relationships/hyperlink" Target="https://www.sec.gov/Archives/edgar/data/1162194/000119312526275946/lab-ex10_2.htm" TargetMode="External"/><Relationship Id="rId30" Type="http://schemas.openxmlformats.org/officeDocument/2006/relationships/hyperlink" Target="https://www.sec.gov/Archives/edgar/data/1162194/000119312526275946/lab-ex10_2.htm" TargetMode="External"/><Relationship Id="rId31" Type="http://schemas.openxmlformats.org/officeDocument/2006/relationships/hyperlink" Target="https://www.sec.gov/Archives/edgar/data/1162194/000119312526275946/lab-ex10_2.htm" TargetMode="External"/><Relationship Id="rId32" Type="http://schemas.openxmlformats.org/officeDocument/2006/relationships/hyperlink" Target="https://www.sec.gov/Archives/edgar/data/1162194/000119312526275946/lab-ex10_2.htm" TargetMode="External"/><Relationship Id="rId33" Type="http://schemas.openxmlformats.org/officeDocument/2006/relationships/image" Target="media/image1.jpeg"/><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2625</Words>
  <Characters>14156</Characters>
  <CharactersWithSpaces>16804</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