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805.htm"/>
      <w:bookmarkStart w:id="1" w:name="kslab20260805"/>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 Milk Street, 10th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02109</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Standard BioTools Inc. issued a press release which included information with respect to certain financial results for the three and six months ended June 30, 2026. The press release is attached hereto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the press release, except for the information set forth under the headings “Full Year 2026 Revenue Outlook” and “About Standard BioTools Inc.”, together with the forward-looking statement disclaimer, is incorporated by reference into this Item 2.02 of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the headings “Full Year 2026 Revenue Outlook” and “About Standard BioTools Inc.”, together with the forward-looking statement disclaimer, is incorporated by reference into this Item 7.01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66"/>
        <w:gridCol w:w="164"/>
        <w:gridCol w:w="6619"/>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19"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99_1.htm">
              <w:r>
                <w:rPr>
                  <w:rStyle w:val="InternetLink"/>
                  <w:rFonts w:ascii="Times New Roman" w:hAnsi="Times New Roman"/>
                  <w:color w:val="0000FF"/>
                  <w:sz w:val="20"/>
                  <w:u w:val="single"/>
                </w:rPr>
                <w:t>Press release issued by Standard BioTools Inc., dated August 5, 2026</w:t>
              </w:r>
            </w:hyperlink>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029" w:type="dxa"/>
        <w:jc w:val="left"/>
        <w:tblInd w:w="0" w:type="dxa"/>
        <w:tblLayout w:type="fixed"/>
        <w:tblCellMar>
          <w:top w:w="28" w:type="dxa"/>
          <w:left w:w="28" w:type="dxa"/>
          <w:bottom w:w="28" w:type="dxa"/>
          <w:right w:w="28" w:type="dxa"/>
        </w:tblCellMar>
      </w:tblPr>
      <w:tblGrid>
        <w:gridCol w:w="181"/>
        <w:gridCol w:w="651"/>
        <w:gridCol w:w="166"/>
        <w:gridCol w:w="2031"/>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August 5, 2026</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lab-ex99_1.htm"/>
      <w:bookmarkStart w:id="4" w:name="kslabex99_1"/>
      <w:bookmarkEnd w:id="3"/>
      <w:bookmarkEnd w:id="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0953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781050"/>
                    </a:xfrm>
                    <a:prstGeom prst="rect">
                      <a:avLst/>
                    </a:prstGeom>
                  </pic:spPr>
                </pic:pic>
              </a:graphicData>
            </a:graphic>
          </wp:inline>
        </w:drawing>
      </w:r>
    </w:p>
    <w:p>
      <w:pPr>
        <w:pStyle w:val="TextBody"/>
        <w:bidi w:val="0"/>
        <w:jc w:val="center"/>
        <w:rPr>
          <w:rFonts w:ascii="Times New Roman" w:hAnsi="Times New Roman"/>
          <w:b/>
          <w:color w:val="000000"/>
          <w:sz w:val="27"/>
        </w:rPr>
      </w:pPr>
      <w:r>
        <w:rPr>
          <w:rFonts w:ascii="Times New Roman" w:hAnsi="Times New Roman"/>
          <w:b/>
          <w:color w:val="000000"/>
          <w:sz w:val="27"/>
        </w:rPr>
        <w:t>Standard BioTools Reports Second Quarter 2026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BOSTON, Mass., August 5, 2026 (GLOBE NEWSWIRE) -- Standard BioTools Inc. (NASDAQ: LAB) (the “Company” or “Standard BioTools”) today announced financial results for the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Recent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Second quarter 2026 revenue of $20.1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1% improvement in operating loss and 84% improvement in adjusted EBITDA year-over-year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Merger with Treeline Biosciences progressing toward stockholder vote and anticipated to close before year-end 2026</w:t>
      </w:r>
    </w:p>
    <w:p>
      <w:pPr>
        <w:pStyle w:val="TextBody"/>
        <w:bidi w:val="0"/>
        <w:jc w:val="left"/>
        <w:rPr>
          <w:color w:val="000000"/>
        </w:rPr>
      </w:pPr>
      <w:r>
        <w:rPr>
          <w:color w:val="000000"/>
        </w:rPr>
        <w:t>“</w:t>
      </w:r>
      <w:r>
        <w:rPr>
          <w:rFonts w:ascii="Times New Roman" w:hAnsi="Times New Roman"/>
          <w:color w:val="000000"/>
          <w:sz w:val="22"/>
        </w:rPr>
        <w:t>We remain on track to close our merger with Treeline Biosciences in 2026, with our previously filed registration statement on Form S-4, our agreement to divest our Mass Cytometry business, and Illumina’s early buyout of contingent payments for $30 million from its acquisition of SomaLogic,” said Michael Egholm, PhD, President and Chief Executive Officer of Standard BioTools. “We continue to believe this merger is the best path forward to maximize shareholder value, providing exposure to a catalyst-rich, well-capitalized pipeline of potential new therapeutics with significant near and long term value creation opportunities, and we look forward to updating stockholders as we progress toward the vote and closing.”</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Dr. Egholm continued, “While the transaction process continues, our team remains focused on serving our customers. Our continued cost discipline drove an 84% year-over-year improvement in adjusted EBITDA for the second quarter.”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b/>
          <w:color w:val="000000"/>
          <w:sz w:val="22"/>
        </w:rPr>
        <w:t>Financial Results Table: Continuing Operations</w:t>
      </w:r>
    </w:p>
    <w:tbl>
      <w:tblPr>
        <w:tblW w:w="10205" w:type="dxa"/>
        <w:jc w:val="left"/>
        <w:tblInd w:w="0" w:type="dxa"/>
        <w:tblLayout w:type="fixed"/>
        <w:tblCellMar>
          <w:top w:w="28" w:type="dxa"/>
          <w:left w:w="28" w:type="dxa"/>
          <w:bottom w:w="28" w:type="dxa"/>
          <w:right w:w="28" w:type="dxa"/>
        </w:tblCellMar>
      </w:tblPr>
      <w:tblGrid>
        <w:gridCol w:w="4777"/>
        <w:gridCol w:w="258"/>
        <w:gridCol w:w="700"/>
        <w:gridCol w:w="332"/>
        <w:gridCol w:w="179"/>
        <w:gridCol w:w="258"/>
        <w:gridCol w:w="700"/>
        <w:gridCol w:w="271"/>
        <w:gridCol w:w="146"/>
        <w:gridCol w:w="241"/>
        <w:gridCol w:w="652"/>
        <w:gridCol w:w="309"/>
        <w:gridCol w:w="166"/>
        <w:gridCol w:w="241"/>
        <w:gridCol w:w="652"/>
        <w:gridCol w:w="323"/>
      </w:tblGrid>
      <w:tr>
        <w:trPr/>
        <w:tc>
          <w:tcPr>
            <w:tcW w:w="47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(Unaudited, in millions, except percentages)</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short-term and long-term investments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Second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Revenue</w:t>
      </w:r>
      <w:r>
        <w:rPr>
          <w:color w:val="000000"/>
        </w:rPr>
        <w:t xml:space="preserve"> </w:t>
      </w:r>
      <w:r>
        <w:rPr>
          <w:rFonts w:ascii="Times New Roman" w:hAnsi="Times New Roman"/>
          <w:color w:val="000000"/>
          <w:sz w:val="22"/>
        </w:rPr>
        <w:t>was $20.1 million in the second quarter of 2026, down 7.6% year-over-year.</w:t>
      </w:r>
    </w:p>
    <w:p>
      <w:pPr>
        <w:pStyle w:val="TextBody"/>
        <w:bidi w:val="0"/>
        <w:spacing w:before="0" w:after="80"/>
        <w:jc w:val="left"/>
        <w:rPr>
          <w:color w:val="000000"/>
        </w:rPr>
      </w:pPr>
      <w:r>
        <w:rPr>
          <w:color w:val="000000"/>
        </w:rPr>
        <w:t>•</w:t>
      </w:r>
    </w:p>
    <w:p>
      <w:pPr>
        <w:pStyle w:val="TextBody"/>
        <w:bidi w:val="0"/>
        <w:spacing w:before="0" w:after="80"/>
        <w:jc w:val="left"/>
        <w:rPr/>
      </w:pPr>
      <w:r>
        <w:rPr>
          <w:rFonts w:ascii="Times New Roman" w:hAnsi="Times New Roman"/>
          <w:b/>
          <w:color w:val="000000"/>
          <w:sz w:val="22"/>
        </w:rPr>
        <w:t>Consumables</w:t>
      </w:r>
      <w:r>
        <w:rPr>
          <w:color w:val="000000"/>
        </w:rPr>
        <w:t xml:space="preserve"> </w:t>
      </w:r>
      <w:r>
        <w:rPr>
          <w:rFonts w:ascii="Times New Roman" w:hAnsi="Times New Roman"/>
          <w:color w:val="000000"/>
          <w:sz w:val="22"/>
        </w:rPr>
        <w:t xml:space="preserve">revenue was $9.4 million in the second quarter of 2026, down 10% year-over-year, compared against particularly strong prior year results and continued US Academia spend uncertainty. </w:t>
      </w:r>
    </w:p>
    <w:p>
      <w:pPr>
        <w:pStyle w:val="TextBody"/>
        <w:bidi w:val="0"/>
        <w:spacing w:before="0" w:after="80"/>
        <w:jc w:val="left"/>
        <w:rPr>
          <w:color w:val="000000"/>
        </w:rPr>
      </w:pPr>
      <w:r>
        <w:rPr>
          <w:color w:val="000000"/>
        </w:rPr>
        <w:t>•</w:t>
      </w:r>
    </w:p>
    <w:p>
      <w:pPr>
        <w:pStyle w:val="TextBody"/>
        <w:bidi w:val="0"/>
        <w:spacing w:before="0" w:after="80"/>
        <w:jc w:val="left"/>
        <w:rPr/>
      </w:pPr>
      <w:r>
        <w:rPr>
          <w:rFonts w:ascii="Times New Roman" w:hAnsi="Times New Roman"/>
          <w:b/>
          <w:color w:val="000000"/>
          <w:sz w:val="22"/>
        </w:rPr>
        <w:t>Instruments</w:t>
      </w:r>
      <w:r>
        <w:rPr>
          <w:color w:val="000000"/>
        </w:rPr>
        <w:t xml:space="preserve"> </w:t>
      </w:r>
      <w:r>
        <w:rPr>
          <w:rFonts w:ascii="Times New Roman" w:hAnsi="Times New Roman"/>
          <w:color w:val="000000"/>
          <w:sz w:val="22"/>
        </w:rPr>
        <w:t>revenue was $5.1 million in the second quarter of 2026, down 2% year-over-year. Instrument revenue in the quarter remained impacted by capital-constrained end-markets.</w:t>
      </w:r>
    </w:p>
    <w:p>
      <w:pPr>
        <w:pStyle w:val="TextBody"/>
        <w:bidi w:val="0"/>
        <w:spacing w:before="0" w:after="80"/>
        <w:jc w:val="left"/>
        <w:rPr>
          <w:color w:val="000000"/>
        </w:rPr>
      </w:pPr>
      <w:r>
        <w:rPr>
          <w:color w:val="000000"/>
        </w:rPr>
        <w:t>•</w:t>
      </w:r>
    </w:p>
    <w:p>
      <w:pPr>
        <w:pStyle w:val="TextBody"/>
        <w:bidi w:val="0"/>
        <w:spacing w:before="0" w:after="80"/>
        <w:jc w:val="left"/>
        <w:rPr/>
      </w:pPr>
      <w:r>
        <w:rPr>
          <w:rFonts w:ascii="Times New Roman" w:hAnsi="Times New Roman"/>
          <w:b/>
          <w:color w:val="000000"/>
          <w:sz w:val="22"/>
        </w:rPr>
        <w:t>Services</w:t>
      </w:r>
      <w:r>
        <w:rPr>
          <w:color w:val="000000"/>
        </w:rPr>
        <w:t xml:space="preserve"> </w:t>
      </w:r>
      <w:r>
        <w:rPr>
          <w:rFonts w:ascii="Times New Roman" w:hAnsi="Times New Roman"/>
          <w:color w:val="000000"/>
          <w:sz w:val="22"/>
        </w:rPr>
        <w:t xml:space="preserve">revenue, which is predominantly Field Services, was $5.6 million in the second quarter of 2026, down 8% year-over-year.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Gross margins</w:t>
      </w:r>
      <w:r>
        <w:rPr>
          <w:color w:val="000000"/>
        </w:rPr>
        <w:t xml:space="preserve"> </w:t>
      </w:r>
      <w:r>
        <w:rPr>
          <w:rFonts w:ascii="Times New Roman" w:hAnsi="Times New Roman"/>
          <w:color w:val="000000"/>
          <w:sz w:val="22"/>
        </w:rPr>
        <w:t>in the second quarter of 2026 were approximately 52.4%, versus 48.8% in the second quarter of 2025; and non-GAAP gross margins in the second quarter of 2026 were approximately 56.3%, versus 54.1% in the second quarter of 2025. Gross margins and non-GAAP gross margins were driven by productivity improvements and reduced warranty expense.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Operating expenses </w:t>
      </w:r>
      <w:r>
        <w:rPr>
          <w:rFonts w:ascii="Times New Roman" w:hAnsi="Times New Roman"/>
          <w:color w:val="000000"/>
          <w:sz w:val="22"/>
        </w:rPr>
        <w:t xml:space="preserve">in the second quarter of 2026 were $35.9 million, a decrease of $0.4 million, or down 1%, compared to the second quarter of 2025. Operating expenses included $14.7 million in transaction costs and $2.8 million in restructuring and related charges. Non-GAAP operating expenses, which exclude transaction costs, stock-based compensation, and restructuring charges, were $13.8 million in the second quarter of 2026, a decrease of $14.1 million, or down 50%, compared to the second quarter of 2025. The decrease in operating expenses was largely due to previously announced restructuring actions.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for the second quarter of 2026 was $21.5 million from continuing operations, compared to a net loss of $17.7 million in the second quarter of 2025, representing a change of $3.8 million or 21%. This was impacted by one-time transaction costs. Adjusted EBITDA for the second quarter of 2026 was a loss of $2.5 million, versus an adjusted EBITDA loss of $16.1 million in the second quarter of 2025, an improvement of $13.6 million, or 84%.</w:t>
      </w:r>
    </w:p>
    <w:p>
      <w:pPr>
        <w:pStyle w:val="TextBody"/>
        <w:bidi w:val="0"/>
        <w:jc w:val="left"/>
        <w:rPr>
          <w:rFonts w:ascii="Times New Roman" w:hAnsi="Times New Roman"/>
          <w:b/>
          <w:color w:val="000000"/>
          <w:sz w:val="22"/>
        </w:rPr>
      </w:pPr>
      <w:r>
        <w:rPr>
          <w:rFonts w:ascii="Times New Roman" w:hAnsi="Times New Roman"/>
          <w:b/>
          <w:color w:val="000000"/>
          <w:sz w:val="22"/>
        </w:rPr>
        <w:t>Full Year 2026 Revenue Outlook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Standard BioTools is withdrawing its full year 2026 revenue outlook given the pending merger with Treeline Biosciences.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Use of Non-GAAP Financial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financial measures are presented in the accompanying tables of this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including, among others, statements regarding future financial and business performance; the anticipated timing and completion of the proposed merger with Treeline Biosciences, including with respect to the timing of the closing and the anticipated benefits and value creation opportunities of the proposed merger; the proposed sale of the Company’s Mass Cytometry business and the anticipated timing of the closing of that transaction; operational and strategic plans; deployment of capital; and market and growth opportunity and potential. Forward-looking statements are subject to numerous risks and uncertainties that could cause actual results to differ materially from currently anticipated results, including, but not limited to, risks that the proposed merger with Treeline Biosciences may not be completed on the anticipated timeline or at all, including risks related to obtaining stockholder approval and satisfying other closing conditions; risks related to the proposed sale of the Mass Cytometry business, including risks that the transaction may not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left"/>
        <w:rPr>
          <w:rFonts w:ascii="Times New Roman" w:hAnsi="Times New Roman"/>
          <w:sz w:val="20"/>
        </w:rPr>
      </w:pPr>
      <w:r>
        <w:rPr>
          <w:rFonts w:ascii="Times New Roman" w:hAnsi="Times New Roman"/>
          <w:color w:val="000000"/>
          <w:sz w:val="22"/>
        </w:rPr>
        <w:t>close on the anticipated timeline or at all; the potential that the expected benefits and opportunities of the proposed merger may not be realized or may take longer to realize than expected; possible integration, restructuring and transition-related disruption resulting from the proposed transactions, including through the loss of customers, suppliers, and employees and adverse impacts on the Company’s development activities and results of operation; management distraction and reduced operating performance during the pendency of the proposed transactions;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existing and potential future NIH funding pressures; the effect from existing and potential future U.S. export controls and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for the year ended December 31, 2025, filed with the SEC on March 16, 2026, the Company’s quarterly report on Form 10-Q for the quarter ended June 30, 2026, to be filed with the SEC, the Company’s registration statement on Form S-4, filed with the SEC on July 20, 2026 in connection with the proposed merger with Treeline Biosciences, and in the Company’s other filings with the SEC. These forward-looking statements speak only as of the date hereof. The Company disclaims any obligation to update these forward-looking statements except as may be required by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Standard BioTools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Standard BioTools, Inc. (NASDAQ: LAB), is committed to setting the new standard in the life science tools industry through strategic consolidation, best-in-class operations and a world-class management team. The Company's established portfolio includes essential, standardized next-generation solutions designed to help biomedical researchers develop better therapeutics faster. </w:t>
        <w:br/>
      </w:r>
      <w:r>
        <w:rPr>
          <w:rFonts w:ascii="Times New Roman" w:hAnsi="Times New Roman"/>
          <w:color w:val="000000"/>
          <w:sz w:val="20"/>
        </w:rPr>
        <w:t> </w:t>
      </w:r>
    </w:p>
    <w:p>
      <w:pPr>
        <w:pStyle w:val="TextBody"/>
        <w:bidi w:val="0"/>
        <w:jc w:val="left"/>
        <w:rPr>
          <w:rFonts w:ascii="Times New Roman" w:hAnsi="Times New Roman"/>
          <w:color w:val="000000"/>
          <w:sz w:val="22"/>
        </w:rPr>
      </w:pPr>
      <w:r>
        <w:rPr>
          <w:rFonts w:ascii="Times New Roman" w:hAnsi="Times New Roman"/>
          <w:color w:val="000000"/>
          <w:sz w:val="22"/>
        </w:rPr>
        <w:t>For Research Use Only. Not for use in diagnostic procedures.</w:t>
      </w:r>
    </w:p>
    <w:p>
      <w:pPr>
        <w:pStyle w:val="TextBody"/>
        <w:bidi w:val="0"/>
        <w:jc w:val="left"/>
        <w:rPr>
          <w:rFonts w:ascii="Times New Roman" w:hAnsi="Times New Roman"/>
          <w:sz w:val="20"/>
        </w:rPr>
      </w:pPr>
      <w:r>
        <w:rPr>
          <w:rFonts w:ascii="Times New Roman" w:hAnsi="Times New Roman"/>
          <w:color w:val="000000"/>
          <w:sz w:val="22"/>
        </w:rPr>
        <w:t xml:space="preserve">Limited Use Label License and other terms may apply: </w:t>
      </w:r>
      <w:r>
        <w:rPr>
          <w:rFonts w:ascii="Times New Roman" w:hAnsi="Times New Roman"/>
          <w:color w:val="0000FF"/>
          <w:sz w:val="22"/>
        </w:rPr>
        <w:t>standardbio.com/legal/terms-and-conditions/</w:t>
      </w:r>
      <w:r>
        <w:rPr>
          <w:rFonts w:ascii="Times New Roman" w:hAnsi="Times New Roman"/>
          <w:color w:val="000000"/>
          <w:sz w:val="22"/>
        </w:rPr>
        <w:t>.</w:t>
        <w:br/>
        <w:t xml:space="preserve">Patent and License Information: </w:t>
      </w:r>
      <w:r>
        <w:rPr>
          <w:rFonts w:ascii="Times New Roman" w:hAnsi="Times New Roman"/>
          <w:color w:val="0000FF"/>
          <w:sz w:val="22"/>
        </w:rPr>
        <w:t>standardbio.com/legal/notices</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color w:val="000000"/>
          <w:sz w:val="22"/>
        </w:rPr>
        <w:t xml:space="preserve">Trademarks: </w:t>
      </w:r>
      <w:r>
        <w:rPr>
          <w:rFonts w:ascii="Times New Roman" w:hAnsi="Times New Roman"/>
          <w:color w:val="0000FF"/>
          <w:sz w:val="22"/>
        </w:rPr>
        <w:t>standardbio.com/legal/trademarks</w:t>
      </w:r>
      <w:r>
        <w:rPr>
          <w:rFonts w:ascii="Times New Roman" w:hAnsi="Times New Roman"/>
          <w:color w:val="000000"/>
          <w:sz w:val="22"/>
        </w:rPr>
        <w:t>. Any other trademarks are the sole property of their respective owners. ©2026 Standard BioTools Inc. (f.k.a. Fluidigm Corporation). All rights reserved.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ir@standardbio.com</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72"/>
        <w:gridCol w:w="146"/>
        <w:gridCol w:w="224"/>
        <w:gridCol w:w="832"/>
        <w:gridCol w:w="176"/>
        <w:gridCol w:w="155"/>
        <w:gridCol w:w="224"/>
        <w:gridCol w:w="832"/>
        <w:gridCol w:w="166"/>
        <w:gridCol w:w="146"/>
        <w:gridCol w:w="214"/>
        <w:gridCol w:w="794"/>
        <w:gridCol w:w="168"/>
        <w:gridCol w:w="148"/>
        <w:gridCol w:w="214"/>
        <w:gridCol w:w="794"/>
        <w:gridCol w:w="400"/>
      </w:tblGrid>
      <w:tr>
        <w:trPr/>
        <w:tc>
          <w:tcPr>
            <w:tcW w:w="4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(52,667</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(26,758</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390,881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389,549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379,369</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7602" w:type="dxa"/>
        <w:jc w:val="left"/>
        <w:tblInd w:w="0" w:type="dxa"/>
        <w:tblLayout w:type="fixed"/>
        <w:tblCellMar>
          <w:top w:w="28" w:type="dxa"/>
          <w:left w:w="28" w:type="dxa"/>
          <w:bottom w:w="28" w:type="dxa"/>
          <w:right w:w="28" w:type="dxa"/>
        </w:tblCellMar>
      </w:tblPr>
      <w:tblGrid>
        <w:gridCol w:w="4321"/>
        <w:gridCol w:w="346"/>
        <w:gridCol w:w="211"/>
        <w:gridCol w:w="781"/>
        <w:gridCol w:w="146"/>
        <w:gridCol w:w="146"/>
        <w:gridCol w:w="268"/>
        <w:gridCol w:w="992"/>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 held for 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income,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 held for sale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income,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2"/>
        </w:rPr>
        <w:t>Continuing and Discontinued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025" w:type="dxa"/>
        <w:jc w:val="left"/>
        <w:tblInd w:w="0" w:type="dxa"/>
        <w:tblLayout w:type="fixed"/>
        <w:tblCellMar>
          <w:top w:w="28" w:type="dxa"/>
          <w:left w:w="28" w:type="dxa"/>
          <w:bottom w:w="28" w:type="dxa"/>
          <w:right w:w="28" w:type="dxa"/>
        </w:tblCellMar>
      </w:tblPr>
      <w:tblGrid>
        <w:gridCol w:w="6286"/>
        <w:gridCol w:w="146"/>
        <w:gridCol w:w="213"/>
        <w:gridCol w:w="851"/>
        <w:gridCol w:w="168"/>
        <w:gridCol w:w="147"/>
        <w:gridCol w:w="213"/>
        <w:gridCol w:w="790"/>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(172,289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Indemnification-related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 on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for sale of business,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ESPP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consists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270,026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REVENUE</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8131" w:type="dxa"/>
        <w:jc w:val="left"/>
        <w:tblInd w:w="0" w:type="dxa"/>
        <w:tblLayout w:type="fixed"/>
        <w:tblCellMar>
          <w:top w:w="28" w:type="dxa"/>
          <w:left w:w="28" w:type="dxa"/>
          <w:bottom w:w="28" w:type="dxa"/>
          <w:right w:w="28" w:type="dxa"/>
        </w:tblCellMar>
      </w:tblPr>
      <w:tblGrid>
        <w:gridCol w:w="2296"/>
        <w:gridCol w:w="146"/>
        <w:gridCol w:w="268"/>
        <w:gridCol w:w="859"/>
        <w:gridCol w:w="185"/>
        <w:gridCol w:w="185"/>
        <w:gridCol w:w="268"/>
        <w:gridCol w:w="859"/>
        <w:gridCol w:w="146"/>
        <w:gridCol w:w="146"/>
        <w:gridCol w:w="243"/>
        <w:gridCol w:w="780"/>
        <w:gridCol w:w="168"/>
        <w:gridCol w:w="168"/>
        <w:gridCol w:w="243"/>
        <w:gridCol w:w="780"/>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GROSS PROFIT TO NON-GAAP GROSS PROFIT AND MARGIN PERCENTAGE</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3776"/>
        <w:gridCol w:w="146"/>
        <w:gridCol w:w="252"/>
        <w:gridCol w:w="810"/>
        <w:gridCol w:w="324"/>
        <w:gridCol w:w="174"/>
        <w:gridCol w:w="252"/>
        <w:gridCol w:w="810"/>
        <w:gridCol w:w="271"/>
        <w:gridCol w:w="146"/>
        <w:gridCol w:w="229"/>
        <w:gridCol w:w="736"/>
        <w:gridCol w:w="295"/>
        <w:gridCol w:w="158"/>
        <w:gridCol w:w="229"/>
        <w:gridCol w:w="736"/>
        <w:gridCol w:w="41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jc w:val="left"/>
        <w:rPr/>
      </w:pPr>
      <w:r>
        <w:rPr/>
        <w:t> </w:t>
      </w:r>
    </w:p>
    <w:tbl>
      <w:tblPr>
        <w:tblW w:w="9568" w:type="dxa"/>
        <w:jc w:val="left"/>
        <w:tblInd w:w="0" w:type="dxa"/>
        <w:tblLayout w:type="fixed"/>
        <w:tblCellMar>
          <w:top w:w="28" w:type="dxa"/>
          <w:left w:w="28" w:type="dxa"/>
          <w:bottom w:w="28" w:type="dxa"/>
          <w:right w:w="28" w:type="dxa"/>
        </w:tblCellMar>
      </w:tblPr>
      <w:tblGrid>
        <w:gridCol w:w="3791"/>
        <w:gridCol w:w="146"/>
        <w:gridCol w:w="258"/>
        <w:gridCol w:w="900"/>
        <w:gridCol w:w="203"/>
        <w:gridCol w:w="178"/>
        <w:gridCol w:w="258"/>
        <w:gridCol w:w="827"/>
        <w:gridCol w:w="166"/>
        <w:gridCol w:w="146"/>
        <w:gridCol w:w="228"/>
        <w:gridCol w:w="796"/>
        <w:gridCol w:w="179"/>
        <w:gridCol w:w="157"/>
        <w:gridCol w:w="228"/>
        <w:gridCol w:w="796"/>
        <w:gridCol w:w="31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ADJUSTED EBITDA</w:t>
      </w:r>
    </w:p>
    <w:p>
      <w:pPr>
        <w:pStyle w:val="TextBody"/>
        <w:bidi w:val="0"/>
        <w:jc w:val="left"/>
        <w:rPr/>
      </w:pPr>
      <w:r>
        <w:rPr/>
        <w:t> </w:t>
      </w:r>
    </w:p>
    <w:tbl>
      <w:tblPr>
        <w:tblW w:w="10048" w:type="dxa"/>
        <w:jc w:val="left"/>
        <w:tblInd w:w="0" w:type="dxa"/>
        <w:tblLayout w:type="fixed"/>
        <w:tblCellMar>
          <w:top w:w="28" w:type="dxa"/>
          <w:left w:w="28" w:type="dxa"/>
          <w:bottom w:w="28" w:type="dxa"/>
          <w:right w:w="28" w:type="dxa"/>
        </w:tblCellMar>
      </w:tblPr>
      <w:tblGrid>
        <w:gridCol w:w="4271"/>
        <w:gridCol w:w="146"/>
        <w:gridCol w:w="251"/>
        <w:gridCol w:w="876"/>
        <w:gridCol w:w="197"/>
        <w:gridCol w:w="173"/>
        <w:gridCol w:w="251"/>
        <w:gridCol w:w="876"/>
        <w:gridCol w:w="166"/>
        <w:gridCol w:w="146"/>
        <w:gridCol w:w="228"/>
        <w:gridCol w:w="796"/>
        <w:gridCol w:w="179"/>
        <w:gridCol w:w="157"/>
        <w:gridCol w:w="228"/>
        <w:gridCol w:w="796"/>
        <w:gridCol w:w="311"/>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3566</Words>
  <Characters>19908</Characters>
  <CharactersWithSpaces>23895</CharactersWithSpaces>
  <Paragraphs>2423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